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6"/>
        <w:ind w:left="1603" w:right="1839" w:hanging="2"/>
        <w:jc w:val="center"/>
        <w:rPr>
          <w:b/>
          <w:sz w:val="24"/>
        </w:rPr>
      </w:pPr>
      <w:r>
        <w:rPr>
          <w:b/>
          <w:sz w:val="24"/>
        </w:rPr>
        <w:t>DEVELOPMENT AND VALIDATION OF FOUR NEW UVSPECTROMETRIC METHODS</w:t>
      </w:r>
      <w:r>
        <w:rPr>
          <w:b/>
          <w:spacing w:val="-4"/>
          <w:sz w:val="24"/>
        </w:rPr>
        <w:t> </w:t>
      </w:r>
      <w:r>
        <w:rPr>
          <w:b/>
          <w:sz w:val="24"/>
        </w:rPr>
        <w:t>FOR</w:t>
      </w:r>
      <w:r>
        <w:rPr>
          <w:b/>
          <w:spacing w:val="-4"/>
          <w:sz w:val="24"/>
        </w:rPr>
        <w:t> </w:t>
      </w:r>
      <w:r>
        <w:rPr>
          <w:b/>
          <w:sz w:val="24"/>
        </w:rPr>
        <w:t>THE</w:t>
      </w:r>
      <w:r>
        <w:rPr>
          <w:b/>
          <w:spacing w:val="-4"/>
          <w:sz w:val="24"/>
        </w:rPr>
        <w:t> </w:t>
      </w:r>
      <w:r>
        <w:rPr>
          <w:b/>
          <w:sz w:val="24"/>
        </w:rPr>
        <w:t>DETERMINATION</w:t>
      </w:r>
      <w:r>
        <w:rPr>
          <w:b/>
          <w:spacing w:val="-4"/>
          <w:sz w:val="24"/>
        </w:rPr>
        <w:t> </w:t>
      </w:r>
      <w:r>
        <w:rPr>
          <w:b/>
          <w:sz w:val="24"/>
        </w:rPr>
        <w:t>OF</w:t>
      </w:r>
      <w:r>
        <w:rPr>
          <w:b/>
          <w:spacing w:val="-5"/>
          <w:sz w:val="24"/>
        </w:rPr>
        <w:t> </w:t>
      </w:r>
      <w:r>
        <w:rPr>
          <w:b/>
          <w:sz w:val="24"/>
        </w:rPr>
        <w:t>ISONIAZID</w:t>
      </w:r>
      <w:r>
        <w:rPr>
          <w:b/>
          <w:spacing w:val="-5"/>
          <w:sz w:val="24"/>
        </w:rPr>
        <w:t> </w:t>
      </w:r>
      <w:r>
        <w:rPr>
          <w:b/>
          <w:sz w:val="24"/>
        </w:rPr>
        <w:t>(INH)</w:t>
      </w:r>
      <w:r>
        <w:rPr>
          <w:b/>
          <w:spacing w:val="-5"/>
          <w:sz w:val="24"/>
        </w:rPr>
        <w:t> </w:t>
      </w:r>
      <w:r>
        <w:rPr>
          <w:b/>
          <w:sz w:val="24"/>
        </w:rPr>
        <w:t>IN</w:t>
      </w:r>
      <w:r>
        <w:rPr>
          <w:b/>
          <w:spacing w:val="-4"/>
          <w:sz w:val="24"/>
        </w:rPr>
        <w:t> </w:t>
      </w:r>
      <w:r>
        <w:rPr>
          <w:b/>
          <w:sz w:val="24"/>
        </w:rPr>
        <w:t>PURE</w:t>
      </w:r>
      <w:r>
        <w:rPr>
          <w:b/>
          <w:spacing w:val="-4"/>
          <w:sz w:val="24"/>
        </w:rPr>
        <w:t> </w:t>
      </w:r>
      <w:r>
        <w:rPr>
          <w:b/>
          <w:sz w:val="24"/>
        </w:rPr>
        <w:t>AND TABLET DOSAGE FORMS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0"/>
        <w:rPr>
          <w:b/>
        </w:rPr>
      </w:pPr>
    </w:p>
    <w:p>
      <w:pPr>
        <w:spacing w:before="0"/>
        <w:ind w:left="1254" w:right="1491"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spacing w:before="153"/>
        <w:rPr>
          <w:b/>
        </w:rPr>
      </w:pPr>
    </w:p>
    <w:p>
      <w:pPr>
        <w:spacing w:before="0"/>
        <w:ind w:left="1254" w:right="1494" w:firstLine="0"/>
        <w:jc w:val="center"/>
        <w:rPr>
          <w:b/>
          <w:sz w:val="24"/>
        </w:rPr>
      </w:pPr>
      <w:r>
        <w:rPr>
          <w:b/>
          <w:sz w:val="24"/>
        </w:rPr>
        <w:t>MAIGARI</w:t>
      </w:r>
      <w:r>
        <w:rPr>
          <w:b/>
          <w:spacing w:val="-2"/>
          <w:sz w:val="24"/>
        </w:rPr>
        <w:t> </w:t>
      </w:r>
      <w:r>
        <w:rPr>
          <w:b/>
          <w:sz w:val="24"/>
        </w:rPr>
        <w:t>HAMZA </w:t>
      </w:r>
      <w:r>
        <w:rPr>
          <w:b/>
          <w:spacing w:val="-2"/>
          <w:sz w:val="24"/>
        </w:rPr>
        <w:t>KAKUDI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1256" w:right="1491" w:firstLine="0"/>
        <w:jc w:val="center"/>
        <w:rPr>
          <w:b/>
          <w:sz w:val="24"/>
        </w:rPr>
      </w:pPr>
      <w:r>
        <w:rPr>
          <w:b/>
          <w:sz w:val="24"/>
        </w:rPr>
        <w:t>DEPARTMENT</w:t>
      </w:r>
      <w:r>
        <w:rPr>
          <w:b/>
          <w:spacing w:val="-7"/>
          <w:sz w:val="24"/>
        </w:rPr>
        <w:t> </w:t>
      </w:r>
      <w:r>
        <w:rPr>
          <w:b/>
          <w:sz w:val="24"/>
        </w:rPr>
        <w:t>OF</w:t>
      </w:r>
      <w:r>
        <w:rPr>
          <w:b/>
          <w:spacing w:val="-8"/>
          <w:sz w:val="24"/>
        </w:rPr>
        <w:t> </w:t>
      </w:r>
      <w:r>
        <w:rPr>
          <w:b/>
          <w:sz w:val="24"/>
        </w:rPr>
        <w:t>PHARMACEUTICAL</w:t>
      </w:r>
      <w:r>
        <w:rPr>
          <w:b/>
          <w:spacing w:val="-7"/>
          <w:sz w:val="24"/>
        </w:rPr>
        <w:t> </w:t>
      </w:r>
      <w:r>
        <w:rPr>
          <w:b/>
          <w:sz w:val="24"/>
        </w:rPr>
        <w:t>AND</w:t>
      </w:r>
      <w:r>
        <w:rPr>
          <w:b/>
          <w:spacing w:val="-8"/>
          <w:sz w:val="24"/>
        </w:rPr>
        <w:t> </w:t>
      </w:r>
      <w:r>
        <w:rPr>
          <w:b/>
          <w:sz w:val="24"/>
        </w:rPr>
        <w:t>MEDICINAL</w:t>
      </w:r>
      <w:r>
        <w:rPr>
          <w:b/>
          <w:spacing w:val="-7"/>
          <w:sz w:val="24"/>
        </w:rPr>
        <w:t> </w:t>
      </w:r>
      <w:r>
        <w:rPr>
          <w:b/>
          <w:sz w:val="24"/>
        </w:rPr>
        <w:t>CHEMISTRY, FACULTY OF PHARMACEUTICAL SCIENCES,</w:t>
      </w:r>
    </w:p>
    <w:p>
      <w:pPr>
        <w:spacing w:before="0"/>
        <w:ind w:left="3741" w:right="3979"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4"/>
        <w:rPr>
          <w:b/>
        </w:rPr>
      </w:pPr>
    </w:p>
    <w:p>
      <w:pPr>
        <w:spacing w:before="1"/>
        <w:ind w:left="1254" w:right="1494" w:firstLine="0"/>
        <w:jc w:val="center"/>
        <w:rPr>
          <w:b/>
          <w:sz w:val="24"/>
        </w:rPr>
      </w:pPr>
      <w:r>
        <w:rPr>
          <w:b/>
          <w:sz w:val="24"/>
        </w:rPr>
        <w:t>MARCH,</w:t>
      </w:r>
      <w:r>
        <w:rPr>
          <w:b/>
          <w:spacing w:val="-3"/>
          <w:sz w:val="24"/>
        </w:rPr>
        <w:t> </w:t>
      </w:r>
      <w:r>
        <w:rPr>
          <w:b/>
          <w:spacing w:val="-4"/>
          <w:sz w:val="24"/>
        </w:rPr>
        <w:t>2019</w:t>
      </w:r>
    </w:p>
    <w:p>
      <w:pPr>
        <w:spacing w:after="0"/>
        <w:jc w:val="center"/>
        <w:rPr>
          <w:sz w:val="24"/>
        </w:rPr>
        <w:sectPr>
          <w:footerReference w:type="default" r:id="rId5"/>
          <w:type w:val="continuous"/>
          <w:pgSz w:w="12240" w:h="15840"/>
          <w:pgMar w:header="0" w:footer="1015" w:top="1360" w:bottom="1200" w:left="240" w:right="0"/>
          <w:pgNumType w:start="1"/>
        </w:sectPr>
      </w:pPr>
    </w:p>
    <w:p>
      <w:pPr>
        <w:spacing w:before="76"/>
        <w:ind w:left="1421" w:right="1658" w:hanging="1"/>
        <w:jc w:val="center"/>
        <w:rPr>
          <w:b/>
          <w:sz w:val="24"/>
        </w:rPr>
      </w:pPr>
      <w:r>
        <w:rPr>
          <w:b/>
          <w:sz w:val="24"/>
        </w:rPr>
        <w:t>DEVELOPMENT AND VALIDATION OF FOUR NEW UVSPECTROMETRIC METHODS</w:t>
      </w:r>
      <w:r>
        <w:rPr>
          <w:b/>
          <w:spacing w:val="-4"/>
          <w:sz w:val="24"/>
        </w:rPr>
        <w:t> </w:t>
      </w:r>
      <w:r>
        <w:rPr>
          <w:b/>
          <w:sz w:val="24"/>
        </w:rPr>
        <w:t>FOR</w:t>
      </w:r>
      <w:r>
        <w:rPr>
          <w:b/>
          <w:spacing w:val="-4"/>
          <w:sz w:val="24"/>
        </w:rPr>
        <w:t> </w:t>
      </w:r>
      <w:r>
        <w:rPr>
          <w:b/>
          <w:sz w:val="24"/>
        </w:rPr>
        <w:t>THE</w:t>
      </w:r>
      <w:r>
        <w:rPr>
          <w:b/>
          <w:spacing w:val="-4"/>
          <w:sz w:val="24"/>
        </w:rPr>
        <w:t> </w:t>
      </w:r>
      <w:r>
        <w:rPr>
          <w:b/>
          <w:sz w:val="24"/>
        </w:rPr>
        <w:t>DETERMINATION</w:t>
      </w:r>
      <w:r>
        <w:rPr>
          <w:b/>
          <w:spacing w:val="-4"/>
          <w:sz w:val="24"/>
        </w:rPr>
        <w:t> </w:t>
      </w:r>
      <w:r>
        <w:rPr>
          <w:b/>
          <w:sz w:val="24"/>
        </w:rPr>
        <w:t>OF</w:t>
      </w:r>
      <w:r>
        <w:rPr>
          <w:b/>
          <w:spacing w:val="-7"/>
          <w:sz w:val="24"/>
        </w:rPr>
        <w:t> </w:t>
      </w:r>
      <w:r>
        <w:rPr>
          <w:b/>
          <w:sz w:val="24"/>
        </w:rPr>
        <w:t>ISONIAZID</w:t>
      </w:r>
      <w:r>
        <w:rPr>
          <w:b/>
          <w:spacing w:val="-2"/>
          <w:sz w:val="24"/>
        </w:rPr>
        <w:t> </w:t>
      </w:r>
      <w:r>
        <w:rPr>
          <w:b/>
          <w:sz w:val="24"/>
        </w:rPr>
        <w:t>IN</w:t>
      </w:r>
      <w:r>
        <w:rPr>
          <w:b/>
          <w:spacing w:val="-3"/>
          <w:sz w:val="24"/>
        </w:rPr>
        <w:t> </w:t>
      </w:r>
      <w:r>
        <w:rPr>
          <w:b/>
          <w:sz w:val="24"/>
        </w:rPr>
        <w:t>PURE</w:t>
      </w:r>
      <w:r>
        <w:rPr>
          <w:b/>
          <w:spacing w:val="-4"/>
          <w:sz w:val="24"/>
        </w:rPr>
        <w:t> </w:t>
      </w:r>
      <w:r>
        <w:rPr>
          <w:b/>
          <w:sz w:val="24"/>
        </w:rPr>
        <w:t>AND</w:t>
      </w:r>
      <w:r>
        <w:rPr>
          <w:b/>
          <w:spacing w:val="-4"/>
          <w:sz w:val="24"/>
        </w:rPr>
        <w:t> </w:t>
      </w:r>
      <w:r>
        <w:rPr>
          <w:b/>
          <w:sz w:val="24"/>
        </w:rPr>
        <w:t>TABLET DOSAGE FORMS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0"/>
        <w:rPr>
          <w:b/>
        </w:rPr>
      </w:pPr>
    </w:p>
    <w:p>
      <w:pPr>
        <w:spacing w:before="0"/>
        <w:ind w:left="1254" w:right="1491" w:firstLine="0"/>
        <w:jc w:val="center"/>
        <w:rPr>
          <w:b/>
          <w:sz w:val="24"/>
        </w:rPr>
      </w:pPr>
      <w:r>
        <w:rPr>
          <w:b/>
          <w:spacing w:val="-5"/>
          <w:sz w:val="24"/>
        </w:rPr>
        <w:t>BY</w:t>
      </w:r>
    </w:p>
    <w:p>
      <w:pPr>
        <w:pStyle w:val="BodyText"/>
        <w:rPr>
          <w:b/>
        </w:rPr>
      </w:pPr>
    </w:p>
    <w:p>
      <w:pPr>
        <w:pStyle w:val="BodyText"/>
        <w:spacing w:before="76"/>
        <w:rPr>
          <w:b/>
        </w:rPr>
      </w:pPr>
    </w:p>
    <w:p>
      <w:pPr>
        <w:spacing w:before="1"/>
        <w:ind w:left="3149" w:right="3385" w:firstLine="0"/>
        <w:jc w:val="center"/>
        <w:rPr>
          <w:b/>
          <w:sz w:val="24"/>
        </w:rPr>
      </w:pPr>
      <w:r>
        <w:rPr>
          <w:b/>
          <w:sz w:val="24"/>
        </w:rPr>
        <w:t>Maigari</w:t>
      </w:r>
      <w:r>
        <w:rPr>
          <w:b/>
          <w:spacing w:val="-7"/>
          <w:sz w:val="24"/>
        </w:rPr>
        <w:t> </w:t>
      </w:r>
      <w:r>
        <w:rPr>
          <w:b/>
          <w:sz w:val="24"/>
        </w:rPr>
        <w:t>Hamza</w:t>
      </w:r>
      <w:r>
        <w:rPr>
          <w:b/>
          <w:spacing w:val="-5"/>
          <w:sz w:val="24"/>
        </w:rPr>
        <w:t> </w:t>
      </w:r>
      <w:r>
        <w:rPr>
          <w:b/>
          <w:sz w:val="24"/>
        </w:rPr>
        <w:t>KAKUDI,</w:t>
      </w:r>
      <w:r>
        <w:rPr>
          <w:b/>
          <w:spacing w:val="-7"/>
          <w:sz w:val="24"/>
        </w:rPr>
        <w:t> </w:t>
      </w:r>
      <w:r>
        <w:rPr>
          <w:b/>
          <w:sz w:val="24"/>
        </w:rPr>
        <w:t>B.</w:t>
      </w:r>
      <w:r>
        <w:rPr>
          <w:b/>
          <w:spacing w:val="-7"/>
          <w:sz w:val="24"/>
        </w:rPr>
        <w:t> </w:t>
      </w:r>
      <w:r>
        <w:rPr>
          <w:b/>
          <w:sz w:val="24"/>
        </w:rPr>
        <w:t>Pharm</w:t>
      </w:r>
      <w:r>
        <w:rPr>
          <w:b/>
          <w:spacing w:val="-7"/>
          <w:sz w:val="24"/>
        </w:rPr>
        <w:t> </w:t>
      </w:r>
      <w:r>
        <w:rPr>
          <w:b/>
          <w:sz w:val="24"/>
        </w:rPr>
        <w:t>(A.B.U)</w:t>
      </w:r>
      <w:r>
        <w:rPr>
          <w:b/>
          <w:spacing w:val="-7"/>
          <w:sz w:val="24"/>
        </w:rPr>
        <w:t> </w:t>
      </w:r>
      <w:r>
        <w:rPr>
          <w:b/>
          <w:sz w:val="24"/>
        </w:rPr>
        <w:t>1993 P15 PHMC 8007</w:t>
      </w:r>
    </w:p>
    <w:p>
      <w:pPr>
        <w:pStyle w:val="BodyText"/>
        <w:rPr>
          <w:b/>
        </w:rPr>
      </w:pPr>
    </w:p>
    <w:p>
      <w:pPr>
        <w:pStyle w:val="BodyText"/>
        <w:rPr>
          <w:b/>
        </w:rPr>
      </w:pPr>
    </w:p>
    <w:p>
      <w:pPr>
        <w:pStyle w:val="BodyText"/>
        <w:rPr>
          <w:b/>
        </w:rPr>
      </w:pPr>
    </w:p>
    <w:p>
      <w:pPr>
        <w:pStyle w:val="BodyText"/>
        <w:rPr>
          <w:b/>
        </w:rPr>
      </w:pPr>
    </w:p>
    <w:p>
      <w:pPr>
        <w:spacing w:before="0"/>
        <w:ind w:left="1254" w:right="1496" w:firstLine="0"/>
        <w:jc w:val="center"/>
        <w:rPr>
          <w:b/>
          <w:sz w:val="24"/>
        </w:rPr>
      </w:pPr>
      <w:r>
        <w:rPr>
          <w:b/>
          <w:sz w:val="24"/>
        </w:rPr>
        <w:t>A</w:t>
      </w:r>
      <w:r>
        <w:rPr>
          <w:b/>
          <w:spacing w:val="-5"/>
          <w:sz w:val="24"/>
        </w:rPr>
        <w:t> </w:t>
      </w:r>
      <w:r>
        <w:rPr>
          <w:b/>
          <w:sz w:val="24"/>
        </w:rPr>
        <w:t>DISSERTATION</w:t>
      </w:r>
      <w:r>
        <w:rPr>
          <w:b/>
          <w:spacing w:val="-5"/>
          <w:sz w:val="24"/>
        </w:rPr>
        <w:t> </w:t>
      </w:r>
      <w:r>
        <w:rPr>
          <w:b/>
          <w:sz w:val="24"/>
        </w:rPr>
        <w:t>SUBMITTED</w:t>
      </w:r>
      <w:r>
        <w:rPr>
          <w:b/>
          <w:spacing w:val="-5"/>
          <w:sz w:val="24"/>
        </w:rPr>
        <w:t> </w:t>
      </w:r>
      <w:r>
        <w:rPr>
          <w:b/>
          <w:sz w:val="24"/>
        </w:rPr>
        <w:t>TO</w:t>
      </w:r>
      <w:r>
        <w:rPr>
          <w:b/>
          <w:spacing w:val="-5"/>
          <w:sz w:val="24"/>
        </w:rPr>
        <w:t> </w:t>
      </w:r>
      <w:r>
        <w:rPr>
          <w:b/>
          <w:sz w:val="24"/>
        </w:rPr>
        <w:t>THE</w:t>
      </w:r>
      <w:r>
        <w:rPr>
          <w:b/>
          <w:spacing w:val="-5"/>
          <w:sz w:val="24"/>
        </w:rPr>
        <w:t> </w:t>
      </w:r>
      <w:r>
        <w:rPr>
          <w:b/>
          <w:sz w:val="24"/>
        </w:rPr>
        <w:t>SCHOOL</w:t>
      </w:r>
      <w:r>
        <w:rPr>
          <w:b/>
          <w:spacing w:val="-5"/>
          <w:sz w:val="24"/>
        </w:rPr>
        <w:t> </w:t>
      </w:r>
      <w:r>
        <w:rPr>
          <w:b/>
          <w:sz w:val="24"/>
        </w:rPr>
        <w:t>OF</w:t>
      </w:r>
      <w:r>
        <w:rPr>
          <w:b/>
          <w:spacing w:val="-8"/>
          <w:sz w:val="24"/>
        </w:rPr>
        <w:t> </w:t>
      </w:r>
      <w:r>
        <w:rPr>
          <w:b/>
          <w:sz w:val="24"/>
        </w:rPr>
        <w:t>POSTGRADUATE</w:t>
      </w:r>
      <w:r>
        <w:rPr>
          <w:b/>
          <w:spacing w:val="-5"/>
          <w:sz w:val="24"/>
        </w:rPr>
        <w:t> </w:t>
      </w:r>
      <w:r>
        <w:rPr>
          <w:b/>
          <w:sz w:val="24"/>
        </w:rPr>
        <w:t>STUDIES, AHMADU BELLO UNIVERSITY, ZARIA</w:t>
      </w:r>
    </w:p>
    <w:p>
      <w:pPr>
        <w:spacing w:before="0"/>
        <w:ind w:left="1579" w:right="1822" w:firstLine="0"/>
        <w:jc w:val="center"/>
        <w:rPr>
          <w:b/>
          <w:sz w:val="24"/>
        </w:rPr>
      </w:pPr>
      <w:r>
        <w:rPr>
          <w:b/>
          <w:sz w:val="24"/>
        </w:rPr>
        <w:t>IN</w:t>
      </w:r>
      <w:r>
        <w:rPr>
          <w:b/>
          <w:spacing w:val="-5"/>
          <w:sz w:val="24"/>
        </w:rPr>
        <w:t> </w:t>
      </w:r>
      <w:r>
        <w:rPr>
          <w:b/>
          <w:sz w:val="24"/>
        </w:rPr>
        <w:t>PARTIAL</w:t>
      </w:r>
      <w:r>
        <w:rPr>
          <w:b/>
          <w:spacing w:val="-5"/>
          <w:sz w:val="24"/>
        </w:rPr>
        <w:t> </w:t>
      </w:r>
      <w:r>
        <w:rPr>
          <w:b/>
          <w:sz w:val="24"/>
        </w:rPr>
        <w:t>FULFILLMENT</w:t>
      </w:r>
      <w:r>
        <w:rPr>
          <w:b/>
          <w:spacing w:val="-5"/>
          <w:sz w:val="24"/>
        </w:rPr>
        <w:t> </w:t>
      </w:r>
      <w:r>
        <w:rPr>
          <w:b/>
          <w:sz w:val="24"/>
        </w:rPr>
        <w:t>OF</w:t>
      </w:r>
      <w:r>
        <w:rPr>
          <w:b/>
          <w:spacing w:val="-8"/>
          <w:sz w:val="24"/>
        </w:rPr>
        <w:t> </w:t>
      </w:r>
      <w:r>
        <w:rPr>
          <w:b/>
          <w:sz w:val="24"/>
        </w:rPr>
        <w:t>THE</w:t>
      </w:r>
      <w:r>
        <w:rPr>
          <w:b/>
          <w:spacing w:val="-5"/>
          <w:sz w:val="24"/>
        </w:rPr>
        <w:t> </w:t>
      </w:r>
      <w:r>
        <w:rPr>
          <w:b/>
          <w:sz w:val="24"/>
        </w:rPr>
        <w:t>REQUIREMENTS</w:t>
      </w:r>
      <w:r>
        <w:rPr>
          <w:b/>
          <w:spacing w:val="-5"/>
          <w:sz w:val="24"/>
        </w:rPr>
        <w:t> </w:t>
      </w:r>
      <w:r>
        <w:rPr>
          <w:b/>
          <w:sz w:val="24"/>
        </w:rPr>
        <w:t>FOR</w:t>
      </w:r>
      <w:r>
        <w:rPr>
          <w:b/>
          <w:spacing w:val="-5"/>
          <w:sz w:val="24"/>
        </w:rPr>
        <w:t> </w:t>
      </w:r>
      <w:r>
        <w:rPr>
          <w:b/>
          <w:sz w:val="24"/>
        </w:rPr>
        <w:t>THE</w:t>
      </w:r>
      <w:r>
        <w:rPr>
          <w:b/>
          <w:spacing w:val="-5"/>
          <w:sz w:val="24"/>
        </w:rPr>
        <w:t> </w:t>
      </w:r>
      <w:r>
        <w:rPr>
          <w:b/>
          <w:sz w:val="24"/>
        </w:rPr>
        <w:t>AWARD OF MASTER DEGREE IN PHARMACEUTICAL CHEMISTRY</w:t>
      </w:r>
    </w:p>
    <w:p>
      <w:pPr>
        <w:pStyle w:val="BodyText"/>
        <w:rPr>
          <w:b/>
        </w:rPr>
      </w:pPr>
    </w:p>
    <w:p>
      <w:pPr>
        <w:pStyle w:val="BodyText"/>
        <w:rPr>
          <w:b/>
        </w:rPr>
      </w:pPr>
    </w:p>
    <w:p>
      <w:pPr>
        <w:pStyle w:val="BodyText"/>
        <w:rPr>
          <w:b/>
        </w:rPr>
      </w:pPr>
    </w:p>
    <w:p>
      <w:pPr>
        <w:spacing w:before="0"/>
        <w:ind w:left="1254" w:right="1491" w:firstLine="0"/>
        <w:jc w:val="center"/>
        <w:rPr>
          <w:b/>
          <w:sz w:val="24"/>
        </w:rPr>
      </w:pPr>
      <w:r>
        <w:rPr>
          <w:b/>
          <w:sz w:val="24"/>
        </w:rPr>
        <w:t>DEPARTMENT</w:t>
      </w:r>
      <w:r>
        <w:rPr>
          <w:b/>
          <w:spacing w:val="-8"/>
          <w:sz w:val="24"/>
        </w:rPr>
        <w:t> </w:t>
      </w:r>
      <w:r>
        <w:rPr>
          <w:b/>
          <w:sz w:val="24"/>
        </w:rPr>
        <w:t>OF</w:t>
      </w:r>
      <w:r>
        <w:rPr>
          <w:b/>
          <w:spacing w:val="-9"/>
          <w:sz w:val="24"/>
        </w:rPr>
        <w:t> </w:t>
      </w:r>
      <w:r>
        <w:rPr>
          <w:b/>
          <w:sz w:val="24"/>
        </w:rPr>
        <w:t>PHARMACEUTICAL</w:t>
      </w:r>
      <w:r>
        <w:rPr>
          <w:b/>
          <w:spacing w:val="-6"/>
          <w:sz w:val="24"/>
        </w:rPr>
        <w:t> </w:t>
      </w:r>
      <w:r>
        <w:rPr>
          <w:b/>
          <w:sz w:val="24"/>
        </w:rPr>
        <w:t>AND</w:t>
      </w:r>
      <w:r>
        <w:rPr>
          <w:b/>
          <w:spacing w:val="-9"/>
          <w:sz w:val="24"/>
        </w:rPr>
        <w:t> </w:t>
      </w:r>
      <w:r>
        <w:rPr>
          <w:b/>
          <w:sz w:val="24"/>
        </w:rPr>
        <w:t>MEDICINAL</w:t>
      </w:r>
      <w:r>
        <w:rPr>
          <w:b/>
          <w:spacing w:val="-8"/>
          <w:sz w:val="24"/>
        </w:rPr>
        <w:t> </w:t>
      </w:r>
      <w:r>
        <w:rPr>
          <w:b/>
          <w:sz w:val="24"/>
        </w:rPr>
        <w:t>CHEMISTRY, FACULTY OF PHARMACEUTICAL SCIENCES,</w:t>
      </w:r>
    </w:p>
    <w:p>
      <w:pPr>
        <w:spacing w:before="0"/>
        <w:ind w:left="3741" w:right="3979"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1254" w:right="1494" w:firstLine="0"/>
        <w:jc w:val="center"/>
        <w:rPr>
          <w:b/>
          <w:sz w:val="24"/>
        </w:rPr>
      </w:pPr>
      <w:r>
        <w:rPr>
          <w:b/>
          <w:sz w:val="24"/>
        </w:rPr>
        <w:t>MARCH,</w:t>
      </w:r>
      <w:r>
        <w:rPr>
          <w:b/>
          <w:spacing w:val="-3"/>
          <w:sz w:val="24"/>
        </w:rPr>
        <w:t> </w:t>
      </w:r>
      <w:r>
        <w:rPr>
          <w:b/>
          <w:spacing w:val="-4"/>
          <w:sz w:val="24"/>
        </w:rPr>
        <w:t>2019</w:t>
      </w:r>
    </w:p>
    <w:p>
      <w:pPr>
        <w:spacing w:after="0"/>
        <w:jc w:val="center"/>
        <w:rPr>
          <w:sz w:val="24"/>
        </w:rPr>
        <w:sectPr>
          <w:pgSz w:w="12240" w:h="15840"/>
          <w:pgMar w:header="0" w:footer="1015" w:top="1360" w:bottom="1200" w:left="240" w:right="0"/>
        </w:sectPr>
      </w:pPr>
    </w:p>
    <w:p>
      <w:pPr>
        <w:pStyle w:val="Heading3"/>
        <w:ind w:left="1254" w:right="1493"/>
        <w:jc w:val="center"/>
      </w:pPr>
      <w:bookmarkStart w:name="_TOC_250033" w:id="1"/>
      <w:bookmarkEnd w:id="1"/>
      <w:r>
        <w:rPr>
          <w:spacing w:val="-2"/>
        </w:rPr>
        <w:t>Declaration</w:t>
      </w:r>
    </w:p>
    <w:p>
      <w:pPr>
        <w:pStyle w:val="BodyText"/>
        <w:spacing w:before="171"/>
        <w:ind w:left="1200" w:right="1436"/>
        <w:jc w:val="both"/>
      </w:pPr>
      <w:r>
        <w:rPr/>
        <w:t>I declare that the work in this Dissertation entitled ―Development and Validation of Four New UV Spectrophotometric Methods for Determination of Isoniazid in Pure and Tablet</w:t>
      </w:r>
      <w:r>
        <w:rPr>
          <w:spacing w:val="40"/>
        </w:rPr>
        <w:t> </w:t>
      </w:r>
      <w:r>
        <w:rPr/>
        <w:t>DosageForm‖ was carried out by me in the department of pharmaceutical and medicinal chemistry ABU Zaria. The information derived from the literature has been duly acknowledged in the text and a list of references provided. No part of this dissertation was previously</w:t>
      </w:r>
      <w:r>
        <w:rPr>
          <w:spacing w:val="-2"/>
        </w:rPr>
        <w:t> </w:t>
      </w:r>
      <w:r>
        <w:rPr/>
        <w:t>presented for another degree or diploma at this or any other Institution.</w:t>
      </w:r>
    </w:p>
    <w:p>
      <w:pPr>
        <w:pStyle w:val="BodyText"/>
      </w:pPr>
    </w:p>
    <w:p>
      <w:pPr>
        <w:pStyle w:val="BodyText"/>
      </w:pPr>
    </w:p>
    <w:p>
      <w:pPr>
        <w:pStyle w:val="BodyText"/>
      </w:pPr>
    </w:p>
    <w:p>
      <w:pPr>
        <w:pStyle w:val="BodyText"/>
      </w:pPr>
    </w:p>
    <w:p>
      <w:pPr>
        <w:pStyle w:val="BodyText"/>
        <w:spacing w:before="90"/>
      </w:pPr>
    </w:p>
    <w:p>
      <w:pPr>
        <w:pStyle w:val="BodyText"/>
        <w:tabs>
          <w:tab w:pos="5025" w:val="left" w:leader="none"/>
          <w:tab w:pos="5520" w:val="left" w:leader="none"/>
          <w:tab w:pos="8805" w:val="left" w:leader="none"/>
          <w:tab w:pos="9121" w:val="left" w:leader="none"/>
        </w:tabs>
        <w:spacing w:line="379" w:lineRule="auto"/>
        <w:ind w:left="1200" w:right="2112"/>
      </w:pPr>
      <w:r>
        <w:rPr/>
        <w:t>Maigari Hamza Kakudi</w:t>
        <w:tab/>
      </w:r>
      <w:r>
        <w:rPr>
          <w:spacing w:val="-2"/>
        </w:rPr>
        <w:t>………………….</w:t>
      </w:r>
      <w:r>
        <w:rPr/>
        <w:tab/>
      </w:r>
      <w:r>
        <w:rPr>
          <w:spacing w:val="-2"/>
        </w:rPr>
        <w:t>………….. </w:t>
      </w:r>
      <w:r>
        <w:rPr/>
        <w:t>Name of student</w:t>
        <w:tab/>
        <w:tab/>
      </w:r>
      <w:r>
        <w:rPr>
          <w:spacing w:val="-2"/>
        </w:rPr>
        <w:t>Signature</w:t>
      </w:r>
      <w:r>
        <w:rPr/>
        <w:tab/>
        <w:tab/>
      </w:r>
      <w:r>
        <w:rPr>
          <w:spacing w:val="-4"/>
        </w:rPr>
        <w:t>Date</w:t>
      </w:r>
    </w:p>
    <w:p>
      <w:pPr>
        <w:spacing w:after="0" w:line="379" w:lineRule="auto"/>
        <w:sectPr>
          <w:pgSz w:w="12240" w:h="15840"/>
          <w:pgMar w:header="0" w:footer="1015" w:top="1360" w:bottom="1200" w:left="240" w:right="0"/>
        </w:sectPr>
      </w:pPr>
    </w:p>
    <w:p>
      <w:pPr>
        <w:pStyle w:val="Heading3"/>
        <w:ind w:left="0" w:right="5466"/>
        <w:jc w:val="right"/>
      </w:pPr>
      <w:bookmarkStart w:name="_TOC_250032" w:id="2"/>
      <w:bookmarkEnd w:id="2"/>
      <w:r>
        <w:rPr>
          <w:spacing w:val="-2"/>
        </w:rPr>
        <w:t>Certification</w:t>
      </w:r>
    </w:p>
    <w:p>
      <w:pPr>
        <w:pStyle w:val="BodyText"/>
        <w:spacing w:line="480" w:lineRule="auto" w:before="171"/>
        <w:ind w:left="1200" w:right="1440"/>
        <w:jc w:val="both"/>
      </w:pPr>
      <w:r>
        <w:rPr/>
        <w:t>This Dissertation entitled ―Development and Validation of Four New UV Spectrophotometric Methods for Determination of Isoniazid in Pure and Tablet Dosage Form‖ by Maigari Hamza Kakudi meets the requirements for the award of the degree of Master of Science in pharmaceutical chemistry of the Ahmadu Bello University and was approved by the committee for its contribution to knowledge and literary presentation.</w:t>
      </w:r>
    </w:p>
    <w:p>
      <w:pPr>
        <w:pStyle w:val="BodyText"/>
      </w:pPr>
    </w:p>
    <w:p>
      <w:pPr>
        <w:pStyle w:val="BodyText"/>
        <w:spacing w:before="47"/>
      </w:pPr>
    </w:p>
    <w:p>
      <w:pPr>
        <w:pStyle w:val="BodyText"/>
        <w:tabs>
          <w:tab w:pos="4334" w:val="left" w:leader="none"/>
        </w:tabs>
        <w:ind w:right="5502"/>
        <w:jc w:val="right"/>
      </w:pPr>
      <w:r>
        <w:rPr>
          <w:u w:val="single"/>
        </w:rPr>
        <w:t>Dr.</w:t>
      </w:r>
      <w:r>
        <w:rPr>
          <w:spacing w:val="-2"/>
          <w:u w:val="single"/>
        </w:rPr>
        <w:t> </w:t>
      </w:r>
      <w:r>
        <w:rPr>
          <w:u w:val="single"/>
        </w:rPr>
        <w:t>Aminu</w:t>
      </w:r>
      <w:r>
        <w:rPr>
          <w:spacing w:val="-1"/>
          <w:u w:val="single"/>
        </w:rPr>
        <w:t> </w:t>
      </w:r>
      <w:r>
        <w:rPr>
          <w:u w:val="single"/>
        </w:rPr>
        <w:t>Musa</w:t>
      </w:r>
      <w:r>
        <w:rPr>
          <w:spacing w:val="-1"/>
        </w:rPr>
        <w:t> </w:t>
      </w:r>
      <w:r>
        <w:rPr>
          <w:spacing w:val="-2"/>
        </w:rPr>
        <w:t>………….</w:t>
      </w:r>
      <w:r>
        <w:rPr/>
        <w:tab/>
      </w:r>
      <w:r>
        <w:rPr>
          <w:spacing w:val="-4"/>
        </w:rPr>
        <w:t>…………</w:t>
      </w:r>
    </w:p>
    <w:p>
      <w:pPr>
        <w:pStyle w:val="BodyText"/>
        <w:tabs>
          <w:tab w:pos="5520" w:val="left" w:leader="none"/>
          <w:tab w:pos="8401" w:val="left" w:leader="none"/>
        </w:tabs>
        <w:spacing w:before="158"/>
        <w:ind w:left="1200"/>
      </w:pPr>
      <w:r>
        <w:rPr/>
        <w:t>Chairman</w:t>
      </w:r>
      <w:r>
        <w:rPr>
          <w:spacing w:val="-1"/>
        </w:rPr>
        <w:t> </w:t>
      </w:r>
      <w:r>
        <w:rPr/>
        <w:t>Supervisory</w:t>
      </w:r>
      <w:r>
        <w:rPr>
          <w:spacing w:val="-4"/>
        </w:rPr>
        <w:t> </w:t>
      </w:r>
      <w:r>
        <w:rPr>
          <w:spacing w:val="-2"/>
        </w:rPr>
        <w:t>Committee</w:t>
      </w:r>
      <w:r>
        <w:rPr/>
        <w:tab/>
      </w:r>
      <w:r>
        <w:rPr>
          <w:spacing w:val="-2"/>
        </w:rPr>
        <w:t>Signature</w:t>
      </w:r>
      <w:r>
        <w:rPr/>
        <w:tab/>
      </w:r>
      <w:r>
        <w:rPr>
          <w:spacing w:val="-4"/>
        </w:rPr>
        <w:t>Date</w:t>
      </w:r>
    </w:p>
    <w:p>
      <w:pPr>
        <w:pStyle w:val="BodyText"/>
      </w:pPr>
    </w:p>
    <w:p>
      <w:pPr>
        <w:pStyle w:val="BodyText"/>
      </w:pPr>
    </w:p>
    <w:p>
      <w:pPr>
        <w:pStyle w:val="BodyText"/>
        <w:spacing w:before="252"/>
      </w:pPr>
    </w:p>
    <w:p>
      <w:pPr>
        <w:pStyle w:val="BodyText"/>
        <w:tabs>
          <w:tab w:pos="5640" w:val="left" w:leader="none"/>
        </w:tabs>
        <w:ind w:left="1200"/>
      </w:pPr>
      <w:r>
        <w:rPr>
          <w:u w:val="single"/>
        </w:rPr>
        <w:t>Prof.Magaji</w:t>
      </w:r>
      <w:r>
        <w:rPr>
          <w:spacing w:val="-5"/>
          <w:u w:val="single"/>
        </w:rPr>
        <w:t> </w:t>
      </w:r>
      <w:r>
        <w:rPr>
          <w:spacing w:val="-2"/>
          <w:u w:val="single"/>
        </w:rPr>
        <w:t>Garba</w:t>
      </w:r>
      <w:r>
        <w:rPr>
          <w:spacing w:val="-2"/>
        </w:rPr>
        <w:t>…………….</w:t>
      </w:r>
      <w:r>
        <w:rPr/>
        <w:tab/>
      </w:r>
      <w:r>
        <w:rPr>
          <w:spacing w:val="-5"/>
        </w:rPr>
        <w:t>………</w:t>
      </w:r>
    </w:p>
    <w:p>
      <w:pPr>
        <w:pStyle w:val="BodyText"/>
        <w:tabs>
          <w:tab w:pos="5520" w:val="left" w:leader="none"/>
          <w:tab w:pos="8401" w:val="left" w:leader="none"/>
        </w:tabs>
        <w:spacing w:before="161"/>
        <w:ind w:left="1200"/>
      </w:pPr>
      <w:r>
        <w:rPr/>
        <w:t>Member</w:t>
      </w:r>
      <w:r>
        <w:rPr>
          <w:spacing w:val="-1"/>
        </w:rPr>
        <w:t> </w:t>
      </w:r>
      <w:r>
        <w:rPr/>
        <w:t>Supervisory</w:t>
      </w:r>
      <w:r>
        <w:rPr>
          <w:spacing w:val="-5"/>
        </w:rPr>
        <w:t> </w:t>
      </w:r>
      <w:r>
        <w:rPr>
          <w:spacing w:val="-2"/>
        </w:rPr>
        <w:t>Committee</w:t>
      </w:r>
      <w:r>
        <w:rPr/>
        <w:tab/>
      </w:r>
      <w:r>
        <w:rPr>
          <w:spacing w:val="-2"/>
        </w:rPr>
        <w:t>Signature</w:t>
      </w:r>
      <w:r>
        <w:rPr/>
        <w:tab/>
      </w:r>
      <w:r>
        <w:rPr>
          <w:spacing w:val="-4"/>
        </w:rPr>
        <w:t>Date</w:t>
      </w:r>
    </w:p>
    <w:p>
      <w:pPr>
        <w:pStyle w:val="BodyText"/>
      </w:pPr>
    </w:p>
    <w:p>
      <w:pPr>
        <w:pStyle w:val="BodyText"/>
      </w:pPr>
    </w:p>
    <w:p>
      <w:pPr>
        <w:pStyle w:val="BodyText"/>
        <w:spacing w:before="252"/>
      </w:pPr>
    </w:p>
    <w:p>
      <w:pPr>
        <w:pStyle w:val="BodyText"/>
        <w:tabs>
          <w:tab w:pos="5354" w:val="left" w:leader="none"/>
        </w:tabs>
        <w:spacing w:before="1"/>
        <w:ind w:left="1200"/>
      </w:pPr>
      <w:r>
        <w:rPr>
          <w:spacing w:val="-2"/>
          <w:u w:val="single"/>
        </w:rPr>
        <w:t>Dr.AminuMusa</w:t>
      </w:r>
      <w:r>
        <w:rPr>
          <w:spacing w:val="-2"/>
        </w:rPr>
        <w:t>..………</w:t>
      </w:r>
      <w:r>
        <w:rPr/>
        <w:tab/>
      </w:r>
      <w:r>
        <w:rPr>
          <w:spacing w:val="-4"/>
        </w:rPr>
        <w:t>……….</w:t>
      </w:r>
    </w:p>
    <w:p>
      <w:pPr>
        <w:pStyle w:val="BodyText"/>
        <w:tabs>
          <w:tab w:pos="5520" w:val="left" w:leader="none"/>
          <w:tab w:pos="6961" w:val="left" w:leader="none"/>
        </w:tabs>
        <w:spacing w:before="160"/>
        <w:ind w:left="1200"/>
      </w:pPr>
      <w:r>
        <w:rPr/>
        <w:t>Head</w:t>
      </w:r>
      <w:r>
        <w:rPr>
          <w:spacing w:val="-2"/>
        </w:rPr>
        <w:t> </w:t>
      </w:r>
      <w:r>
        <w:rPr/>
        <w:t>of </w:t>
      </w:r>
      <w:r>
        <w:rPr>
          <w:spacing w:val="-2"/>
        </w:rPr>
        <w:t>Department</w:t>
      </w:r>
      <w:r>
        <w:rPr/>
        <w:tab/>
      </w:r>
      <w:r>
        <w:rPr>
          <w:spacing w:val="-2"/>
        </w:rPr>
        <w:t>Signature</w:t>
      </w:r>
      <w:r>
        <w:rPr/>
        <w:tab/>
      </w:r>
      <w:r>
        <w:rPr>
          <w:spacing w:val="-4"/>
        </w:rPr>
        <w:t>Date</w:t>
      </w:r>
    </w:p>
    <w:p>
      <w:pPr>
        <w:pStyle w:val="BodyText"/>
      </w:pPr>
    </w:p>
    <w:p>
      <w:pPr>
        <w:pStyle w:val="BodyText"/>
      </w:pPr>
    </w:p>
    <w:p>
      <w:pPr>
        <w:pStyle w:val="BodyText"/>
        <w:spacing w:before="252"/>
      </w:pPr>
    </w:p>
    <w:p>
      <w:pPr>
        <w:pStyle w:val="BodyText"/>
        <w:tabs>
          <w:tab w:pos="6601" w:val="left" w:leader="none"/>
        </w:tabs>
        <w:ind w:left="1200"/>
      </w:pPr>
      <w:r>
        <w:rPr>
          <w:u w:val="single"/>
        </w:rPr>
        <w:t>Prof.</w:t>
      </w:r>
      <w:r>
        <w:rPr>
          <w:spacing w:val="-4"/>
          <w:u w:val="single"/>
        </w:rPr>
        <w:t> </w:t>
      </w:r>
      <w:r>
        <w:rPr>
          <w:u w:val="single"/>
        </w:rPr>
        <w:t>SadiqZubairu</w:t>
      </w:r>
      <w:r>
        <w:rPr>
          <w:spacing w:val="-2"/>
          <w:u w:val="single"/>
        </w:rPr>
        <w:t> </w:t>
      </w:r>
      <w:r>
        <w:rPr>
          <w:u w:val="single"/>
        </w:rPr>
        <w:t>Abubakar</w:t>
      </w:r>
      <w:r>
        <w:rPr>
          <w:spacing w:val="-2"/>
          <w:u w:val="single"/>
        </w:rPr>
        <w:t> </w:t>
      </w:r>
      <w:r>
        <w:rPr>
          <w:spacing w:val="-2"/>
        </w:rPr>
        <w:t>................</w:t>
      </w:r>
      <w:r>
        <w:rPr/>
        <w:tab/>
      </w:r>
      <w:r>
        <w:rPr>
          <w:spacing w:val="-5"/>
        </w:rPr>
        <w:t>………</w:t>
      </w:r>
    </w:p>
    <w:p>
      <w:pPr>
        <w:pStyle w:val="BodyText"/>
        <w:tabs>
          <w:tab w:pos="5520" w:val="left" w:leader="none"/>
          <w:tab w:pos="7681" w:val="left" w:leader="none"/>
        </w:tabs>
        <w:spacing w:before="161"/>
        <w:ind w:left="1200"/>
      </w:pPr>
      <w:r>
        <w:rPr/>
        <w:t>Dean,</w:t>
      </w:r>
      <w:r>
        <w:rPr>
          <w:spacing w:val="-2"/>
        </w:rPr>
        <w:t> </w:t>
      </w:r>
      <w:r>
        <w:rPr/>
        <w:t>School</w:t>
      </w:r>
      <w:r>
        <w:rPr>
          <w:spacing w:val="-1"/>
        </w:rPr>
        <w:t> </w:t>
      </w:r>
      <w:r>
        <w:rPr/>
        <w:t>of</w:t>
      </w:r>
      <w:r>
        <w:rPr>
          <w:spacing w:val="-2"/>
        </w:rPr>
        <w:t> </w:t>
      </w:r>
      <w:r>
        <w:rPr/>
        <w:t>Postgraduate</w:t>
      </w:r>
      <w:r>
        <w:rPr>
          <w:spacing w:val="-1"/>
        </w:rPr>
        <w:t> </w:t>
      </w:r>
      <w:r>
        <w:rPr>
          <w:spacing w:val="-2"/>
        </w:rPr>
        <w:t>Studies</w:t>
      </w:r>
      <w:r>
        <w:rPr/>
        <w:tab/>
      </w:r>
      <w:r>
        <w:rPr>
          <w:spacing w:val="-2"/>
        </w:rPr>
        <w:t>Signature</w:t>
      </w:r>
      <w:r>
        <w:rPr/>
        <w:tab/>
      </w:r>
      <w:r>
        <w:rPr>
          <w:spacing w:val="-4"/>
        </w:rPr>
        <w:t>Date</w:t>
      </w:r>
    </w:p>
    <w:p>
      <w:pPr>
        <w:spacing w:after="0"/>
        <w:sectPr>
          <w:pgSz w:w="12240" w:h="15840"/>
          <w:pgMar w:header="0" w:footer="1015" w:top="1360" w:bottom="1200" w:left="240" w:right="0"/>
        </w:sectPr>
      </w:pPr>
    </w:p>
    <w:p>
      <w:pPr>
        <w:pStyle w:val="Heading3"/>
        <w:spacing w:before="79"/>
        <w:ind w:left="1254" w:right="1496"/>
        <w:jc w:val="center"/>
      </w:pPr>
      <w:bookmarkStart w:name="_TOC_250031" w:id="3"/>
      <w:bookmarkEnd w:id="3"/>
      <w:r>
        <w:rPr>
          <w:spacing w:val="-2"/>
        </w:rPr>
        <w:t>Acknowledgement</w:t>
      </w:r>
    </w:p>
    <w:p>
      <w:pPr>
        <w:pStyle w:val="BodyText"/>
        <w:spacing w:before="14"/>
        <w:rPr>
          <w:b/>
        </w:rPr>
      </w:pPr>
    </w:p>
    <w:p>
      <w:pPr>
        <w:pStyle w:val="BodyText"/>
        <w:tabs>
          <w:tab w:pos="2486" w:val="left" w:leader="none"/>
          <w:tab w:pos="4000" w:val="left" w:leader="none"/>
          <w:tab w:pos="5108" w:val="left" w:leader="none"/>
          <w:tab w:pos="6287" w:val="left" w:leader="none"/>
          <w:tab w:pos="8624" w:val="left" w:leader="none"/>
          <w:tab w:pos="9709" w:val="left" w:leader="none"/>
        </w:tabs>
        <w:spacing w:line="480" w:lineRule="auto" w:before="1"/>
        <w:ind w:left="1200" w:right="1431"/>
      </w:pPr>
      <w:r>
        <w:rPr/>
        <w:t>All praise</w:t>
      </w:r>
      <w:r>
        <w:rPr>
          <w:spacing w:val="-1"/>
        </w:rPr>
        <w:t> </w:t>
      </w:r>
      <w:r>
        <w:rPr/>
        <w:t>and thanks</w:t>
      </w:r>
      <w:r>
        <w:rPr>
          <w:spacing w:val="-1"/>
        </w:rPr>
        <w:t> </w:t>
      </w:r>
      <w:r>
        <w:rPr/>
        <w:t>are due</w:t>
      </w:r>
      <w:r>
        <w:rPr>
          <w:spacing w:val="-1"/>
        </w:rPr>
        <w:t> </w:t>
      </w:r>
      <w:r>
        <w:rPr/>
        <w:t>to almighty</w:t>
      </w:r>
      <w:r>
        <w:rPr>
          <w:spacing w:val="-5"/>
        </w:rPr>
        <w:t> </w:t>
      </w:r>
      <w:r>
        <w:rPr/>
        <w:t>Allah who in his</w:t>
      </w:r>
      <w:r>
        <w:rPr>
          <w:spacing w:val="-2"/>
        </w:rPr>
        <w:t> </w:t>
      </w:r>
      <w:r>
        <w:rPr/>
        <w:t>infinite</w:t>
      </w:r>
      <w:r>
        <w:rPr>
          <w:spacing w:val="-1"/>
        </w:rPr>
        <w:t> </w:t>
      </w:r>
      <w:r>
        <w:rPr/>
        <w:t>mercy</w:t>
      </w:r>
      <w:r>
        <w:rPr>
          <w:spacing w:val="-3"/>
        </w:rPr>
        <w:t> </w:t>
      </w:r>
      <w:r>
        <w:rPr/>
        <w:t>made</w:t>
      </w:r>
      <w:r>
        <w:rPr>
          <w:spacing w:val="-2"/>
        </w:rPr>
        <w:t> </w:t>
      </w:r>
      <w:r>
        <w:rPr/>
        <w:t>it possible</w:t>
      </w:r>
      <w:r>
        <w:rPr>
          <w:spacing w:val="-1"/>
        </w:rPr>
        <w:t> </w:t>
      </w:r>
      <w:r>
        <w:rPr/>
        <w:t>for</w:t>
      </w:r>
      <w:r>
        <w:rPr>
          <w:spacing w:val="-2"/>
        </w:rPr>
        <w:t> </w:t>
      </w:r>
      <w:r>
        <w:rPr/>
        <w:t>me to carry out this work.I wish to express my sincere gratitude and appreciation to my supervisors Dr. Aminu. Musa and Prof. Magaji Garba</w:t>
      </w:r>
      <w:r>
        <w:rPr>
          <w:spacing w:val="-1"/>
        </w:rPr>
        <w:t> </w:t>
      </w:r>
      <w:r>
        <w:rPr/>
        <w:t>for their tireless effort, indulgence, accommodation,gu idance,</w:t>
      </w:r>
      <w:r>
        <w:rPr>
          <w:spacing w:val="26"/>
        </w:rPr>
        <w:t> </w:t>
      </w:r>
      <w:r>
        <w:rPr/>
        <w:t>patience,</w:t>
      </w:r>
      <w:r>
        <w:rPr>
          <w:spacing w:val="26"/>
        </w:rPr>
        <w:t> </w:t>
      </w:r>
      <w:r>
        <w:rPr/>
        <w:t>tolerance,</w:t>
      </w:r>
      <w:r>
        <w:rPr>
          <w:spacing w:val="26"/>
        </w:rPr>
        <w:t> </w:t>
      </w:r>
      <w:r>
        <w:rPr/>
        <w:t>understanding</w:t>
      </w:r>
      <w:r>
        <w:rPr>
          <w:spacing w:val="24"/>
        </w:rPr>
        <w:t> </w:t>
      </w:r>
      <w:r>
        <w:rPr/>
        <w:t>and</w:t>
      </w:r>
      <w:r>
        <w:rPr>
          <w:spacing w:val="28"/>
        </w:rPr>
        <w:t> </w:t>
      </w:r>
      <w:r>
        <w:rPr/>
        <w:t>commitment.</w:t>
      </w:r>
      <w:r>
        <w:rPr>
          <w:spacing w:val="26"/>
        </w:rPr>
        <w:t> </w:t>
      </w:r>
      <w:r>
        <w:rPr/>
        <w:t>They played</w:t>
      </w:r>
      <w:r>
        <w:rPr>
          <w:spacing w:val="26"/>
        </w:rPr>
        <w:t> </w:t>
      </w:r>
      <w:r>
        <w:rPr/>
        <w:t>the</w:t>
      </w:r>
      <w:r>
        <w:rPr>
          <w:spacing w:val="26"/>
        </w:rPr>
        <w:t> </w:t>
      </w:r>
      <w:r>
        <w:rPr/>
        <w:t>roles</w:t>
      </w:r>
      <w:r>
        <w:rPr>
          <w:spacing w:val="28"/>
        </w:rPr>
        <w:t> </w:t>
      </w:r>
      <w:r>
        <w:rPr/>
        <w:t>of</w:t>
      </w:r>
      <w:r>
        <w:rPr>
          <w:spacing w:val="25"/>
        </w:rPr>
        <w:t> </w:t>
      </w:r>
      <w:r>
        <w:rPr/>
        <w:t>not</w:t>
      </w:r>
      <w:r>
        <w:rPr>
          <w:spacing w:val="27"/>
        </w:rPr>
        <w:t> </w:t>
      </w:r>
      <w:r>
        <w:rPr/>
        <w:t>only supervisors</w:t>
      </w:r>
      <w:r>
        <w:rPr>
          <w:spacing w:val="37"/>
        </w:rPr>
        <w:t> </w:t>
      </w:r>
      <w:r>
        <w:rPr/>
        <w:t>but</w:t>
      </w:r>
      <w:r>
        <w:rPr>
          <w:spacing w:val="38"/>
        </w:rPr>
        <w:t> </w:t>
      </w:r>
      <w:r>
        <w:rPr/>
        <w:t>academic</w:t>
      </w:r>
      <w:r>
        <w:rPr>
          <w:spacing w:val="36"/>
        </w:rPr>
        <w:t> </w:t>
      </w:r>
      <w:r>
        <w:rPr/>
        <w:t>mentors.</w:t>
      </w:r>
      <w:r>
        <w:rPr>
          <w:spacing w:val="39"/>
        </w:rPr>
        <w:t> </w:t>
      </w:r>
      <w:r>
        <w:rPr/>
        <w:t>My</w:t>
      </w:r>
      <w:r>
        <w:rPr>
          <w:spacing w:val="32"/>
        </w:rPr>
        <w:t> </w:t>
      </w:r>
      <w:r>
        <w:rPr/>
        <w:t>thanks</w:t>
      </w:r>
      <w:r>
        <w:rPr>
          <w:spacing w:val="40"/>
        </w:rPr>
        <w:t> </w:t>
      </w:r>
      <w:r>
        <w:rPr/>
        <w:t>go</w:t>
      </w:r>
      <w:r>
        <w:rPr>
          <w:spacing w:val="38"/>
        </w:rPr>
        <w:t> </w:t>
      </w:r>
      <w:r>
        <w:rPr/>
        <w:t>to</w:t>
      </w:r>
      <w:r>
        <w:rPr>
          <w:spacing w:val="38"/>
        </w:rPr>
        <w:t> </w:t>
      </w:r>
      <w:r>
        <w:rPr/>
        <w:t>Prof</w:t>
      </w:r>
      <w:r>
        <w:rPr>
          <w:spacing w:val="36"/>
        </w:rPr>
        <w:t> </w:t>
      </w:r>
      <w:r>
        <w:rPr/>
        <w:t>U.U.Pateh</w:t>
      </w:r>
      <w:r>
        <w:rPr>
          <w:spacing w:val="-3"/>
        </w:rPr>
        <w:t> </w:t>
      </w:r>
      <w:r>
        <w:rPr/>
        <w:t>(former</w:t>
      </w:r>
      <w:r>
        <w:rPr>
          <w:spacing w:val="36"/>
        </w:rPr>
        <w:t> </w:t>
      </w:r>
      <w:r>
        <w:rPr/>
        <w:t>Dean</w:t>
      </w:r>
      <w:r>
        <w:rPr>
          <w:spacing w:val="40"/>
        </w:rPr>
        <w:t> </w:t>
      </w:r>
      <w:r>
        <w:rPr/>
        <w:t>Faculty</w:t>
      </w:r>
      <w:r>
        <w:rPr>
          <w:spacing w:val="33"/>
        </w:rPr>
        <w:t> </w:t>
      </w:r>
      <w:r>
        <w:rPr/>
        <w:t>of Pharmaceutical</w:t>
      </w:r>
      <w:r>
        <w:rPr>
          <w:spacing w:val="80"/>
          <w:w w:val="150"/>
        </w:rPr>
        <w:t> </w:t>
      </w:r>
      <w:r>
        <w:rPr/>
        <w:t>Sciences,</w:t>
      </w:r>
      <w:r>
        <w:rPr>
          <w:spacing w:val="80"/>
          <w:w w:val="150"/>
        </w:rPr>
        <w:t> </w:t>
      </w:r>
      <w:r>
        <w:rPr/>
        <w:t>ABU</w:t>
      </w:r>
      <w:r>
        <w:rPr>
          <w:spacing w:val="80"/>
          <w:w w:val="150"/>
        </w:rPr>
        <w:t> </w:t>
      </w:r>
      <w:r>
        <w:rPr/>
        <w:t>Zaria)</w:t>
      </w:r>
      <w:r>
        <w:rPr>
          <w:spacing w:val="80"/>
          <w:w w:val="150"/>
        </w:rPr>
        <w:t> </w:t>
      </w:r>
      <w:r>
        <w:rPr/>
        <w:t>and</w:t>
      </w:r>
      <w:r>
        <w:rPr>
          <w:spacing w:val="80"/>
          <w:w w:val="150"/>
        </w:rPr>
        <w:t> </w:t>
      </w:r>
      <w:r>
        <w:rPr/>
        <w:t>Prof</w:t>
      </w:r>
      <w:r>
        <w:rPr>
          <w:spacing w:val="80"/>
          <w:w w:val="150"/>
        </w:rPr>
        <w:t> </w:t>
      </w:r>
      <w:r>
        <w:rPr/>
        <w:t>Aliyu</w:t>
      </w:r>
      <w:r>
        <w:rPr>
          <w:spacing w:val="80"/>
          <w:w w:val="150"/>
        </w:rPr>
        <w:t> </w:t>
      </w:r>
      <w:r>
        <w:rPr/>
        <w:t>Musa.(Head</w:t>
      </w:r>
      <w:r>
        <w:rPr>
          <w:spacing w:val="80"/>
          <w:w w:val="150"/>
        </w:rPr>
        <w:t> </w:t>
      </w:r>
      <w:r>
        <w:rPr/>
        <w:t>of</w:t>
      </w:r>
      <w:r>
        <w:rPr>
          <w:spacing w:val="80"/>
          <w:w w:val="150"/>
        </w:rPr>
        <w:t> </w:t>
      </w:r>
      <w:r>
        <w:rPr/>
        <w:t>Department</w:t>
      </w:r>
      <w:r>
        <w:rPr>
          <w:spacing w:val="80"/>
          <w:w w:val="150"/>
        </w:rPr>
        <w:t> </w:t>
      </w:r>
      <w:r>
        <w:rPr/>
        <w:t>of Pharmaceutical</w:t>
      </w:r>
      <w:r>
        <w:rPr>
          <w:spacing w:val="40"/>
        </w:rPr>
        <w:t> </w:t>
      </w:r>
      <w:r>
        <w:rPr/>
        <w:t>and</w:t>
      </w:r>
      <w:r>
        <w:rPr>
          <w:spacing w:val="40"/>
        </w:rPr>
        <w:t> </w:t>
      </w:r>
      <w:r>
        <w:rPr/>
        <w:t>Medicinal</w:t>
      </w:r>
      <w:r>
        <w:rPr>
          <w:spacing w:val="40"/>
        </w:rPr>
        <w:t> </w:t>
      </w:r>
      <w:r>
        <w:rPr/>
        <w:t>Chemistry</w:t>
      </w:r>
      <w:r>
        <w:rPr>
          <w:spacing w:val="37"/>
        </w:rPr>
        <w:t> </w:t>
      </w:r>
      <w:r>
        <w:rPr/>
        <w:t>ABU</w:t>
      </w:r>
      <w:r>
        <w:rPr>
          <w:spacing w:val="40"/>
        </w:rPr>
        <w:t> </w:t>
      </w:r>
      <w:r>
        <w:rPr/>
        <w:t>Zaria)</w:t>
      </w:r>
      <w:r>
        <w:rPr>
          <w:spacing w:val="40"/>
        </w:rPr>
        <w:t> </w:t>
      </w:r>
      <w:r>
        <w:rPr/>
        <w:t>for</w:t>
      </w:r>
      <w:r>
        <w:rPr>
          <w:spacing w:val="40"/>
        </w:rPr>
        <w:t> </w:t>
      </w:r>
      <w:r>
        <w:rPr/>
        <w:t>their</w:t>
      </w:r>
      <w:r>
        <w:rPr>
          <w:spacing w:val="40"/>
        </w:rPr>
        <w:t> </w:t>
      </w:r>
      <w:r>
        <w:rPr/>
        <w:t>help,</w:t>
      </w:r>
      <w:r>
        <w:rPr>
          <w:spacing w:val="40"/>
        </w:rPr>
        <w:t> </w:t>
      </w:r>
      <w:r>
        <w:rPr/>
        <w:t>support,</w:t>
      </w:r>
      <w:r>
        <w:rPr>
          <w:spacing w:val="40"/>
        </w:rPr>
        <w:t> </w:t>
      </w:r>
      <w:r>
        <w:rPr/>
        <w:t>mentoring</w:t>
      </w:r>
      <w:r>
        <w:rPr>
          <w:spacing w:val="40"/>
        </w:rPr>
        <w:t> </w:t>
      </w:r>
      <w:r>
        <w:rPr/>
        <w:t>and guidance. I also wish to express my</w:t>
      </w:r>
      <w:r>
        <w:rPr>
          <w:spacing w:val="-5"/>
        </w:rPr>
        <w:t> </w:t>
      </w:r>
      <w:r>
        <w:rPr/>
        <w:t>appreciation to all the academic and non academic staff of th e department of pharmaceutical and medicinal chemistry, A.B.U. Zaria who contributed directly or</w:t>
      </w:r>
      <w:r>
        <w:rPr>
          <w:spacing w:val="-1"/>
        </w:rPr>
        <w:t> </w:t>
      </w:r>
      <w:r>
        <w:rPr/>
        <w:t>indirectly</w:t>
      </w:r>
      <w:r>
        <w:rPr>
          <w:spacing w:val="-5"/>
        </w:rPr>
        <w:t> </w:t>
      </w:r>
      <w:r>
        <w:rPr/>
        <w:t>to the</w:t>
      </w:r>
      <w:r>
        <w:rPr>
          <w:spacing w:val="-1"/>
        </w:rPr>
        <w:t> </w:t>
      </w:r>
      <w:r>
        <w:rPr/>
        <w:t>success of</w:t>
      </w:r>
      <w:r>
        <w:rPr>
          <w:spacing w:val="-1"/>
        </w:rPr>
        <w:t> </w:t>
      </w:r>
      <w:r>
        <w:rPr/>
        <w:t>this</w:t>
      </w:r>
      <w:r>
        <w:rPr>
          <w:spacing w:val="-2"/>
        </w:rPr>
        <w:t> </w:t>
      </w:r>
      <w:r>
        <w:rPr/>
        <w:t>work. My</w:t>
      </w:r>
      <w:r>
        <w:rPr>
          <w:spacing w:val="-5"/>
        </w:rPr>
        <w:t> </w:t>
      </w:r>
      <w:r>
        <w:rPr/>
        <w:t>appreciation also goes to DrSalisuAwwal, Dr. Nasir, IbrahimMalamIlyasu (chief technologist), MallamBalaRiti, MallamNafiu and Malam Umar for their assistance with UV spectrophotometry work.My sincere gratitude and appreciation to my</w:t>
      </w:r>
      <w:r>
        <w:rPr>
          <w:spacing w:val="80"/>
        </w:rPr>
        <w:t> </w:t>
      </w:r>
      <w:r>
        <w:rPr/>
        <w:t>professional</w:t>
      </w:r>
      <w:r>
        <w:rPr>
          <w:spacing w:val="80"/>
        </w:rPr>
        <w:t> </w:t>
      </w:r>
      <w:r>
        <w:rPr/>
        <w:t>colleagues</w:t>
      </w:r>
      <w:r>
        <w:rPr>
          <w:spacing w:val="80"/>
        </w:rPr>
        <w:t> </w:t>
      </w:r>
      <w:r>
        <w:rPr/>
        <w:t>and</w:t>
      </w:r>
      <w:r>
        <w:rPr>
          <w:spacing w:val="80"/>
        </w:rPr>
        <w:t> </w:t>
      </w:r>
      <w:r>
        <w:rPr/>
        <w:t>roommates</w:t>
      </w:r>
      <w:r>
        <w:rPr>
          <w:spacing w:val="80"/>
        </w:rPr>
        <w:t> </w:t>
      </w:r>
      <w:r>
        <w:rPr/>
        <w:t>Pharm</w:t>
      </w:r>
      <w:r>
        <w:rPr>
          <w:spacing w:val="80"/>
        </w:rPr>
        <w:t> </w:t>
      </w:r>
      <w:r>
        <w:rPr/>
        <w:t>Inuwa</w:t>
      </w:r>
      <w:r>
        <w:rPr>
          <w:spacing w:val="80"/>
        </w:rPr>
        <w:t> </w:t>
      </w:r>
      <w:r>
        <w:rPr/>
        <w:t>Bello,</w:t>
      </w:r>
      <w:r>
        <w:rPr>
          <w:spacing w:val="80"/>
        </w:rPr>
        <w:t> </w:t>
      </w:r>
      <w:r>
        <w:rPr/>
        <w:t>Pharm</w:t>
      </w:r>
      <w:r>
        <w:rPr>
          <w:spacing w:val="80"/>
        </w:rPr>
        <w:t> </w:t>
      </w:r>
      <w:r>
        <w:rPr/>
        <w:t>M.S.</w:t>
      </w:r>
      <w:r>
        <w:rPr>
          <w:spacing w:val="80"/>
        </w:rPr>
        <w:t> </w:t>
      </w:r>
      <w:r>
        <w:rPr/>
        <w:t>Ahmad.</w:t>
      </w:r>
      <w:r>
        <w:rPr>
          <w:spacing w:val="80"/>
        </w:rPr>
        <w:t> </w:t>
      </w:r>
      <w:r>
        <w:rPr/>
        <w:t>Pharm HussainiAbbah Mohammad, who support me by providing the pure Isoniazid standard powder</w:t>
      </w:r>
      <w:r>
        <w:rPr>
          <w:spacing w:val="40"/>
        </w:rPr>
        <w:t> </w:t>
      </w:r>
      <w:r>
        <w:rPr/>
        <w:t>and my entire P15PHMC class. I wish to say thank you.My sincere appreciation and prayers go to my</w:t>
      </w:r>
      <w:r>
        <w:rPr>
          <w:spacing w:val="-8"/>
        </w:rPr>
        <w:t> </w:t>
      </w:r>
      <w:r>
        <w:rPr/>
        <w:t>late</w:t>
      </w:r>
      <w:r>
        <w:rPr>
          <w:spacing w:val="-1"/>
        </w:rPr>
        <w:t> </w:t>
      </w:r>
      <w:r>
        <w:rPr/>
        <w:t>parent for</w:t>
      </w:r>
      <w:r>
        <w:rPr>
          <w:spacing w:val="-2"/>
        </w:rPr>
        <w:t> </w:t>
      </w:r>
      <w:r>
        <w:rPr/>
        <w:t>initiating</w:t>
      </w:r>
      <w:r>
        <w:rPr>
          <w:spacing w:val="-3"/>
        </w:rPr>
        <w:t> </w:t>
      </w:r>
      <w:r>
        <w:rPr/>
        <w:t>the</w:t>
      </w:r>
      <w:r>
        <w:rPr>
          <w:spacing w:val="-1"/>
        </w:rPr>
        <w:t> </w:t>
      </w:r>
      <w:r>
        <w:rPr/>
        <w:t>process and for</w:t>
      </w:r>
      <w:r>
        <w:rPr>
          <w:spacing w:val="-2"/>
        </w:rPr>
        <w:t> </w:t>
      </w:r>
      <w:r>
        <w:rPr/>
        <w:t>their support, encouragement and prayers, may </w:t>
      </w:r>
      <w:r>
        <w:rPr>
          <w:spacing w:val="-2"/>
        </w:rPr>
        <w:t>Allah</w:t>
      </w:r>
      <w:r>
        <w:rPr/>
        <w:tab/>
      </w:r>
      <w:r>
        <w:rPr>
          <w:spacing w:val="-2"/>
        </w:rPr>
        <w:t>rewards</w:t>
      </w:r>
      <w:r>
        <w:rPr/>
        <w:tab/>
      </w:r>
      <w:r>
        <w:rPr>
          <w:spacing w:val="-4"/>
        </w:rPr>
        <w:t>you</w:t>
      </w:r>
      <w:r>
        <w:rPr/>
        <w:tab/>
      </w:r>
      <w:r>
        <w:rPr>
          <w:spacing w:val="-4"/>
        </w:rPr>
        <w:t>with</w:t>
      </w:r>
      <w:r>
        <w:rPr/>
        <w:tab/>
      </w:r>
      <w:r>
        <w:rPr>
          <w:spacing w:val="-2"/>
        </w:rPr>
        <w:t>JannatulFirdaus.</w:t>
      </w:r>
      <w:r>
        <w:rPr/>
        <w:tab/>
      </w:r>
      <w:r>
        <w:rPr>
          <w:spacing w:val="-6"/>
        </w:rPr>
        <w:t>My</w:t>
      </w:r>
      <w:r>
        <w:rPr/>
        <w:tab/>
      </w:r>
      <w:r>
        <w:rPr>
          <w:spacing w:val="-2"/>
        </w:rPr>
        <w:t>gratitude </w:t>
      </w:r>
      <w:r>
        <w:rPr/>
        <w:t>also go to my family especially my wives Nafisatu Sulaiman and Aisha Sulaiman, and my children for their patience and support, may Allah bless you abundantly.</w:t>
      </w:r>
    </w:p>
    <w:p>
      <w:pPr>
        <w:pStyle w:val="BodyText"/>
        <w:spacing w:line="480" w:lineRule="auto" w:before="161"/>
        <w:ind w:left="1200" w:right="1431"/>
      </w:pPr>
      <w:r>
        <w:rPr/>
        <w:t>I</w:t>
      </w:r>
      <w:r>
        <w:rPr>
          <w:spacing w:val="25"/>
        </w:rPr>
        <w:t> </w:t>
      </w:r>
      <w:r>
        <w:rPr/>
        <w:t>cannot</w:t>
      </w:r>
      <w:r>
        <w:rPr>
          <w:spacing w:val="27"/>
        </w:rPr>
        <w:t> </w:t>
      </w:r>
      <w:r>
        <w:rPr/>
        <w:t>conclude</w:t>
      </w:r>
      <w:r>
        <w:rPr>
          <w:spacing w:val="27"/>
        </w:rPr>
        <w:t> </w:t>
      </w:r>
      <w:r>
        <w:rPr/>
        <w:t>without</w:t>
      </w:r>
      <w:r>
        <w:rPr>
          <w:spacing w:val="27"/>
        </w:rPr>
        <w:t> </w:t>
      </w:r>
      <w:r>
        <w:rPr/>
        <w:t>extending</w:t>
      </w:r>
      <w:r>
        <w:rPr>
          <w:spacing w:val="24"/>
        </w:rPr>
        <w:t> </w:t>
      </w:r>
      <w:r>
        <w:rPr/>
        <w:t>my</w:t>
      </w:r>
      <w:r>
        <w:rPr>
          <w:spacing w:val="21"/>
        </w:rPr>
        <w:t> </w:t>
      </w:r>
      <w:r>
        <w:rPr/>
        <w:t>thanks</w:t>
      </w:r>
      <w:r>
        <w:rPr>
          <w:spacing w:val="28"/>
        </w:rPr>
        <w:t> </w:t>
      </w:r>
      <w:r>
        <w:rPr/>
        <w:t>to</w:t>
      </w:r>
      <w:r>
        <w:rPr>
          <w:spacing w:val="27"/>
        </w:rPr>
        <w:t> </w:t>
      </w:r>
      <w:r>
        <w:rPr/>
        <w:t>Dr.</w:t>
      </w:r>
      <w:r>
        <w:rPr>
          <w:spacing w:val="26"/>
        </w:rPr>
        <w:t> </w:t>
      </w:r>
      <w:r>
        <w:rPr/>
        <w:t>Abba</w:t>
      </w:r>
      <w:r>
        <w:rPr>
          <w:spacing w:val="27"/>
        </w:rPr>
        <w:t> </w:t>
      </w:r>
      <w:r>
        <w:rPr/>
        <w:t>Zakari</w:t>
      </w:r>
      <w:r>
        <w:rPr>
          <w:spacing w:val="26"/>
        </w:rPr>
        <w:t> </w:t>
      </w:r>
      <w:r>
        <w:rPr/>
        <w:t>Umar,</w:t>
      </w:r>
      <w:r>
        <w:rPr>
          <w:spacing w:val="25"/>
        </w:rPr>
        <w:t> </w:t>
      </w:r>
      <w:r>
        <w:rPr/>
        <w:t>Hon.</w:t>
      </w:r>
      <w:r>
        <w:rPr>
          <w:spacing w:val="26"/>
        </w:rPr>
        <w:t> </w:t>
      </w:r>
      <w:r>
        <w:rPr/>
        <w:t>Com.</w:t>
      </w:r>
      <w:r>
        <w:rPr>
          <w:spacing w:val="26"/>
        </w:rPr>
        <w:t> </w:t>
      </w:r>
      <w:r>
        <w:rPr/>
        <w:t>Jigawa state</w:t>
      </w:r>
      <w:r>
        <w:rPr>
          <w:spacing w:val="34"/>
        </w:rPr>
        <w:t> </w:t>
      </w:r>
      <w:r>
        <w:rPr/>
        <w:t>ministry</w:t>
      </w:r>
      <w:r>
        <w:rPr>
          <w:spacing w:val="29"/>
        </w:rPr>
        <w:t> </w:t>
      </w:r>
      <w:r>
        <w:rPr/>
        <w:t>of</w:t>
      </w:r>
      <w:r>
        <w:rPr>
          <w:spacing w:val="39"/>
        </w:rPr>
        <w:t> </w:t>
      </w:r>
      <w:r>
        <w:rPr/>
        <w:t>health,</w:t>
      </w:r>
      <w:r>
        <w:rPr>
          <w:spacing w:val="40"/>
        </w:rPr>
        <w:t> </w:t>
      </w:r>
      <w:r>
        <w:rPr/>
        <w:t>Dr.</w:t>
      </w:r>
      <w:r>
        <w:rPr>
          <w:spacing w:val="38"/>
        </w:rPr>
        <w:t> </w:t>
      </w:r>
      <w:r>
        <w:rPr/>
        <w:t>Kabiru</w:t>
      </w:r>
      <w:r>
        <w:rPr>
          <w:spacing w:val="39"/>
        </w:rPr>
        <w:t> </w:t>
      </w:r>
      <w:r>
        <w:rPr/>
        <w:t>Ibrahim,</w:t>
      </w:r>
      <w:r>
        <w:rPr>
          <w:spacing w:val="37"/>
        </w:rPr>
        <w:t> </w:t>
      </w:r>
      <w:r>
        <w:rPr/>
        <w:t>executive</w:t>
      </w:r>
      <w:r>
        <w:rPr>
          <w:spacing w:val="37"/>
        </w:rPr>
        <w:t> </w:t>
      </w:r>
      <w:r>
        <w:rPr/>
        <w:t>secretary,</w:t>
      </w:r>
      <w:r>
        <w:rPr>
          <w:spacing w:val="37"/>
        </w:rPr>
        <w:t> </w:t>
      </w:r>
      <w:r>
        <w:rPr/>
        <w:t>Jigawa</w:t>
      </w:r>
      <w:r>
        <w:rPr>
          <w:spacing w:val="38"/>
        </w:rPr>
        <w:t> </w:t>
      </w:r>
      <w:r>
        <w:rPr/>
        <w:t>state</w:t>
      </w:r>
      <w:r>
        <w:rPr>
          <w:spacing w:val="37"/>
        </w:rPr>
        <w:t> </w:t>
      </w:r>
      <w:r>
        <w:rPr/>
        <w:t>primary</w:t>
      </w:r>
      <w:r>
        <w:rPr>
          <w:spacing w:val="33"/>
        </w:rPr>
        <w:t> </w:t>
      </w:r>
      <w:r>
        <w:rPr>
          <w:spacing w:val="-2"/>
        </w:rPr>
        <w:t>health</w:t>
      </w:r>
    </w:p>
    <w:p>
      <w:pPr>
        <w:spacing w:after="0" w:line="480" w:lineRule="auto"/>
        <w:sectPr>
          <w:pgSz w:w="12240" w:h="15840"/>
          <w:pgMar w:header="0" w:footer="1015" w:top="1360" w:bottom="1200" w:left="240" w:right="0"/>
        </w:sectPr>
      </w:pPr>
    </w:p>
    <w:p>
      <w:pPr>
        <w:pStyle w:val="BodyText"/>
        <w:spacing w:line="480" w:lineRule="auto" w:before="72"/>
        <w:ind w:left="1200" w:right="1431"/>
      </w:pPr>
      <w:r>
        <w:rPr/>
        <w:t>care agency and Alhaji Maigari Usman, (SardaunanSarawa) former director,administration and finance, Jigawa state primary health care agency for their support and indulgence.</w:t>
      </w:r>
    </w:p>
    <w:p>
      <w:pPr>
        <w:spacing w:after="0" w:line="480" w:lineRule="auto"/>
        <w:sectPr>
          <w:pgSz w:w="12240" w:h="15840"/>
          <w:pgMar w:header="0" w:footer="1015" w:top="1360" w:bottom="1200" w:left="240" w:right="0"/>
        </w:sectPr>
      </w:pPr>
    </w:p>
    <w:p>
      <w:pPr>
        <w:pStyle w:val="Heading2"/>
        <w:spacing w:before="79"/>
        <w:ind w:right="1492"/>
      </w:pPr>
      <w:bookmarkStart w:name="_TOC_250030" w:id="4"/>
      <w:bookmarkEnd w:id="4"/>
      <w:r>
        <w:rPr>
          <w:spacing w:val="-2"/>
        </w:rPr>
        <w:t>ABSTRACT</w:t>
      </w:r>
    </w:p>
    <w:p>
      <w:pPr>
        <w:pStyle w:val="BodyText"/>
        <w:spacing w:before="14"/>
        <w:rPr>
          <w:b/>
        </w:rPr>
      </w:pPr>
    </w:p>
    <w:p>
      <w:pPr>
        <w:pStyle w:val="BodyText"/>
        <w:spacing w:line="480" w:lineRule="auto" w:before="1"/>
        <w:ind w:left="1200" w:right="1437"/>
        <w:jc w:val="both"/>
      </w:pPr>
      <w:r>
        <w:rPr/>
        <w:t>Tuberculosis (TB) is a serious infectious disease which is on increase since emergence of human immunodeficiency virus (HIV) leading to TB/HIV co infection, causing complications and treatment failure. Isoniazid is a first line drug for the treatment of TB therefore it is important to develop methods that will monitor its quality. In this study, four rapid, simple, relatively accurate, and precise spectrophotometric methods for the quantitative determination of isoniazid in pure and tablet dosage form were developed and validated. Methods 1 and 2 were based on dissolving standard isoniazid powder in distilled water and methanol respectively and scanning using</w:t>
      </w:r>
      <w:r>
        <w:rPr>
          <w:spacing w:val="40"/>
        </w:rPr>
        <w:t>  </w:t>
      </w:r>
      <w:r>
        <w:rPr/>
        <w:t>UV-Vis spectrophotometer at a wavelength range of 200 - 400 nm to determine the wavelength of maximum absorption (λmax). Method 3 was based on condensation reaction between isoniazid and 2,4-di-nitrophenyl hydrazine (2,4 DNPH) and heating under acidic condition using 2 mL of 85 % hydrochloric acid (HCl) to form an orange-red hydrazone which was allowed to stand for few minutes for complete color development.</w:t>
      </w:r>
      <w:r>
        <w:rPr>
          <w:spacing w:val="80"/>
          <w:w w:val="150"/>
        </w:rPr>
        <w:t> </w:t>
      </w:r>
      <w:r>
        <w:rPr/>
        <w:t>Method 4 was based on the diazotization of isonizid with sodium nitrite (NaNO2) and coupling</w:t>
      </w:r>
      <w:r>
        <w:rPr>
          <w:spacing w:val="40"/>
        </w:rPr>
        <w:t> </w:t>
      </w:r>
      <w:r>
        <w:rPr/>
        <w:t>withparaaminotoluidine under acidic condition (2 % HCl) and gently heating to give a colouredchromagen (diazo dye) which was allowed to stand for few minutes for complete color development. The colouredhydrazone and diazo dye formed were scanned at visible range of 400-750 nm to determine their λmaxs. Calibration curves were prepared using these methods. The developed methods were validated using ICH guidelines with respect to linearity, precision, accuracy, percentage recovery, limit of detection (LOD) and limit of quantification (LOQ). Standard isonizid powder and a sample of isoniazid tablet were assayed using each method and compared with BP, 2009 method for the assay of isoniazid. Method 1 and 2 were observed to have a λmax of</w:t>
      </w:r>
      <w:r>
        <w:rPr>
          <w:spacing w:val="-2"/>
        </w:rPr>
        <w:t> </w:t>
      </w:r>
      <w:r>
        <w:rPr/>
        <w:t>264</w:t>
      </w:r>
      <w:r>
        <w:rPr>
          <w:spacing w:val="-1"/>
        </w:rPr>
        <w:t> </w:t>
      </w:r>
      <w:r>
        <w:rPr/>
        <w:t>nm</w:t>
      </w:r>
      <w:r>
        <w:rPr>
          <w:spacing w:val="1"/>
        </w:rPr>
        <w:t> </w:t>
      </w:r>
      <w:r>
        <w:rPr/>
        <w:t>while an</w:t>
      </w:r>
      <w:r>
        <w:rPr>
          <w:spacing w:val="1"/>
        </w:rPr>
        <w:t> </w:t>
      </w:r>
      <w:r>
        <w:rPr/>
        <w:t>orange-red</w:t>
      </w:r>
      <w:r>
        <w:rPr>
          <w:spacing w:val="1"/>
        </w:rPr>
        <w:t> </w:t>
      </w:r>
      <w:r>
        <w:rPr/>
        <w:t>and</w:t>
      </w:r>
      <w:r>
        <w:rPr>
          <w:spacing w:val="2"/>
        </w:rPr>
        <w:t> </w:t>
      </w:r>
      <w:r>
        <w:rPr/>
        <w:t>a</w:t>
      </w:r>
      <w:r>
        <w:rPr>
          <w:spacing w:val="2"/>
        </w:rPr>
        <w:t> </w:t>
      </w:r>
      <w:r>
        <w:rPr/>
        <w:t>yellow</w:t>
      </w:r>
      <w:r>
        <w:rPr>
          <w:spacing w:val="-1"/>
        </w:rPr>
        <w:t> </w:t>
      </w:r>
      <w:r>
        <w:rPr/>
        <w:t>chromagencolours</w:t>
      </w:r>
      <w:r>
        <w:rPr>
          <w:spacing w:val="2"/>
        </w:rPr>
        <w:t> </w:t>
      </w:r>
      <w:r>
        <w:rPr/>
        <w:t>were</w:t>
      </w:r>
      <w:r>
        <w:rPr>
          <w:spacing w:val="-2"/>
        </w:rPr>
        <w:t> </w:t>
      </w:r>
      <w:r>
        <w:rPr/>
        <w:t>formed</w:t>
      </w:r>
      <w:r>
        <w:rPr>
          <w:spacing w:val="-1"/>
        </w:rPr>
        <w:t> </w:t>
      </w:r>
      <w:r>
        <w:rPr/>
        <w:t>for methods</w:t>
      </w:r>
      <w:r>
        <w:rPr>
          <w:spacing w:val="-1"/>
        </w:rPr>
        <w:t> </w:t>
      </w:r>
      <w:r>
        <w:rPr/>
        <w:t>3</w:t>
      </w:r>
      <w:r>
        <w:rPr>
          <w:spacing w:val="1"/>
        </w:rPr>
        <w:t> </w:t>
      </w:r>
      <w:r>
        <w:rPr/>
        <w:t>and </w:t>
      </w:r>
      <w:r>
        <w:rPr>
          <w:spacing w:val="-10"/>
        </w:rPr>
        <w:t>4</w:t>
      </w:r>
    </w:p>
    <w:p>
      <w:pPr>
        <w:spacing w:after="0" w:line="480" w:lineRule="auto"/>
        <w:jc w:val="both"/>
        <w:sectPr>
          <w:pgSz w:w="12240" w:h="15840"/>
          <w:pgMar w:header="0" w:footer="1015" w:top="1360" w:bottom="1200" w:left="240" w:right="0"/>
        </w:sectPr>
      </w:pPr>
    </w:p>
    <w:p>
      <w:pPr>
        <w:pStyle w:val="BodyText"/>
        <w:spacing w:line="480" w:lineRule="auto" w:before="72"/>
        <w:ind w:left="1200" w:right="1435"/>
        <w:jc w:val="both"/>
      </w:pPr>
      <w:r>
        <w:rPr/>
        <w:t>with time for complete development and λmax 15 and 20 minutes, 464 and 420 nm respectively. Methods 1 and 2 obeyed Beer’s law within a concentration range of 1-11 μg/mL while the range for methods 3 and 4 was 1-18 μg/mL. The correlation coefficient for the calibration plot was 0.999 in each case. The precision of the methods were ≤ 1.57 (percentage coefficient of</w:t>
      </w:r>
      <w:r>
        <w:rPr>
          <w:spacing w:val="40"/>
        </w:rPr>
        <w:t> </w:t>
      </w:r>
      <w:r>
        <w:rPr/>
        <w:t>variation, % CV) while the accuracy, percentage relative error (% Er) and percentage recoveries were</w:t>
      </w:r>
      <w:r>
        <w:rPr>
          <w:spacing w:val="26"/>
        </w:rPr>
        <w:t> </w:t>
      </w:r>
      <w:r>
        <w:rPr/>
        <w:t>≤</w:t>
      </w:r>
      <w:r>
        <w:rPr>
          <w:spacing w:val="30"/>
        </w:rPr>
        <w:t> </w:t>
      </w:r>
      <w:r>
        <w:rPr/>
        <w:t>4.130</w:t>
      </w:r>
      <w:r>
        <w:rPr>
          <w:spacing w:val="29"/>
        </w:rPr>
        <w:t> </w:t>
      </w:r>
      <w:r>
        <w:rPr/>
        <w:t>and</w:t>
      </w:r>
      <w:r>
        <w:rPr>
          <w:spacing w:val="29"/>
        </w:rPr>
        <w:t> </w:t>
      </w:r>
      <w:r>
        <w:rPr/>
        <w:t>≤</w:t>
      </w:r>
      <w:r>
        <w:rPr>
          <w:spacing w:val="30"/>
        </w:rPr>
        <w:t> </w:t>
      </w:r>
      <w:r>
        <w:rPr/>
        <w:t>102.01</w:t>
      </w:r>
      <w:r>
        <w:rPr>
          <w:spacing w:val="29"/>
        </w:rPr>
        <w:t> </w:t>
      </w:r>
      <w:r>
        <w:rPr/>
        <w:t>respectively.</w:t>
      </w:r>
      <w:r>
        <w:rPr>
          <w:spacing w:val="29"/>
        </w:rPr>
        <w:t> </w:t>
      </w:r>
      <w:r>
        <w:rPr/>
        <w:t>The</w:t>
      </w:r>
      <w:r>
        <w:rPr>
          <w:spacing w:val="28"/>
        </w:rPr>
        <w:t> </w:t>
      </w:r>
      <w:r>
        <w:rPr/>
        <w:t>methods</w:t>
      </w:r>
      <w:r>
        <w:rPr>
          <w:spacing w:val="31"/>
        </w:rPr>
        <w:t> </w:t>
      </w:r>
      <w:r>
        <w:rPr/>
        <w:t>have</w:t>
      </w:r>
      <w:r>
        <w:rPr>
          <w:spacing w:val="31"/>
        </w:rPr>
        <w:t> </w:t>
      </w:r>
      <w:r>
        <w:rPr/>
        <w:t>LOD</w:t>
      </w:r>
      <w:r>
        <w:rPr>
          <w:spacing w:val="28"/>
        </w:rPr>
        <w:t> </w:t>
      </w:r>
      <w:r>
        <w:rPr/>
        <w:t>and</w:t>
      </w:r>
      <w:r>
        <w:rPr>
          <w:spacing w:val="32"/>
        </w:rPr>
        <w:t> </w:t>
      </w:r>
      <w:r>
        <w:rPr/>
        <w:t>LOQ</w:t>
      </w:r>
      <w:r>
        <w:rPr>
          <w:spacing w:val="28"/>
        </w:rPr>
        <w:t> </w:t>
      </w:r>
      <w:r>
        <w:rPr/>
        <w:t>of</w:t>
      </w:r>
      <w:r>
        <w:rPr>
          <w:spacing w:val="29"/>
        </w:rPr>
        <w:t> </w:t>
      </w:r>
      <w:r>
        <w:rPr/>
        <w:t>≤</w:t>
      </w:r>
      <w:r>
        <w:rPr>
          <w:spacing w:val="30"/>
        </w:rPr>
        <w:t> </w:t>
      </w:r>
      <w:r>
        <w:rPr/>
        <w:t>0.145</w:t>
      </w:r>
      <w:r>
        <w:rPr>
          <w:spacing w:val="29"/>
        </w:rPr>
        <w:t> </w:t>
      </w:r>
      <w:r>
        <w:rPr/>
        <w:t>and</w:t>
      </w:r>
      <w:r>
        <w:rPr>
          <w:spacing w:val="30"/>
        </w:rPr>
        <w:t> </w:t>
      </w:r>
      <w:r>
        <w:rPr>
          <w:spacing w:val="-10"/>
        </w:rPr>
        <w:t>≤</w:t>
      </w:r>
    </w:p>
    <w:p>
      <w:pPr>
        <w:pStyle w:val="BodyText"/>
        <w:spacing w:line="480" w:lineRule="auto"/>
        <w:ind w:left="1200" w:right="1437"/>
        <w:jc w:val="both"/>
      </w:pPr>
      <w:r>
        <w:rPr/>
        <w:t>0.559 µg/mL respectively. All the validation parameters were within the normal ranges. The percentage content of isoniazid in the standard powder and brand of the tablet assayed using all the developed methods were within the BP range of 99 - 101 % and 98.0 – 102 % respectively. There was no significant difference (p &lt; 0.05) between the percentages drug content assayed using the developed methods and that of the BP method, thus the developed methods can be interchanged with the BP method for quantitative estimation of isoniazid in pure and tablet dosage form.</w:t>
      </w:r>
    </w:p>
    <w:p>
      <w:pPr>
        <w:spacing w:after="0" w:line="480" w:lineRule="auto"/>
        <w:jc w:val="both"/>
        <w:sectPr>
          <w:pgSz w:w="12240" w:h="15840"/>
          <w:pgMar w:header="0" w:footer="1015" w:top="1360" w:bottom="1200" w:left="240" w:right="0"/>
        </w:sectPr>
      </w:pPr>
    </w:p>
    <w:p>
      <w:pPr>
        <w:pStyle w:val="Heading2"/>
        <w:spacing w:before="76"/>
        <w:ind w:left="1257"/>
      </w:pPr>
      <w:r>
        <w:rPr/>
        <w:t>TABLE OF</w:t>
      </w:r>
      <w:r>
        <w:rPr>
          <w:spacing w:val="-3"/>
        </w:rPr>
        <w:t> </w:t>
      </w:r>
      <w:r>
        <w:rPr>
          <w:spacing w:val="-2"/>
        </w:rPr>
        <w:t>CONTENT</w:t>
      </w:r>
    </w:p>
    <w:p>
      <w:pPr>
        <w:pStyle w:val="BodyText"/>
        <w:spacing w:before="161"/>
        <w:rPr>
          <w:b/>
        </w:rPr>
      </w:pPr>
    </w:p>
    <w:p>
      <w:pPr>
        <w:tabs>
          <w:tab w:pos="6241" w:val="left" w:leader="none"/>
        </w:tabs>
        <w:spacing w:before="1"/>
        <w:ind w:left="1200" w:right="0" w:firstLine="0"/>
        <w:jc w:val="left"/>
        <w:rPr>
          <w:b/>
          <w:sz w:val="24"/>
        </w:rPr>
      </w:pPr>
      <w:r>
        <w:rPr>
          <w:b/>
          <w:spacing w:val="-2"/>
          <w:sz w:val="24"/>
        </w:rPr>
        <w:t>Content</w:t>
      </w:r>
      <w:r>
        <w:rPr>
          <w:b/>
          <w:sz w:val="24"/>
        </w:rPr>
        <w:tab/>
        <w:t>Page</w:t>
      </w:r>
      <w:r>
        <w:rPr>
          <w:b/>
          <w:spacing w:val="-4"/>
          <w:sz w:val="24"/>
        </w:rPr>
        <w:t> </w:t>
      </w:r>
      <w:r>
        <w:rPr>
          <w:b/>
          <w:spacing w:val="-2"/>
          <w:sz w:val="24"/>
        </w:rPr>
        <w:t>Number</w:t>
      </w:r>
    </w:p>
    <w:p>
      <w:pPr>
        <w:spacing w:after="0"/>
        <w:jc w:val="left"/>
        <w:rPr>
          <w:sz w:val="24"/>
        </w:rPr>
        <w:sectPr>
          <w:pgSz w:w="12240" w:h="15840"/>
          <w:pgMar w:header="0" w:footer="1015" w:top="1360" w:bottom="1615" w:left="240" w:right="0"/>
        </w:sectPr>
      </w:pPr>
    </w:p>
    <w:sdt>
      <w:sdtPr>
        <w:docPartObj>
          <w:docPartGallery w:val="Table of Contents"/>
          <w:docPartUnique/>
        </w:docPartObj>
      </w:sdtPr>
      <w:sdtEndPr/>
      <w:sdtContent>
        <w:p>
          <w:pPr>
            <w:pStyle w:val="TOC3"/>
            <w:tabs>
              <w:tab w:pos="10467" w:val="right" w:leader="dot"/>
            </w:tabs>
            <w:spacing w:before="429"/>
            <w:ind w:left="1200" w:firstLine="0"/>
          </w:pPr>
          <w:r>
            <w:rPr>
              <w:spacing w:val="-2"/>
            </w:rPr>
            <w:t>Coverpage</w:t>
          </w:r>
          <w:r>
            <w:rPr/>
            <w:tab/>
          </w:r>
          <w:r>
            <w:rPr>
              <w:spacing w:val="-10"/>
            </w:rPr>
            <w:t>i</w:t>
          </w:r>
        </w:p>
        <w:p>
          <w:pPr>
            <w:pStyle w:val="TOC3"/>
            <w:tabs>
              <w:tab w:pos="10522" w:val="right" w:leader="dot"/>
            </w:tabs>
            <w:ind w:left="1200" w:firstLine="0"/>
          </w:pPr>
          <w:r>
            <w:rPr/>
            <w:t>Title</w:t>
          </w:r>
          <w:r>
            <w:rPr>
              <w:spacing w:val="-1"/>
            </w:rPr>
            <w:t> </w:t>
          </w:r>
          <w:r>
            <w:rPr>
              <w:spacing w:val="-4"/>
            </w:rPr>
            <w:t>page</w:t>
          </w:r>
          <w:r>
            <w:rPr/>
            <w:tab/>
          </w:r>
          <w:r>
            <w:rPr>
              <w:spacing w:val="-5"/>
            </w:rPr>
            <w:t>ii</w:t>
          </w:r>
        </w:p>
        <w:p>
          <w:pPr>
            <w:pStyle w:val="TOC3"/>
            <w:tabs>
              <w:tab w:pos="10561" w:val="right" w:leader="dot"/>
            </w:tabs>
            <w:spacing w:before="276"/>
            <w:ind w:left="1200" w:firstLine="0"/>
          </w:pPr>
          <w:hyperlink w:history="true" w:anchor="_TOC_250033">
            <w:r>
              <w:rPr>
                <w:spacing w:val="-2"/>
              </w:rPr>
              <w:t>Declaration…</w:t>
            </w:r>
            <w:r>
              <w:rPr/>
              <w:tab/>
            </w:r>
            <w:r>
              <w:rPr>
                <w:spacing w:val="-5"/>
              </w:rPr>
              <w:t>iii</w:t>
            </w:r>
          </w:hyperlink>
        </w:p>
        <w:p>
          <w:pPr>
            <w:pStyle w:val="TOC3"/>
            <w:tabs>
              <w:tab w:pos="10521" w:val="right" w:leader="dot"/>
            </w:tabs>
            <w:spacing w:before="438"/>
            <w:ind w:left="1200" w:firstLine="0"/>
          </w:pPr>
          <w:hyperlink w:history="true" w:anchor="_TOC_250032">
            <w:r>
              <w:rPr>
                <w:spacing w:val="-2"/>
              </w:rPr>
              <w:t>Certification…</w:t>
            </w:r>
            <w:r>
              <w:rPr/>
              <w:tab/>
            </w:r>
            <w:r>
              <w:rPr>
                <w:spacing w:val="-5"/>
              </w:rPr>
              <w:t>iv</w:t>
            </w:r>
          </w:hyperlink>
        </w:p>
        <w:p>
          <w:pPr>
            <w:pStyle w:val="TOC3"/>
            <w:tabs>
              <w:tab w:pos="10513" w:val="right" w:leader="dot"/>
            </w:tabs>
            <w:spacing w:before="434"/>
            <w:ind w:left="1200" w:firstLine="0"/>
          </w:pPr>
          <w:hyperlink w:history="true" w:anchor="_TOC_250031">
            <w:r>
              <w:rPr>
                <w:spacing w:val="-2"/>
              </w:rPr>
              <w:t>Acknowledgement</w:t>
            </w:r>
            <w:r>
              <w:rPr/>
              <w:tab/>
            </w:r>
            <w:r>
              <w:rPr>
                <w:spacing w:val="-10"/>
              </w:rPr>
              <w:t>v</w:t>
            </w:r>
          </w:hyperlink>
        </w:p>
        <w:p>
          <w:pPr>
            <w:pStyle w:val="TOC3"/>
            <w:tabs>
              <w:tab w:pos="10549" w:val="right" w:leader="dot"/>
            </w:tabs>
            <w:ind w:left="1200" w:firstLine="0"/>
          </w:pPr>
          <w:hyperlink w:history="true" w:anchor="_TOC_250030">
            <w:r>
              <w:rPr>
                <w:spacing w:val="-2"/>
              </w:rPr>
              <w:t>Abstract</w:t>
            </w:r>
            <w:r>
              <w:rPr/>
              <w:tab/>
            </w:r>
            <w:r>
              <w:rPr>
                <w:spacing w:val="-5"/>
              </w:rPr>
              <w:t>vii</w:t>
            </w:r>
          </w:hyperlink>
        </w:p>
        <w:p>
          <w:pPr>
            <w:pStyle w:val="TOC3"/>
            <w:tabs>
              <w:tab w:pos="10495" w:val="right" w:leader="dot"/>
            </w:tabs>
            <w:ind w:left="1200" w:firstLine="0"/>
          </w:pPr>
          <w:r>
            <w:rPr/>
            <w:t>Table</w:t>
          </w:r>
          <w:r>
            <w:rPr>
              <w:spacing w:val="-2"/>
            </w:rPr>
            <w:t> </w:t>
          </w:r>
          <w:r>
            <w:rPr/>
            <w:t>of</w:t>
          </w:r>
          <w:r>
            <w:rPr>
              <w:spacing w:val="-2"/>
            </w:rPr>
            <w:t> contents</w:t>
          </w:r>
          <w:r>
            <w:rPr/>
            <w:tab/>
          </w:r>
          <w:r>
            <w:rPr>
              <w:spacing w:val="-5"/>
            </w:rPr>
            <w:t>ix</w:t>
          </w:r>
        </w:p>
        <w:p>
          <w:pPr>
            <w:pStyle w:val="TOC3"/>
            <w:tabs>
              <w:tab w:pos="10515" w:val="right" w:leader="dot"/>
            </w:tabs>
            <w:spacing w:before="434"/>
            <w:ind w:left="1200" w:firstLine="0"/>
          </w:pPr>
          <w:hyperlink w:history="true" w:anchor="_TOC_250029">
            <w:r>
              <w:rPr/>
              <w:t>List</w:t>
            </w:r>
            <w:r>
              <w:rPr>
                <w:spacing w:val="-2"/>
              </w:rPr>
              <w:t> </w:t>
            </w:r>
            <w:r>
              <w:rPr/>
              <w:t>of</w:t>
            </w:r>
            <w:r>
              <w:rPr>
                <w:spacing w:val="-2"/>
              </w:rPr>
              <w:t> tables…</w:t>
            </w:r>
            <w:r>
              <w:rPr/>
              <w:tab/>
            </w:r>
            <w:r>
              <w:rPr>
                <w:spacing w:val="-4"/>
              </w:rPr>
              <w:t>xiii</w:t>
            </w:r>
          </w:hyperlink>
        </w:p>
        <w:p>
          <w:pPr>
            <w:pStyle w:val="TOC3"/>
            <w:tabs>
              <w:tab w:pos="10552" w:val="right" w:leader="dot"/>
            </w:tabs>
            <w:ind w:left="1200" w:firstLine="0"/>
          </w:pPr>
          <w:hyperlink w:history="true" w:anchor="_TOC_250028">
            <w:r>
              <w:rPr/>
              <w:t>List</w:t>
            </w:r>
            <w:r>
              <w:rPr>
                <w:spacing w:val="-4"/>
              </w:rPr>
              <w:t> </w:t>
            </w:r>
            <w:r>
              <w:rPr/>
              <w:t>of</w:t>
            </w:r>
            <w:r>
              <w:rPr>
                <w:spacing w:val="-1"/>
              </w:rPr>
              <w:t> </w:t>
            </w:r>
            <w:r>
              <w:rPr>
                <w:spacing w:val="-2"/>
              </w:rPr>
              <w:t>figures…</w:t>
            </w:r>
            <w:r>
              <w:rPr/>
              <w:tab/>
            </w:r>
            <w:r>
              <w:rPr>
                <w:spacing w:val="-5"/>
              </w:rPr>
              <w:t>xiv</w:t>
            </w:r>
          </w:hyperlink>
        </w:p>
        <w:p>
          <w:pPr>
            <w:pStyle w:val="TOC3"/>
            <w:tabs>
              <w:tab w:pos="10523" w:val="right" w:leader="dot"/>
            </w:tabs>
            <w:spacing w:before="435"/>
            <w:ind w:left="1200" w:firstLine="0"/>
          </w:pPr>
          <w:r>
            <w:rPr/>
            <w:t>List</w:t>
          </w:r>
          <w:r>
            <w:rPr>
              <w:spacing w:val="-2"/>
            </w:rPr>
            <w:t> </w:t>
          </w:r>
          <w:r>
            <w:rPr/>
            <w:t>of</w:t>
          </w:r>
          <w:r>
            <w:rPr>
              <w:spacing w:val="-1"/>
            </w:rPr>
            <w:t> </w:t>
          </w:r>
          <w:r>
            <w:rPr>
              <w:spacing w:val="-2"/>
            </w:rPr>
            <w:t>appendices…</w:t>
          </w:r>
          <w:r>
            <w:rPr/>
            <w:tab/>
          </w:r>
          <w:r>
            <w:rPr>
              <w:spacing w:val="-5"/>
            </w:rPr>
            <w:t>xv</w:t>
          </w:r>
        </w:p>
        <w:p>
          <w:pPr>
            <w:pStyle w:val="TOC3"/>
            <w:tabs>
              <w:tab w:pos="10458" w:val="right" w:leader="dot"/>
            </w:tabs>
            <w:ind w:left="1200" w:firstLine="0"/>
          </w:pPr>
          <w:r>
            <w:rPr>
              <w:spacing w:val="-2"/>
            </w:rPr>
            <w:t>Abbreviation</w:t>
          </w:r>
          <w:r>
            <w:rPr/>
            <w:tab/>
          </w:r>
          <w:r>
            <w:rPr>
              <w:spacing w:val="-5"/>
            </w:rPr>
            <w:t>xvi</w:t>
          </w:r>
        </w:p>
        <w:p>
          <w:pPr>
            <w:pStyle w:val="TOC1"/>
            <w:spacing w:before="441"/>
          </w:pPr>
          <w:r>
            <w:rPr>
              <w:spacing w:val="-2"/>
            </w:rPr>
            <w:t>CHAPTER</w:t>
          </w:r>
        </w:p>
        <w:p>
          <w:pPr>
            <w:pStyle w:val="TOC1"/>
            <w:tabs>
              <w:tab w:pos="9042" w:val="left" w:leader="dot"/>
            </w:tabs>
            <w:spacing w:before="271"/>
          </w:pPr>
          <w:r>
            <w:rPr>
              <w:spacing w:val="-5"/>
            </w:rPr>
            <w:t>ONE</w:t>
          </w:r>
          <w:r>
            <w:rPr/>
            <w:tab/>
          </w:r>
          <w:r>
            <w:rPr>
              <w:b w:val="0"/>
              <w:spacing w:val="-2"/>
            </w:rPr>
            <w:t>1</w:t>
          </w:r>
          <w:r>
            <w:rPr>
              <w:spacing w:val="-2"/>
            </w:rPr>
            <w:t>INTRODUC</w:t>
          </w:r>
        </w:p>
        <w:p>
          <w:pPr>
            <w:pStyle w:val="TOC1"/>
            <w:tabs>
              <w:tab w:pos="9196" w:val="right" w:leader="dot"/>
            </w:tabs>
            <w:spacing w:before="277"/>
            <w:rPr>
              <w:b w:val="0"/>
            </w:rPr>
          </w:pPr>
          <w:r>
            <w:rPr>
              <w:spacing w:val="-4"/>
            </w:rPr>
            <w:t>TION</w:t>
          </w:r>
          <w:r>
            <w:rPr/>
            <w:tab/>
          </w:r>
          <w:r>
            <w:rPr>
              <w:b w:val="0"/>
              <w:spacing w:val="-10"/>
            </w:rPr>
            <w:t>1</w:t>
          </w:r>
        </w:p>
        <w:p>
          <w:pPr>
            <w:pStyle w:val="TOC2"/>
            <w:numPr>
              <w:ilvl w:val="1"/>
              <w:numId w:val="1"/>
            </w:numPr>
            <w:tabs>
              <w:tab w:pos="1500" w:val="left" w:leader="none"/>
              <w:tab w:pos="10434" w:val="right" w:leader="dot"/>
            </w:tabs>
            <w:spacing w:line="240" w:lineRule="auto" w:before="434" w:after="0"/>
            <w:ind w:left="1500" w:right="0" w:hanging="300"/>
            <w:jc w:val="left"/>
            <w:rPr>
              <w:b w:val="0"/>
            </w:rPr>
          </w:pPr>
          <w:hyperlink w:history="true" w:anchor="_TOC_250027">
            <w:r>
              <w:rPr/>
              <w:t>Theoretical</w:t>
            </w:r>
            <w:r>
              <w:rPr>
                <w:spacing w:val="-5"/>
              </w:rPr>
              <w:t> </w:t>
            </w:r>
            <w:r>
              <w:rPr/>
              <w:t>Frame</w:t>
            </w:r>
            <w:r>
              <w:rPr>
                <w:spacing w:val="-2"/>
              </w:rPr>
              <w:t> </w:t>
            </w:r>
            <w:r>
              <w:rPr>
                <w:spacing w:val="-4"/>
              </w:rPr>
              <w:t>Work</w:t>
            </w:r>
            <w:r>
              <w:rPr/>
              <w:tab/>
            </w:r>
            <w:r>
              <w:rPr>
                <w:b w:val="0"/>
                <w:spacing w:val="-10"/>
              </w:rPr>
              <w:t>2</w:t>
            </w:r>
          </w:hyperlink>
        </w:p>
        <w:p>
          <w:pPr>
            <w:pStyle w:val="TOC2"/>
            <w:numPr>
              <w:ilvl w:val="1"/>
              <w:numId w:val="1"/>
            </w:numPr>
            <w:tabs>
              <w:tab w:pos="1560" w:val="left" w:leader="none"/>
              <w:tab w:pos="10547" w:val="right" w:leader="dot"/>
            </w:tabs>
            <w:spacing w:line="240" w:lineRule="auto" w:before="437" w:after="0"/>
            <w:ind w:left="1560" w:right="0" w:hanging="360"/>
            <w:jc w:val="left"/>
            <w:rPr>
              <w:b w:val="0"/>
            </w:rPr>
          </w:pPr>
          <w:r>
            <w:rPr/>
            <w:t>Statement</w:t>
          </w:r>
          <w:r>
            <w:rPr>
              <w:spacing w:val="-3"/>
            </w:rPr>
            <w:t> </w:t>
          </w:r>
          <w:r>
            <w:rPr/>
            <w:t>of</w:t>
          </w:r>
          <w:r>
            <w:rPr>
              <w:spacing w:val="-2"/>
            </w:rPr>
            <w:t> </w:t>
          </w:r>
          <w:r>
            <w:rPr/>
            <w:t>the</w:t>
          </w:r>
          <w:r>
            <w:rPr>
              <w:spacing w:val="-3"/>
            </w:rPr>
            <w:t> </w:t>
          </w:r>
          <w:r>
            <w:rPr>
              <w:spacing w:val="-2"/>
            </w:rPr>
            <w:t>Research</w:t>
          </w:r>
          <w:r>
            <w:rPr>
              <w:b w:val="0"/>
            </w:rPr>
            <w:tab/>
          </w:r>
          <w:r>
            <w:rPr>
              <w:b w:val="0"/>
              <w:spacing w:val="-10"/>
            </w:rPr>
            <w:t>3</w:t>
          </w:r>
        </w:p>
        <w:p>
          <w:pPr>
            <w:pStyle w:val="TOC2"/>
            <w:numPr>
              <w:ilvl w:val="1"/>
              <w:numId w:val="1"/>
            </w:numPr>
            <w:tabs>
              <w:tab w:pos="1500" w:val="left" w:leader="none"/>
              <w:tab w:pos="10475" w:val="right" w:leader="dot"/>
            </w:tabs>
            <w:spacing w:line="240" w:lineRule="auto" w:before="437" w:after="178"/>
            <w:ind w:left="1500" w:right="0" w:hanging="300"/>
            <w:jc w:val="left"/>
            <w:rPr>
              <w:b w:val="0"/>
            </w:rPr>
          </w:pPr>
          <w:hyperlink w:history="true" w:anchor="_TOC_250026">
            <w:r>
              <w:rPr/>
              <w:t>Justification</w:t>
            </w:r>
            <w:r>
              <w:rPr>
                <w:spacing w:val="-1"/>
              </w:rPr>
              <w:t> </w:t>
            </w:r>
            <w:r>
              <w:rPr/>
              <w:t>of</w:t>
            </w:r>
            <w:r>
              <w:rPr>
                <w:spacing w:val="-1"/>
              </w:rPr>
              <w:t> </w:t>
            </w:r>
            <w:r>
              <w:rPr/>
              <w:t>the</w:t>
            </w:r>
            <w:r>
              <w:rPr>
                <w:spacing w:val="-2"/>
              </w:rPr>
              <w:t> Research</w:t>
            </w:r>
            <w:r>
              <w:rPr>
                <w:b w:val="0"/>
              </w:rPr>
              <w:tab/>
            </w:r>
            <w:r>
              <w:rPr>
                <w:b w:val="0"/>
                <w:spacing w:val="-10"/>
              </w:rPr>
              <w:t>4</w:t>
            </w:r>
          </w:hyperlink>
        </w:p>
        <w:p>
          <w:pPr>
            <w:pStyle w:val="TOC2"/>
            <w:numPr>
              <w:ilvl w:val="1"/>
              <w:numId w:val="1"/>
            </w:numPr>
            <w:tabs>
              <w:tab w:pos="1560" w:val="left" w:leader="none"/>
              <w:tab w:pos="10547" w:val="right" w:leader="dot"/>
            </w:tabs>
            <w:spacing w:line="240" w:lineRule="auto" w:before="72" w:after="0"/>
            <w:ind w:left="1560" w:right="0" w:hanging="360"/>
            <w:jc w:val="left"/>
            <w:rPr>
              <w:b w:val="0"/>
            </w:rPr>
          </w:pPr>
          <w:hyperlink w:history="true" w:anchor="_TOC_250025">
            <w:r>
              <w:rPr/>
              <w:t>Aim</w:t>
            </w:r>
            <w:r>
              <w:rPr>
                <w:spacing w:val="-4"/>
              </w:rPr>
              <w:t> </w:t>
            </w:r>
            <w:r>
              <w:rPr/>
              <w:t>of</w:t>
            </w:r>
            <w:r>
              <w:rPr>
                <w:spacing w:val="1"/>
              </w:rPr>
              <w:t> </w:t>
            </w:r>
            <w:r>
              <w:rPr/>
              <w:t>the </w:t>
            </w:r>
            <w:r>
              <w:rPr>
                <w:spacing w:val="-2"/>
              </w:rPr>
              <w:t>Research</w:t>
            </w:r>
            <w:r>
              <w:rPr/>
              <w:tab/>
            </w:r>
            <w:r>
              <w:rPr>
                <w:b w:val="0"/>
                <w:spacing w:val="-10"/>
              </w:rPr>
              <w:t>4</w:t>
            </w:r>
          </w:hyperlink>
        </w:p>
        <w:p>
          <w:pPr>
            <w:pStyle w:val="TOC3"/>
            <w:numPr>
              <w:ilvl w:val="2"/>
              <w:numId w:val="1"/>
            </w:numPr>
            <w:tabs>
              <w:tab w:pos="1740" w:val="left" w:leader="none"/>
              <w:tab w:pos="10521" w:val="right" w:leader="dot"/>
            </w:tabs>
            <w:spacing w:line="240" w:lineRule="auto" w:before="437" w:after="0"/>
            <w:ind w:left="1740" w:right="0" w:hanging="540"/>
            <w:jc w:val="left"/>
          </w:pPr>
          <w:hyperlink w:history="true" w:anchor="_TOC_250024">
            <w:r>
              <w:rPr/>
              <w:t>Specific</w:t>
            </w:r>
            <w:r>
              <w:rPr>
                <w:spacing w:val="-2"/>
              </w:rPr>
              <w:t> objectives</w:t>
            </w:r>
            <w:r>
              <w:rPr/>
              <w:tab/>
            </w:r>
            <w:r>
              <w:rPr>
                <w:spacing w:val="-10"/>
              </w:rPr>
              <w:t>4</w:t>
            </w:r>
          </w:hyperlink>
        </w:p>
        <w:p>
          <w:pPr>
            <w:pStyle w:val="TOC1"/>
            <w:tabs>
              <w:tab w:pos="10521" w:val="right" w:leader="dot"/>
            </w:tabs>
            <w:spacing w:before="434"/>
            <w:rPr>
              <w:b w:val="0"/>
            </w:rPr>
          </w:pPr>
          <w:hyperlink w:history="true" w:anchor="_TOC_250023">
            <w:r>
              <w:rPr/>
              <w:t>CHAPTER</w:t>
            </w:r>
            <w:r>
              <w:rPr>
                <w:spacing w:val="-4"/>
              </w:rPr>
              <w:t> </w:t>
            </w:r>
            <w:r>
              <w:rPr>
                <w:spacing w:val="-5"/>
              </w:rPr>
              <w:t>TWO</w:t>
            </w:r>
            <w:r>
              <w:rPr/>
              <w:tab/>
            </w:r>
            <w:r>
              <w:rPr>
                <w:b w:val="0"/>
                <w:spacing w:val="-10"/>
              </w:rPr>
              <w:t>5</w:t>
            </w:r>
          </w:hyperlink>
        </w:p>
        <w:p>
          <w:pPr>
            <w:pStyle w:val="TOC1"/>
            <w:numPr>
              <w:ilvl w:val="1"/>
              <w:numId w:val="2"/>
            </w:numPr>
            <w:tabs>
              <w:tab w:pos="1560" w:val="left" w:leader="none"/>
              <w:tab w:pos="10449" w:val="right" w:leader="dot"/>
            </w:tabs>
            <w:spacing w:line="240" w:lineRule="auto" w:before="437" w:after="0"/>
            <w:ind w:left="1560" w:right="0" w:hanging="360"/>
            <w:jc w:val="left"/>
            <w:rPr>
              <w:b w:val="0"/>
            </w:rPr>
          </w:pPr>
          <w:hyperlink w:history="true" w:anchor="_TOC_250022">
            <w:r>
              <w:rPr/>
              <w:t>LITERATURE</w:t>
            </w:r>
            <w:r>
              <w:rPr>
                <w:spacing w:val="-2"/>
              </w:rPr>
              <w:t> REVIEW</w:t>
            </w:r>
            <w:r>
              <w:rPr/>
              <w:tab/>
            </w:r>
            <w:r>
              <w:rPr>
                <w:b w:val="0"/>
                <w:spacing w:val="-10"/>
              </w:rPr>
              <w:t>5</w:t>
            </w:r>
          </w:hyperlink>
        </w:p>
        <w:p>
          <w:pPr>
            <w:pStyle w:val="TOC2"/>
            <w:numPr>
              <w:ilvl w:val="1"/>
              <w:numId w:val="2"/>
            </w:numPr>
            <w:tabs>
              <w:tab w:pos="1560" w:val="left" w:leader="none"/>
              <w:tab w:pos="10497" w:val="right" w:leader="dot"/>
            </w:tabs>
            <w:spacing w:line="240" w:lineRule="auto" w:before="437" w:after="0"/>
            <w:ind w:left="1560" w:right="0" w:hanging="360"/>
            <w:jc w:val="left"/>
            <w:rPr>
              <w:b w:val="0"/>
            </w:rPr>
          </w:pPr>
          <w:r>
            <w:rPr/>
            <w:t>Chemistry</w:t>
          </w:r>
          <w:r>
            <w:rPr>
              <w:spacing w:val="-4"/>
            </w:rPr>
            <w:t> </w:t>
          </w:r>
          <w:r>
            <w:rPr/>
            <w:t>of</w:t>
          </w:r>
          <w:r>
            <w:rPr>
              <w:spacing w:val="-1"/>
            </w:rPr>
            <w:t> </w:t>
          </w:r>
          <w:r>
            <w:rPr>
              <w:spacing w:val="-2"/>
            </w:rPr>
            <w:t>Isonizid</w:t>
          </w:r>
          <w:r>
            <w:rPr/>
            <w:tab/>
          </w:r>
          <w:r>
            <w:rPr>
              <w:b w:val="0"/>
              <w:spacing w:val="-10"/>
            </w:rPr>
            <w:t>5</w:t>
          </w:r>
        </w:p>
        <w:p>
          <w:pPr>
            <w:pStyle w:val="TOC3"/>
            <w:numPr>
              <w:ilvl w:val="2"/>
              <w:numId w:val="2"/>
            </w:numPr>
            <w:tabs>
              <w:tab w:pos="1740" w:val="left" w:leader="none"/>
              <w:tab w:pos="10487" w:val="right" w:leader="dot"/>
            </w:tabs>
            <w:spacing w:line="240" w:lineRule="auto" w:before="435" w:after="0"/>
            <w:ind w:left="1740" w:right="0" w:hanging="540"/>
            <w:jc w:val="left"/>
          </w:pPr>
          <w:r>
            <w:rPr/>
            <w:t>Mechanism</w:t>
          </w:r>
          <w:r>
            <w:rPr>
              <w:spacing w:val="-1"/>
            </w:rPr>
            <w:t> </w:t>
          </w:r>
          <w:r>
            <w:rPr/>
            <w:t>of</w:t>
          </w:r>
          <w:r>
            <w:rPr>
              <w:spacing w:val="-1"/>
            </w:rPr>
            <w:t> </w:t>
          </w:r>
          <w:r>
            <w:rPr/>
            <w:t>action</w:t>
          </w:r>
          <w:r>
            <w:rPr>
              <w:spacing w:val="-1"/>
            </w:rPr>
            <w:t> </w:t>
          </w:r>
          <w:r>
            <w:rPr/>
            <w:t>of</w:t>
          </w:r>
          <w:r>
            <w:rPr>
              <w:spacing w:val="-1"/>
            </w:rPr>
            <w:t> </w:t>
          </w:r>
          <w:r>
            <w:rPr>
              <w:spacing w:val="-2"/>
            </w:rPr>
            <w:t>isonizid</w:t>
          </w:r>
          <w:r>
            <w:rPr/>
            <w:tab/>
          </w:r>
          <w:r>
            <w:rPr>
              <w:spacing w:val="-10"/>
            </w:rPr>
            <w:t>5</w:t>
          </w:r>
        </w:p>
        <w:p>
          <w:pPr>
            <w:pStyle w:val="TOC3"/>
            <w:numPr>
              <w:ilvl w:val="2"/>
              <w:numId w:val="2"/>
            </w:numPr>
            <w:tabs>
              <w:tab w:pos="1740" w:val="left" w:leader="none"/>
              <w:tab w:pos="10535" w:val="right" w:leader="dot"/>
            </w:tabs>
            <w:spacing w:line="240" w:lineRule="auto" w:before="437" w:after="0"/>
            <w:ind w:left="1740" w:right="0" w:hanging="540"/>
            <w:jc w:val="left"/>
          </w:pPr>
          <w:hyperlink w:history="true" w:anchor="_TOC_250021">
            <w:r>
              <w:rPr/>
              <w:t>Uses</w:t>
            </w:r>
            <w:r>
              <w:rPr>
                <w:spacing w:val="-1"/>
              </w:rPr>
              <w:t> </w:t>
            </w:r>
            <w:r>
              <w:rPr/>
              <w:t>of</w:t>
            </w:r>
            <w:r>
              <w:rPr>
                <w:spacing w:val="-1"/>
              </w:rPr>
              <w:t> </w:t>
            </w:r>
            <w:r>
              <w:rPr>
                <w:spacing w:val="-2"/>
              </w:rPr>
              <w:t>isoniazid</w:t>
            </w:r>
            <w:r>
              <w:rPr/>
              <w:tab/>
            </w:r>
            <w:r>
              <w:rPr>
                <w:spacing w:val="-10"/>
              </w:rPr>
              <w:t>6</w:t>
            </w:r>
          </w:hyperlink>
        </w:p>
        <w:p>
          <w:pPr>
            <w:pStyle w:val="TOC2"/>
            <w:numPr>
              <w:ilvl w:val="1"/>
              <w:numId w:val="2"/>
            </w:numPr>
            <w:tabs>
              <w:tab w:pos="1500" w:val="left" w:leader="none"/>
              <w:tab w:pos="10461" w:val="right" w:leader="dot"/>
            </w:tabs>
            <w:spacing w:line="240" w:lineRule="auto" w:before="437" w:after="0"/>
            <w:ind w:left="1500" w:right="0" w:hanging="300"/>
            <w:jc w:val="left"/>
            <w:rPr>
              <w:b w:val="0"/>
            </w:rPr>
          </w:pPr>
          <w:r>
            <w:rPr/>
            <w:t>Chemistry</w:t>
          </w:r>
          <w:r>
            <w:rPr>
              <w:spacing w:val="-2"/>
            </w:rPr>
            <w:t> </w:t>
          </w:r>
          <w:r>
            <w:rPr/>
            <w:t>of</w:t>
          </w:r>
          <w:r>
            <w:rPr>
              <w:spacing w:val="-1"/>
            </w:rPr>
            <w:t> </w:t>
          </w:r>
          <w:r>
            <w:rPr/>
            <w:t>Schiff</w:t>
          </w:r>
          <w:r>
            <w:rPr>
              <w:spacing w:val="-3"/>
            </w:rPr>
            <w:t> </w:t>
          </w:r>
          <w:r>
            <w:rPr>
              <w:spacing w:val="-4"/>
            </w:rPr>
            <w:t>Base</w:t>
          </w:r>
          <w:r>
            <w:rPr/>
            <w:tab/>
          </w:r>
          <w:r>
            <w:rPr>
              <w:b w:val="0"/>
              <w:spacing w:val="-10"/>
            </w:rPr>
            <w:t>6</w:t>
          </w:r>
        </w:p>
        <w:p>
          <w:pPr>
            <w:pStyle w:val="TOC2"/>
            <w:numPr>
              <w:ilvl w:val="1"/>
              <w:numId w:val="2"/>
            </w:numPr>
            <w:tabs>
              <w:tab w:pos="1560" w:val="left" w:leader="none"/>
              <w:tab w:pos="10509" w:val="right" w:leader="dot"/>
            </w:tabs>
            <w:spacing w:line="240" w:lineRule="auto" w:before="434" w:after="0"/>
            <w:ind w:left="1560" w:right="0" w:hanging="360"/>
            <w:jc w:val="left"/>
            <w:rPr>
              <w:b w:val="0"/>
            </w:rPr>
          </w:pPr>
          <w:hyperlink w:history="true" w:anchor="_TOC_250020">
            <w:r>
              <w:rPr/>
              <w:t>Chemistry</w:t>
            </w:r>
            <w:r>
              <w:rPr>
                <w:spacing w:val="-2"/>
              </w:rPr>
              <w:t> </w:t>
            </w:r>
            <w:r>
              <w:rPr/>
              <w:t>of</w:t>
            </w:r>
            <w:r>
              <w:rPr>
                <w:spacing w:val="-1"/>
              </w:rPr>
              <w:t> </w:t>
            </w:r>
            <w:r>
              <w:rPr/>
              <w:t>Diazo </w:t>
            </w:r>
            <w:r>
              <w:rPr>
                <w:spacing w:val="-5"/>
              </w:rPr>
              <w:t>dye</w:t>
            </w:r>
            <w:r>
              <w:rPr/>
              <w:tab/>
            </w:r>
            <w:r>
              <w:rPr>
                <w:b w:val="0"/>
                <w:spacing w:val="-10"/>
              </w:rPr>
              <w:t>7</w:t>
            </w:r>
          </w:hyperlink>
        </w:p>
        <w:p>
          <w:pPr>
            <w:pStyle w:val="TOC2"/>
            <w:numPr>
              <w:ilvl w:val="1"/>
              <w:numId w:val="2"/>
            </w:numPr>
            <w:tabs>
              <w:tab w:pos="1560" w:val="left" w:leader="none"/>
              <w:tab w:pos="10540" w:val="right" w:leader="dot"/>
            </w:tabs>
            <w:spacing w:line="240" w:lineRule="auto" w:before="437" w:after="0"/>
            <w:ind w:left="1560" w:right="0" w:hanging="360"/>
            <w:jc w:val="left"/>
            <w:rPr>
              <w:b w:val="0"/>
            </w:rPr>
          </w:pPr>
          <w:r>
            <w:rPr/>
            <w:t>Analytical</w:t>
          </w:r>
          <w:r>
            <w:rPr>
              <w:spacing w:val="-4"/>
            </w:rPr>
            <w:t> </w:t>
          </w:r>
          <w:r>
            <w:rPr/>
            <w:t>Methods</w:t>
          </w:r>
          <w:r>
            <w:rPr>
              <w:spacing w:val="-1"/>
            </w:rPr>
            <w:t> </w:t>
          </w:r>
          <w:r>
            <w:rPr/>
            <w:t>for</w:t>
          </w:r>
          <w:r>
            <w:rPr>
              <w:spacing w:val="-2"/>
            </w:rPr>
            <w:t> </w:t>
          </w:r>
          <w:r>
            <w:rPr/>
            <w:t>the</w:t>
          </w:r>
          <w:r>
            <w:rPr>
              <w:spacing w:val="-2"/>
            </w:rPr>
            <w:t> </w:t>
          </w:r>
          <w:r>
            <w:rPr/>
            <w:t>Determination</w:t>
          </w:r>
          <w:r>
            <w:rPr>
              <w:spacing w:val="1"/>
            </w:rPr>
            <w:t> </w:t>
          </w:r>
          <w:r>
            <w:rPr/>
            <w:t>of </w:t>
          </w:r>
          <w:r>
            <w:rPr>
              <w:spacing w:val="-2"/>
            </w:rPr>
            <w:t>Isonizid</w:t>
          </w:r>
          <w:r>
            <w:rPr/>
            <w:tab/>
          </w:r>
          <w:r>
            <w:rPr>
              <w:b w:val="0"/>
              <w:spacing w:val="-10"/>
            </w:rPr>
            <w:t>8</w:t>
          </w:r>
        </w:p>
        <w:p>
          <w:pPr>
            <w:pStyle w:val="TOC3"/>
            <w:numPr>
              <w:ilvl w:val="2"/>
              <w:numId w:val="2"/>
            </w:numPr>
            <w:tabs>
              <w:tab w:pos="1740" w:val="left" w:leader="none"/>
              <w:tab w:pos="10487" w:val="right" w:leader="dot"/>
            </w:tabs>
            <w:spacing w:line="240" w:lineRule="auto" w:before="435" w:after="0"/>
            <w:ind w:left="1740" w:right="0" w:hanging="540"/>
            <w:jc w:val="left"/>
          </w:pPr>
          <w:hyperlink w:history="true" w:anchor="_TOC_250019">
            <w:r>
              <w:rPr/>
              <w:t>UV</w:t>
            </w:r>
            <w:r>
              <w:rPr>
                <w:spacing w:val="-3"/>
              </w:rPr>
              <w:t> </w:t>
            </w:r>
            <w:r>
              <w:rPr/>
              <w:t>spectrophotometric</w:t>
            </w:r>
            <w:r>
              <w:rPr>
                <w:spacing w:val="-1"/>
              </w:rPr>
              <w:t> </w:t>
            </w:r>
            <w:r>
              <w:rPr/>
              <w:t>method using</w:t>
            </w:r>
            <w:r>
              <w:rPr>
                <w:spacing w:val="-2"/>
              </w:rPr>
              <w:t> </w:t>
            </w:r>
            <w:r>
              <w:rPr/>
              <w:t>distilled</w:t>
            </w:r>
            <w:r>
              <w:rPr>
                <w:spacing w:val="-1"/>
              </w:rPr>
              <w:t> </w:t>
            </w:r>
            <w:r>
              <w:rPr/>
              <w:t>water</w:t>
            </w:r>
            <w:r>
              <w:rPr>
                <w:spacing w:val="-1"/>
              </w:rPr>
              <w:t> </w:t>
            </w:r>
            <w:r>
              <w:rPr/>
              <w:t>and </w:t>
            </w:r>
            <w:r>
              <w:rPr>
                <w:spacing w:val="-2"/>
              </w:rPr>
              <w:t>methanol…</w:t>
            </w:r>
            <w:r>
              <w:rPr/>
              <w:tab/>
            </w:r>
            <w:r>
              <w:rPr>
                <w:spacing w:val="-10"/>
              </w:rPr>
              <w:t>8</w:t>
            </w:r>
          </w:hyperlink>
        </w:p>
        <w:p>
          <w:pPr>
            <w:pStyle w:val="TOC3"/>
            <w:numPr>
              <w:ilvl w:val="2"/>
              <w:numId w:val="2"/>
            </w:numPr>
            <w:tabs>
              <w:tab w:pos="1740" w:val="left" w:leader="none"/>
              <w:tab w:pos="10509" w:val="right" w:leader="dot"/>
            </w:tabs>
            <w:spacing w:line="240" w:lineRule="auto" w:before="436" w:after="0"/>
            <w:ind w:left="1740" w:right="0" w:hanging="540"/>
            <w:jc w:val="left"/>
          </w:pPr>
          <w:hyperlink w:history="true" w:anchor="_TOC_250018">
            <w:r>
              <w:rPr/>
              <w:t>Colourometric</w:t>
            </w:r>
            <w:r>
              <w:rPr>
                <w:spacing w:val="-5"/>
              </w:rPr>
              <w:t> </w:t>
            </w:r>
            <w:r>
              <w:rPr/>
              <w:t>method</w:t>
            </w:r>
            <w:r>
              <w:rPr>
                <w:spacing w:val="-1"/>
              </w:rPr>
              <w:t> </w:t>
            </w:r>
            <w:r>
              <w:rPr/>
              <w:t>using</w:t>
            </w:r>
            <w:r>
              <w:rPr>
                <w:spacing w:val="-4"/>
              </w:rPr>
              <w:t> </w:t>
            </w:r>
            <w:r>
              <w:rPr/>
              <w:t>2,4-dinitrophenyl</w:t>
            </w:r>
            <w:r>
              <w:rPr>
                <w:spacing w:val="-1"/>
              </w:rPr>
              <w:t> </w:t>
            </w:r>
            <w:r>
              <w:rPr/>
              <w:t>hydrazine</w:t>
            </w:r>
            <w:r>
              <w:rPr>
                <w:spacing w:val="-1"/>
              </w:rPr>
              <w:t> </w:t>
            </w:r>
            <w:r>
              <w:rPr/>
              <w:t>and</w:t>
            </w:r>
            <w:r>
              <w:rPr>
                <w:spacing w:val="-1"/>
              </w:rPr>
              <w:t> </w:t>
            </w:r>
            <w:r>
              <w:rPr>
                <w:spacing w:val="-2"/>
              </w:rPr>
              <w:t>diazotization…</w:t>
            </w:r>
            <w:r>
              <w:rPr/>
              <w:tab/>
            </w:r>
            <w:r>
              <w:rPr>
                <w:spacing w:val="-10"/>
              </w:rPr>
              <w:t>8</w:t>
            </w:r>
          </w:hyperlink>
        </w:p>
        <w:p>
          <w:pPr>
            <w:pStyle w:val="TOC3"/>
            <w:numPr>
              <w:ilvl w:val="2"/>
              <w:numId w:val="2"/>
            </w:numPr>
            <w:tabs>
              <w:tab w:pos="1680" w:val="left" w:leader="none"/>
              <w:tab w:pos="10489" w:val="right" w:leader="dot"/>
            </w:tabs>
            <w:spacing w:line="240" w:lineRule="auto" w:before="437" w:after="0"/>
            <w:ind w:left="1680" w:right="0" w:hanging="480"/>
            <w:jc w:val="left"/>
          </w:pPr>
          <w:r>
            <w:rPr/>
            <w:t>Compedial</w:t>
          </w:r>
          <w:r>
            <w:rPr>
              <w:spacing w:val="-3"/>
            </w:rPr>
            <w:t> </w:t>
          </w:r>
          <w:r>
            <w:rPr/>
            <w:t>method</w:t>
          </w:r>
          <w:r>
            <w:rPr>
              <w:spacing w:val="-1"/>
            </w:rPr>
            <w:t> </w:t>
          </w:r>
          <w:r>
            <w:rPr/>
            <w:t>of </w:t>
          </w:r>
          <w:r>
            <w:rPr>
              <w:spacing w:val="-2"/>
            </w:rPr>
            <w:t>analysis</w:t>
          </w:r>
          <w:r>
            <w:rPr/>
            <w:tab/>
          </w:r>
          <w:r>
            <w:rPr>
              <w:spacing w:val="-10"/>
            </w:rPr>
            <w:t>8</w:t>
          </w:r>
        </w:p>
        <w:p>
          <w:pPr>
            <w:pStyle w:val="TOC3"/>
            <w:numPr>
              <w:ilvl w:val="2"/>
              <w:numId w:val="2"/>
            </w:numPr>
            <w:tabs>
              <w:tab w:pos="1740" w:val="left" w:leader="none"/>
              <w:tab w:pos="10521" w:val="right" w:leader="dot"/>
            </w:tabs>
            <w:spacing w:line="240" w:lineRule="auto" w:before="435" w:after="0"/>
            <w:ind w:left="1740" w:right="0" w:hanging="540"/>
            <w:jc w:val="left"/>
          </w:pPr>
          <w:r>
            <w:rPr/>
            <w:t>Non</w:t>
          </w:r>
          <w:r>
            <w:rPr>
              <w:spacing w:val="-1"/>
            </w:rPr>
            <w:t> </w:t>
          </w:r>
          <w:r>
            <w:rPr/>
            <w:t>compedial methods</w:t>
          </w:r>
          <w:r>
            <w:rPr>
              <w:spacing w:val="1"/>
            </w:rPr>
            <w:t> </w:t>
          </w:r>
          <w:r>
            <w:rPr/>
            <w:t>of</w:t>
          </w:r>
          <w:r>
            <w:rPr>
              <w:spacing w:val="-1"/>
            </w:rPr>
            <w:t> </w:t>
          </w:r>
          <w:r>
            <w:rPr>
              <w:spacing w:val="-2"/>
            </w:rPr>
            <w:t>analysis</w:t>
          </w:r>
          <w:r>
            <w:rPr/>
            <w:tab/>
          </w:r>
          <w:r>
            <w:rPr>
              <w:spacing w:val="-10"/>
            </w:rPr>
            <w:t>8</w:t>
          </w:r>
        </w:p>
        <w:p>
          <w:pPr>
            <w:pStyle w:val="TOC1"/>
            <w:tabs>
              <w:tab w:pos="10561" w:val="right" w:leader="dot"/>
            </w:tabs>
            <w:rPr>
              <w:b w:val="0"/>
            </w:rPr>
          </w:pPr>
          <w:hyperlink w:history="true" w:anchor="_TOC_250017">
            <w:r>
              <w:rPr/>
              <w:t>CHAPTER</w:t>
            </w:r>
            <w:r>
              <w:rPr>
                <w:spacing w:val="-5"/>
              </w:rPr>
              <w:t> </w:t>
            </w:r>
            <w:r>
              <w:rPr>
                <w:spacing w:val="-2"/>
              </w:rPr>
              <w:t>THREE</w:t>
            </w:r>
            <w:r>
              <w:rPr/>
              <w:tab/>
            </w:r>
            <w:r>
              <w:rPr>
                <w:b w:val="0"/>
                <w:spacing w:val="-5"/>
              </w:rPr>
              <w:t>15</w:t>
            </w:r>
          </w:hyperlink>
        </w:p>
        <w:p>
          <w:pPr>
            <w:pStyle w:val="TOC1"/>
            <w:numPr>
              <w:ilvl w:val="1"/>
              <w:numId w:val="3"/>
            </w:numPr>
            <w:tabs>
              <w:tab w:pos="1560" w:val="left" w:leader="none"/>
              <w:tab w:pos="10521" w:val="right" w:leader="dot"/>
            </w:tabs>
            <w:spacing w:line="240" w:lineRule="auto" w:before="437" w:after="0"/>
            <w:ind w:left="1560" w:right="0" w:hanging="360"/>
            <w:jc w:val="left"/>
          </w:pPr>
          <w:hyperlink w:history="true" w:anchor="_TOC_250016">
            <w:r>
              <w:rPr/>
              <w:t>MATERIALS</w:t>
            </w:r>
            <w:r>
              <w:rPr>
                <w:spacing w:val="-2"/>
              </w:rPr>
              <w:t> </w:t>
            </w:r>
            <w:r>
              <w:rPr/>
              <w:t>AND</w:t>
            </w:r>
            <w:r>
              <w:rPr>
                <w:spacing w:val="-1"/>
              </w:rPr>
              <w:t> </w:t>
            </w:r>
            <w:r>
              <w:rPr>
                <w:spacing w:val="-2"/>
              </w:rPr>
              <w:t>METHODS</w:t>
            </w:r>
            <w:r>
              <w:rPr/>
              <w:tab/>
            </w:r>
            <w:r>
              <w:rPr>
                <w:b w:val="0"/>
                <w:spacing w:val="-5"/>
              </w:rPr>
              <w:t>15</w:t>
            </w:r>
          </w:hyperlink>
        </w:p>
        <w:p>
          <w:pPr>
            <w:pStyle w:val="TOC2"/>
            <w:numPr>
              <w:ilvl w:val="1"/>
              <w:numId w:val="3"/>
            </w:numPr>
            <w:tabs>
              <w:tab w:pos="1560" w:val="left" w:leader="none"/>
              <w:tab w:pos="10468" w:val="right" w:leader="dot"/>
            </w:tabs>
            <w:spacing w:line="240" w:lineRule="auto" w:before="434" w:after="0"/>
            <w:ind w:left="1560" w:right="0" w:hanging="360"/>
            <w:jc w:val="left"/>
          </w:pPr>
          <w:hyperlink w:history="true" w:anchor="_TOC_250015">
            <w:r>
              <w:rPr>
                <w:spacing w:val="-2"/>
              </w:rPr>
              <w:t>Materials</w:t>
            </w:r>
            <w:r>
              <w:rPr/>
              <w:tab/>
            </w:r>
            <w:r>
              <w:rPr>
                <w:b w:val="0"/>
                <w:spacing w:val="-5"/>
              </w:rPr>
              <w:t>15</w:t>
            </w:r>
          </w:hyperlink>
        </w:p>
        <w:p>
          <w:pPr>
            <w:pStyle w:val="TOC3"/>
            <w:numPr>
              <w:ilvl w:val="2"/>
              <w:numId w:val="3"/>
            </w:numPr>
            <w:tabs>
              <w:tab w:pos="1742" w:val="left" w:leader="none"/>
              <w:tab w:pos="10398" w:val="right" w:leader="dot"/>
            </w:tabs>
            <w:spacing w:line="240" w:lineRule="auto" w:before="437" w:after="240"/>
            <w:ind w:left="1742" w:right="0" w:hanging="542"/>
            <w:jc w:val="left"/>
          </w:pPr>
          <w:r>
            <w:rPr/>
            <w:t>Isoniazid</w:t>
          </w:r>
          <w:r>
            <w:rPr>
              <w:spacing w:val="-2"/>
            </w:rPr>
            <w:t> </w:t>
          </w:r>
          <w:r>
            <w:rPr/>
            <w:t>analytical</w:t>
          </w:r>
          <w:r>
            <w:rPr>
              <w:spacing w:val="-2"/>
            </w:rPr>
            <w:t> </w:t>
          </w:r>
          <w:r>
            <w:rPr/>
            <w:t>grade</w:t>
          </w:r>
          <w:r>
            <w:rPr>
              <w:spacing w:val="-1"/>
            </w:rPr>
            <w:t> </w:t>
          </w:r>
          <w:r>
            <w:rPr/>
            <w:t>standard</w:t>
          </w:r>
          <w:r>
            <w:rPr>
              <w:spacing w:val="-2"/>
            </w:rPr>
            <w:t> </w:t>
          </w:r>
          <w:r>
            <w:rPr/>
            <w:t>powder</w:t>
          </w:r>
          <w:r>
            <w:rPr>
              <w:spacing w:val="-2"/>
            </w:rPr>
            <w:t> </w:t>
          </w:r>
          <w:r>
            <w:rPr/>
            <w:t>and</w:t>
          </w:r>
          <w:r>
            <w:rPr>
              <w:spacing w:val="-1"/>
            </w:rPr>
            <w:t> </w:t>
          </w:r>
          <w:r>
            <w:rPr>
              <w:spacing w:val="-2"/>
            </w:rPr>
            <w:t>tablet…</w:t>
          </w:r>
          <w:r>
            <w:rPr/>
            <w:tab/>
          </w:r>
          <w:r>
            <w:rPr>
              <w:spacing w:val="-5"/>
            </w:rPr>
            <w:t>15</w:t>
          </w:r>
        </w:p>
        <w:p>
          <w:pPr>
            <w:pStyle w:val="TOC3"/>
            <w:numPr>
              <w:ilvl w:val="2"/>
              <w:numId w:val="3"/>
            </w:numPr>
            <w:tabs>
              <w:tab w:pos="1740" w:val="left" w:leader="none"/>
              <w:tab w:pos="10321" w:val="left" w:leader="dot"/>
            </w:tabs>
            <w:spacing w:line="240" w:lineRule="auto" w:before="72" w:after="0"/>
            <w:ind w:left="1740" w:right="0" w:hanging="540"/>
            <w:jc w:val="left"/>
          </w:pPr>
          <w:hyperlink w:history="true" w:anchor="_TOC_250014">
            <w:r>
              <w:rPr/>
              <w:t>Chemicals</w:t>
            </w:r>
            <w:r>
              <w:rPr>
                <w:spacing w:val="-2"/>
              </w:rPr>
              <w:t> </w:t>
            </w:r>
            <w:r>
              <w:rPr/>
              <w:t>and</w:t>
            </w:r>
            <w:r>
              <w:rPr>
                <w:spacing w:val="-1"/>
              </w:rPr>
              <w:t> </w:t>
            </w:r>
            <w:r>
              <w:rPr>
                <w:spacing w:val="-2"/>
              </w:rPr>
              <w:t>reagents</w:t>
            </w:r>
            <w:r>
              <w:rPr/>
              <w:tab/>
            </w:r>
            <w:r>
              <w:rPr>
                <w:spacing w:val="-5"/>
              </w:rPr>
              <w:t>15</w:t>
            </w:r>
          </w:hyperlink>
        </w:p>
        <w:p>
          <w:pPr>
            <w:pStyle w:val="TOC3"/>
            <w:numPr>
              <w:ilvl w:val="2"/>
              <w:numId w:val="3"/>
            </w:numPr>
            <w:tabs>
              <w:tab w:pos="1740" w:val="left" w:leader="none"/>
              <w:tab w:pos="10321" w:val="left" w:leader="dot"/>
            </w:tabs>
            <w:spacing w:line="240" w:lineRule="auto" w:before="437" w:after="0"/>
            <w:ind w:left="1740" w:right="0" w:hanging="540"/>
            <w:jc w:val="left"/>
          </w:pPr>
          <w:hyperlink w:history="true" w:anchor="_TOC_250013">
            <w:r>
              <w:rPr/>
              <w:t>Glass</w:t>
            </w:r>
            <w:r>
              <w:rPr>
                <w:spacing w:val="-1"/>
              </w:rPr>
              <w:t> </w:t>
            </w:r>
            <w:r>
              <w:rPr/>
              <w:t>wares</w:t>
            </w:r>
            <w:r>
              <w:rPr>
                <w:spacing w:val="-2"/>
              </w:rPr>
              <w:t> </w:t>
            </w:r>
            <w:r>
              <w:rPr/>
              <w:t>and</w:t>
            </w:r>
            <w:r>
              <w:rPr>
                <w:spacing w:val="-1"/>
              </w:rPr>
              <w:t> </w:t>
            </w:r>
            <w:r>
              <w:rPr>
                <w:spacing w:val="-2"/>
              </w:rPr>
              <w:t>accessories…</w:t>
            </w:r>
            <w:r>
              <w:rPr/>
              <w:tab/>
            </w:r>
            <w:r>
              <w:rPr>
                <w:spacing w:val="-5"/>
              </w:rPr>
              <w:t>15</w:t>
            </w:r>
          </w:hyperlink>
        </w:p>
        <w:p>
          <w:pPr>
            <w:pStyle w:val="TOC3"/>
            <w:numPr>
              <w:ilvl w:val="2"/>
              <w:numId w:val="3"/>
            </w:numPr>
            <w:tabs>
              <w:tab w:pos="1740" w:val="left" w:leader="none"/>
              <w:tab w:pos="10295" w:val="left" w:leader="dot"/>
            </w:tabs>
            <w:spacing w:line="240" w:lineRule="auto" w:before="434" w:after="0"/>
            <w:ind w:left="1740" w:right="0" w:hanging="540"/>
            <w:jc w:val="left"/>
          </w:pPr>
          <w:hyperlink w:history="true" w:anchor="_TOC_250012">
            <w:r>
              <w:rPr>
                <w:spacing w:val="-2"/>
              </w:rPr>
              <w:t>Equipment…</w:t>
            </w:r>
            <w:r>
              <w:rPr/>
              <w:tab/>
            </w:r>
            <w:r>
              <w:rPr>
                <w:spacing w:val="-5"/>
              </w:rPr>
              <w:t>16</w:t>
            </w:r>
          </w:hyperlink>
        </w:p>
        <w:p>
          <w:pPr>
            <w:pStyle w:val="TOC4"/>
            <w:numPr>
              <w:ilvl w:val="1"/>
              <w:numId w:val="3"/>
            </w:numPr>
            <w:tabs>
              <w:tab w:pos="1560" w:val="left" w:leader="none"/>
              <w:tab w:pos="10213" w:val="left" w:leader="dot"/>
            </w:tabs>
            <w:spacing w:line="240" w:lineRule="auto" w:before="437" w:after="0"/>
            <w:ind w:left="1560" w:right="0" w:hanging="360"/>
            <w:jc w:val="left"/>
            <w:rPr>
              <w:b w:val="0"/>
              <w:i w:val="0"/>
              <w:sz w:val="24"/>
            </w:rPr>
          </w:pPr>
          <w:hyperlink w:history="true" w:anchor="_TOC_250011">
            <w:r>
              <w:rPr>
                <w:i w:val="0"/>
                <w:spacing w:val="-2"/>
                <w:sz w:val="24"/>
              </w:rPr>
              <w:t>Methods</w:t>
            </w:r>
            <w:r>
              <w:rPr>
                <w:b w:val="0"/>
                <w:i w:val="0"/>
                <w:spacing w:val="-2"/>
                <w:sz w:val="24"/>
              </w:rPr>
              <w:t>……………………..…………………………’</w:t>
            </w:r>
            <w:r>
              <w:rPr>
                <w:b w:val="0"/>
                <w:i w:val="0"/>
                <w:sz w:val="24"/>
              </w:rPr>
              <w:tab/>
            </w:r>
            <w:r>
              <w:rPr>
                <w:b w:val="0"/>
                <w:i w:val="0"/>
                <w:spacing w:val="-5"/>
                <w:sz w:val="24"/>
              </w:rPr>
              <w:t>16</w:t>
            </w:r>
          </w:hyperlink>
        </w:p>
        <w:p>
          <w:pPr>
            <w:pStyle w:val="TOC3"/>
            <w:numPr>
              <w:ilvl w:val="2"/>
              <w:numId w:val="3"/>
            </w:numPr>
            <w:tabs>
              <w:tab w:pos="1740" w:val="left" w:leader="none"/>
              <w:tab w:pos="10192" w:val="left" w:leader="dot"/>
            </w:tabs>
            <w:spacing w:line="240" w:lineRule="auto" w:before="437" w:after="0"/>
            <w:ind w:left="1740" w:right="0" w:hanging="540"/>
            <w:jc w:val="left"/>
          </w:pPr>
          <w:r>
            <w:rPr/>
            <w:t>Quality</w:t>
          </w:r>
          <w:r>
            <w:rPr>
              <w:spacing w:val="-6"/>
            </w:rPr>
            <w:t> </w:t>
          </w:r>
          <w:r>
            <w:rPr/>
            <w:t>control of isoniazidstandard</w:t>
          </w:r>
          <w:r>
            <w:rPr>
              <w:spacing w:val="-2"/>
            </w:rPr>
            <w:t> </w:t>
          </w:r>
          <w:r>
            <w:rPr/>
            <w:t>powder</w:t>
          </w:r>
          <w:r>
            <w:rPr>
              <w:spacing w:val="1"/>
            </w:rPr>
            <w:t> </w:t>
          </w:r>
          <w:r>
            <w:rPr/>
            <w:t>and </w:t>
          </w:r>
          <w:r>
            <w:rPr>
              <w:spacing w:val="-2"/>
            </w:rPr>
            <w:t>tablets…</w:t>
          </w:r>
          <w:r>
            <w:rPr/>
            <w:tab/>
          </w:r>
          <w:r>
            <w:rPr>
              <w:spacing w:val="-5"/>
            </w:rPr>
            <w:t>16</w:t>
          </w:r>
        </w:p>
        <w:p>
          <w:pPr>
            <w:pStyle w:val="TOC3"/>
            <w:numPr>
              <w:ilvl w:val="2"/>
              <w:numId w:val="3"/>
            </w:numPr>
            <w:tabs>
              <w:tab w:pos="1740" w:val="left" w:leader="none"/>
              <w:tab w:pos="10281" w:val="left" w:leader="dot"/>
            </w:tabs>
            <w:spacing w:line="240" w:lineRule="auto" w:before="435" w:after="0"/>
            <w:ind w:left="1740" w:right="0" w:hanging="540"/>
            <w:jc w:val="left"/>
          </w:pPr>
          <w:hyperlink w:history="true" w:anchor="_TOC_250010">
            <w:r>
              <w:rPr/>
              <w:t>Selection</w:t>
            </w:r>
            <w:r>
              <w:rPr>
                <w:spacing w:val="-2"/>
              </w:rPr>
              <w:t> </w:t>
            </w:r>
            <w:r>
              <w:rPr/>
              <w:t>of</w:t>
            </w:r>
            <w:r>
              <w:rPr>
                <w:spacing w:val="-2"/>
              </w:rPr>
              <w:t> solvents</w:t>
            </w:r>
            <w:r>
              <w:rPr/>
              <w:tab/>
            </w:r>
            <w:r>
              <w:rPr>
                <w:spacing w:val="-5"/>
              </w:rPr>
              <w:t>18</w:t>
            </w:r>
          </w:hyperlink>
        </w:p>
        <w:p>
          <w:pPr>
            <w:pStyle w:val="TOC3"/>
            <w:numPr>
              <w:ilvl w:val="2"/>
              <w:numId w:val="3"/>
            </w:numPr>
            <w:tabs>
              <w:tab w:pos="1740" w:val="left" w:leader="none"/>
              <w:tab w:pos="10281" w:val="left" w:leader="dot"/>
            </w:tabs>
            <w:spacing w:line="240" w:lineRule="auto" w:before="437" w:after="0"/>
            <w:ind w:left="1740" w:right="0" w:hanging="540"/>
            <w:jc w:val="left"/>
          </w:pPr>
          <w:hyperlink w:history="true" w:anchor="_TOC_250009">
            <w:r>
              <w:rPr/>
              <w:t>Preparation</w:t>
            </w:r>
            <w:r>
              <w:rPr>
                <w:spacing w:val="-1"/>
              </w:rPr>
              <w:t> </w:t>
            </w:r>
            <w:r>
              <w:rPr/>
              <w:t>of</w:t>
            </w:r>
            <w:r>
              <w:rPr>
                <w:spacing w:val="-2"/>
              </w:rPr>
              <w:t> </w:t>
            </w:r>
            <w:r>
              <w:rPr/>
              <w:t>solutions</w:t>
            </w:r>
            <w:r>
              <w:rPr>
                <w:spacing w:val="-1"/>
              </w:rPr>
              <w:t> </w:t>
            </w:r>
            <w:r>
              <w:rPr/>
              <w:t>and </w:t>
            </w:r>
            <w:r>
              <w:rPr>
                <w:spacing w:val="-2"/>
              </w:rPr>
              <w:t>reagents.</w:t>
            </w:r>
            <w:r>
              <w:rPr/>
              <w:tab/>
            </w:r>
            <w:r>
              <w:rPr>
                <w:spacing w:val="-5"/>
              </w:rPr>
              <w:t>18</w:t>
            </w:r>
          </w:hyperlink>
        </w:p>
        <w:p>
          <w:pPr>
            <w:pStyle w:val="TOC3"/>
            <w:numPr>
              <w:ilvl w:val="2"/>
              <w:numId w:val="3"/>
            </w:numPr>
            <w:tabs>
              <w:tab w:pos="1740" w:val="left" w:leader="none"/>
              <w:tab w:pos="10269" w:val="left" w:leader="dot"/>
            </w:tabs>
            <w:spacing w:line="240" w:lineRule="auto" w:before="437" w:after="0"/>
            <w:ind w:left="1740" w:right="0" w:hanging="540"/>
            <w:jc w:val="left"/>
          </w:pPr>
          <w:r>
            <w:rPr/>
            <w:t>UV</w:t>
          </w:r>
          <w:r>
            <w:rPr>
              <w:spacing w:val="-2"/>
            </w:rPr>
            <w:t> </w:t>
          </w:r>
          <w:r>
            <w:rPr/>
            <w:t>spectrophotometric</w:t>
          </w:r>
          <w:r>
            <w:rPr>
              <w:spacing w:val="-1"/>
            </w:rPr>
            <w:t> </w:t>
          </w:r>
          <w:r>
            <w:rPr/>
            <w:t>method</w:t>
          </w:r>
          <w:r>
            <w:rPr>
              <w:spacing w:val="1"/>
            </w:rPr>
            <w:t> </w:t>
          </w:r>
          <w:r>
            <w:rPr/>
            <w:t>using</w:t>
          </w:r>
          <w:r>
            <w:rPr>
              <w:spacing w:val="-3"/>
            </w:rPr>
            <w:t> </w:t>
          </w:r>
          <w:r>
            <w:rPr/>
            <w:t>distilled </w:t>
          </w:r>
          <w:r>
            <w:rPr>
              <w:spacing w:val="-2"/>
            </w:rPr>
            <w:t>water</w:t>
          </w:r>
          <w:r>
            <w:rPr/>
            <w:tab/>
          </w:r>
          <w:r>
            <w:rPr>
              <w:spacing w:val="-5"/>
            </w:rPr>
            <w:t>18</w:t>
          </w:r>
        </w:p>
        <w:p>
          <w:pPr>
            <w:pStyle w:val="TOC3"/>
            <w:numPr>
              <w:ilvl w:val="2"/>
              <w:numId w:val="3"/>
            </w:numPr>
            <w:tabs>
              <w:tab w:pos="1740" w:val="left" w:leader="none"/>
              <w:tab w:pos="10276" w:val="left" w:leader="dot"/>
            </w:tabs>
            <w:spacing w:line="240" w:lineRule="auto" w:before="434" w:after="0"/>
            <w:ind w:left="1740" w:right="0" w:hanging="540"/>
            <w:jc w:val="left"/>
          </w:pPr>
          <w:r>
            <w:rPr/>
            <w:t>UV</w:t>
          </w:r>
          <w:r>
            <w:rPr>
              <w:spacing w:val="-2"/>
            </w:rPr>
            <w:t> </w:t>
          </w:r>
          <w:r>
            <w:rPr/>
            <w:t>spectrophotometric</w:t>
          </w:r>
          <w:r>
            <w:rPr>
              <w:spacing w:val="-1"/>
            </w:rPr>
            <w:t> </w:t>
          </w:r>
          <w:r>
            <w:rPr/>
            <w:t>method</w:t>
          </w:r>
          <w:r>
            <w:rPr>
              <w:spacing w:val="-1"/>
            </w:rPr>
            <w:t> </w:t>
          </w:r>
          <w:r>
            <w:rPr/>
            <w:t>using</w:t>
          </w:r>
          <w:r>
            <w:rPr>
              <w:spacing w:val="-2"/>
            </w:rPr>
            <w:t> methanol</w:t>
          </w:r>
          <w:r>
            <w:rPr/>
            <w:tab/>
          </w:r>
          <w:r>
            <w:rPr>
              <w:spacing w:val="-5"/>
            </w:rPr>
            <w:t>19</w:t>
          </w:r>
        </w:p>
        <w:p>
          <w:pPr>
            <w:pStyle w:val="TOC3"/>
            <w:numPr>
              <w:ilvl w:val="2"/>
              <w:numId w:val="3"/>
            </w:numPr>
            <w:tabs>
              <w:tab w:pos="1740" w:val="left" w:leader="none"/>
              <w:tab w:pos="10276" w:val="left" w:leader="dot"/>
            </w:tabs>
            <w:spacing w:line="480" w:lineRule="auto" w:before="437" w:after="0"/>
            <w:ind w:left="1200" w:right="1481" w:firstLine="0"/>
            <w:jc w:val="left"/>
          </w:pPr>
          <w:r>
            <w:rPr/>
            <w:t>Development</w:t>
          </w:r>
          <w:r>
            <w:rPr>
              <w:spacing w:val="40"/>
            </w:rPr>
            <w:t> </w:t>
          </w:r>
          <w:r>
            <w:rPr/>
            <w:t>of</w:t>
          </w:r>
          <w:r>
            <w:rPr>
              <w:spacing w:val="40"/>
            </w:rPr>
            <w:t> </w:t>
          </w:r>
          <w:r>
            <w:rPr/>
            <w:t>colourometry</w:t>
          </w:r>
          <w:r>
            <w:rPr>
              <w:spacing w:val="40"/>
            </w:rPr>
            <w:t> </w:t>
          </w:r>
          <w:r>
            <w:rPr/>
            <w:t>method</w:t>
          </w:r>
          <w:r>
            <w:rPr>
              <w:spacing w:val="40"/>
            </w:rPr>
            <w:t> </w:t>
          </w:r>
          <w:r>
            <w:rPr/>
            <w:t>using</w:t>
          </w:r>
          <w:r>
            <w:rPr>
              <w:spacing w:val="40"/>
            </w:rPr>
            <w:t> </w:t>
          </w:r>
          <w:r>
            <w:rPr/>
            <w:t>2,4dinitrophenylhydrazine</w:t>
          </w:r>
          <w:r>
            <w:rPr>
              <w:spacing w:val="40"/>
            </w:rPr>
            <w:t> </w:t>
          </w:r>
          <w:r>
            <w:rPr/>
            <w:t>and</w:t>
          </w:r>
          <w:r>
            <w:rPr>
              <w:spacing w:val="80"/>
            </w:rPr>
            <w:t> </w:t>
          </w:r>
          <w:r>
            <w:rPr>
              <w:spacing w:val="-2"/>
            </w:rPr>
            <w:t>optimization</w:t>
          </w:r>
          <w:r>
            <w:rPr/>
            <w:tab/>
          </w:r>
          <w:r>
            <w:rPr>
              <w:spacing w:val="-5"/>
            </w:rPr>
            <w:t>20</w:t>
          </w:r>
        </w:p>
        <w:p>
          <w:pPr>
            <w:pStyle w:val="TOC3"/>
            <w:numPr>
              <w:ilvl w:val="2"/>
              <w:numId w:val="3"/>
            </w:numPr>
            <w:tabs>
              <w:tab w:pos="1740" w:val="left" w:leader="none"/>
              <w:tab w:pos="10276" w:val="left" w:leader="dot"/>
            </w:tabs>
            <w:spacing w:line="480" w:lineRule="auto" w:before="159" w:after="0"/>
            <w:ind w:left="1200" w:right="1481" w:firstLine="0"/>
            <w:jc w:val="left"/>
          </w:pPr>
          <w:r>
            <w:rPr/>
            <w:t>Development of colourometric method using paraaminotoluidine (diazotization) and </w:t>
          </w:r>
          <w:r>
            <w:rPr>
              <w:spacing w:val="-2"/>
            </w:rPr>
            <w:t>optimization</w:t>
          </w:r>
          <w:r>
            <w:rPr/>
            <w:tab/>
          </w:r>
          <w:r>
            <w:rPr>
              <w:spacing w:val="-5"/>
            </w:rPr>
            <w:t>23</w:t>
          </w:r>
        </w:p>
        <w:p>
          <w:pPr>
            <w:pStyle w:val="TOC3"/>
            <w:numPr>
              <w:ilvl w:val="2"/>
              <w:numId w:val="3"/>
            </w:numPr>
            <w:tabs>
              <w:tab w:pos="1680" w:val="left" w:leader="none"/>
              <w:tab w:pos="10153" w:val="left" w:leader="dot"/>
            </w:tabs>
            <w:spacing w:line="240" w:lineRule="auto" w:before="161" w:after="0"/>
            <w:ind w:left="1680" w:right="0" w:hanging="480"/>
            <w:jc w:val="left"/>
          </w:pPr>
          <w:hyperlink w:history="true" w:anchor="_TOC_250008">
            <w:r>
              <w:rPr/>
              <w:t>Validation</w:t>
            </w:r>
            <w:r>
              <w:rPr>
                <w:spacing w:val="-2"/>
              </w:rPr>
              <w:t> </w:t>
            </w:r>
            <w:r>
              <w:rPr/>
              <w:t>of</w:t>
            </w:r>
            <w:r>
              <w:rPr>
                <w:spacing w:val="-2"/>
              </w:rPr>
              <w:t> </w:t>
            </w:r>
            <w:r>
              <w:rPr/>
              <w:t>the</w:t>
            </w:r>
            <w:r>
              <w:rPr>
                <w:spacing w:val="-2"/>
              </w:rPr>
              <w:t> </w:t>
            </w:r>
            <w:r>
              <w:rPr/>
              <w:t>analytical</w:t>
            </w:r>
            <w:r>
              <w:rPr>
                <w:spacing w:val="-1"/>
              </w:rPr>
              <w:t> </w:t>
            </w:r>
            <w:r>
              <w:rPr>
                <w:spacing w:val="-2"/>
              </w:rPr>
              <w:t>methods</w:t>
            </w:r>
            <w:r>
              <w:rPr/>
              <w:tab/>
            </w:r>
            <w:r>
              <w:rPr>
                <w:spacing w:val="-5"/>
              </w:rPr>
              <w:t>25</w:t>
            </w:r>
          </w:hyperlink>
        </w:p>
        <w:p>
          <w:pPr>
            <w:pStyle w:val="TOC3"/>
            <w:numPr>
              <w:ilvl w:val="2"/>
              <w:numId w:val="3"/>
            </w:numPr>
            <w:tabs>
              <w:tab w:pos="1740" w:val="left" w:leader="none"/>
              <w:tab w:pos="10242" w:val="left" w:leader="dot"/>
            </w:tabs>
            <w:spacing w:line="240" w:lineRule="auto" w:before="436" w:after="0"/>
            <w:ind w:left="1740" w:right="0" w:hanging="540"/>
            <w:jc w:val="left"/>
          </w:pPr>
          <w:hyperlink w:history="true" w:anchor="_TOC_250007">
            <w:r>
              <w:rPr/>
              <w:t>Statistical</w:t>
            </w:r>
            <w:r>
              <w:rPr>
                <w:spacing w:val="-1"/>
              </w:rPr>
              <w:t> </w:t>
            </w:r>
            <w:r>
              <w:rPr>
                <w:spacing w:val="-2"/>
              </w:rPr>
              <w:t>analysis</w:t>
            </w:r>
            <w:r>
              <w:rPr/>
              <w:tab/>
            </w:r>
            <w:r>
              <w:rPr>
                <w:spacing w:val="-5"/>
              </w:rPr>
              <w:t>28</w:t>
            </w:r>
          </w:hyperlink>
        </w:p>
        <w:p>
          <w:pPr>
            <w:pStyle w:val="TOC1"/>
            <w:tabs>
              <w:tab w:pos="10134" w:val="left" w:leader="dot"/>
            </w:tabs>
            <w:spacing w:before="435"/>
            <w:rPr>
              <w:b w:val="0"/>
            </w:rPr>
          </w:pPr>
          <w:hyperlink w:history="true" w:anchor="_TOC_250006">
            <w:r>
              <w:rPr/>
              <w:t>CHAPTER</w:t>
            </w:r>
            <w:r>
              <w:rPr>
                <w:spacing w:val="-2"/>
              </w:rPr>
              <w:t> </w:t>
            </w:r>
            <w:r>
              <w:rPr>
                <w:spacing w:val="-4"/>
              </w:rPr>
              <w:t>FOUR</w:t>
            </w:r>
            <w:r>
              <w:rPr/>
              <w:tab/>
            </w:r>
            <w:r>
              <w:rPr>
                <w:b w:val="0"/>
                <w:spacing w:val="-7"/>
              </w:rPr>
              <w:t>29</w:t>
            </w:r>
          </w:hyperlink>
        </w:p>
        <w:p>
          <w:pPr>
            <w:pStyle w:val="TOC1"/>
            <w:numPr>
              <w:ilvl w:val="1"/>
              <w:numId w:val="4"/>
            </w:numPr>
            <w:tabs>
              <w:tab w:pos="1560" w:val="left" w:leader="none"/>
              <w:tab w:pos="10216" w:val="left" w:leader="dot"/>
            </w:tabs>
            <w:spacing w:line="240" w:lineRule="auto" w:before="437" w:after="0"/>
            <w:ind w:left="1560" w:right="0" w:hanging="360"/>
            <w:jc w:val="left"/>
            <w:rPr>
              <w:b w:val="0"/>
            </w:rPr>
          </w:pPr>
          <w:hyperlink w:history="true" w:anchor="_TOC_250005">
            <w:r>
              <w:rPr>
                <w:spacing w:val="-2"/>
              </w:rPr>
              <w:t>RESULTS</w:t>
            </w:r>
            <w:r>
              <w:rPr/>
              <w:tab/>
            </w:r>
            <w:r>
              <w:rPr>
                <w:b w:val="0"/>
                <w:spacing w:val="-5"/>
              </w:rPr>
              <w:t>29</w:t>
            </w:r>
          </w:hyperlink>
        </w:p>
        <w:p>
          <w:pPr>
            <w:pStyle w:val="TOC2"/>
            <w:numPr>
              <w:ilvl w:val="1"/>
              <w:numId w:val="4"/>
            </w:numPr>
            <w:tabs>
              <w:tab w:pos="1560" w:val="left" w:leader="none"/>
              <w:tab w:pos="10115" w:val="left" w:leader="dot"/>
            </w:tabs>
            <w:spacing w:line="240" w:lineRule="auto" w:before="437" w:after="0"/>
            <w:ind w:left="1560" w:right="0" w:hanging="360"/>
            <w:jc w:val="left"/>
            <w:rPr>
              <w:b w:val="0"/>
            </w:rPr>
          </w:pPr>
          <w:r>
            <w:rPr/>
            <w:t>Quality</w:t>
          </w:r>
          <w:r>
            <w:rPr>
              <w:spacing w:val="-2"/>
            </w:rPr>
            <w:t> </w:t>
          </w:r>
          <w:r>
            <w:rPr/>
            <w:t>Control</w:t>
          </w:r>
          <w:r>
            <w:rPr>
              <w:spacing w:val="-1"/>
            </w:rPr>
            <w:t> </w:t>
          </w:r>
          <w:r>
            <w:rPr/>
            <w:t>of</w:t>
          </w:r>
          <w:r>
            <w:rPr>
              <w:spacing w:val="-3"/>
            </w:rPr>
            <w:t> </w:t>
          </w:r>
          <w:r>
            <w:rPr/>
            <w:t>Pure</w:t>
          </w:r>
          <w:r>
            <w:rPr>
              <w:spacing w:val="-2"/>
            </w:rPr>
            <w:t> </w:t>
          </w:r>
          <w:r>
            <w:rPr/>
            <w:t>Isoniazid</w:t>
          </w:r>
          <w:r>
            <w:rPr>
              <w:spacing w:val="2"/>
            </w:rPr>
            <w:t> </w:t>
          </w:r>
          <w:r>
            <w:rPr/>
            <w:t>Standard</w:t>
          </w:r>
          <w:r>
            <w:rPr>
              <w:spacing w:val="-1"/>
            </w:rPr>
            <w:t> </w:t>
          </w:r>
          <w:r>
            <w:rPr/>
            <w:t>Powder</w:t>
          </w:r>
          <w:r>
            <w:rPr>
              <w:spacing w:val="-2"/>
            </w:rPr>
            <w:t> </w:t>
          </w:r>
          <w:r>
            <w:rPr/>
            <w:t>and</w:t>
          </w:r>
          <w:r>
            <w:rPr>
              <w:spacing w:val="-1"/>
            </w:rPr>
            <w:t> </w:t>
          </w:r>
          <w:r>
            <w:rPr>
              <w:spacing w:val="-2"/>
            </w:rPr>
            <w:t>Tablets</w:t>
          </w:r>
          <w:r>
            <w:rPr/>
            <w:tab/>
          </w:r>
          <w:r>
            <w:rPr>
              <w:b w:val="0"/>
              <w:spacing w:val="-5"/>
            </w:rPr>
            <w:t>29</w:t>
          </w:r>
        </w:p>
        <w:p>
          <w:pPr>
            <w:pStyle w:val="TOC2"/>
            <w:numPr>
              <w:ilvl w:val="1"/>
              <w:numId w:val="4"/>
            </w:numPr>
            <w:tabs>
              <w:tab w:pos="1500" w:val="left" w:leader="none"/>
              <w:tab w:pos="10187" w:val="left" w:leader="dot"/>
            </w:tabs>
            <w:spacing w:line="240" w:lineRule="auto" w:before="434" w:after="20"/>
            <w:ind w:left="1500" w:right="0" w:hanging="300"/>
            <w:jc w:val="left"/>
            <w:rPr>
              <w:b w:val="0"/>
            </w:rPr>
          </w:pPr>
          <w:r>
            <w:rPr/>
            <w:t>Method</w:t>
          </w:r>
          <w:r>
            <w:rPr>
              <w:spacing w:val="-2"/>
            </w:rPr>
            <w:t> Development</w:t>
          </w:r>
          <w:r>
            <w:rPr/>
            <w:tab/>
          </w:r>
          <w:r>
            <w:rPr>
              <w:b w:val="0"/>
              <w:spacing w:val="-5"/>
            </w:rPr>
            <w:t>33</w:t>
          </w:r>
        </w:p>
        <w:p>
          <w:pPr>
            <w:pStyle w:val="TOC3"/>
            <w:numPr>
              <w:ilvl w:val="2"/>
              <w:numId w:val="4"/>
            </w:numPr>
            <w:tabs>
              <w:tab w:pos="1799" w:val="left" w:leader="none"/>
              <w:tab w:pos="10434" w:val="right" w:leader="dot"/>
            </w:tabs>
            <w:spacing w:line="240" w:lineRule="auto" w:before="72" w:after="0"/>
            <w:ind w:left="1799" w:right="0" w:hanging="599"/>
            <w:jc w:val="left"/>
          </w:pPr>
          <w:r>
            <w:rPr/>
            <w:t>UV</w:t>
          </w:r>
          <w:r>
            <w:rPr>
              <w:spacing w:val="-2"/>
            </w:rPr>
            <w:t> </w:t>
          </w:r>
          <w:r>
            <w:rPr/>
            <w:t>spectrophotometric</w:t>
          </w:r>
          <w:r>
            <w:rPr>
              <w:spacing w:val="-1"/>
            </w:rPr>
            <w:t> </w:t>
          </w:r>
          <w:r>
            <w:rPr/>
            <w:t>method</w:t>
          </w:r>
          <w:r>
            <w:rPr>
              <w:spacing w:val="-1"/>
            </w:rPr>
            <w:t> </w:t>
          </w:r>
          <w:r>
            <w:rPr/>
            <w:t>using</w:t>
          </w:r>
          <w:r>
            <w:rPr>
              <w:spacing w:val="-1"/>
            </w:rPr>
            <w:t> </w:t>
          </w:r>
          <w:r>
            <w:rPr/>
            <w:t>water and </w:t>
          </w:r>
          <w:r>
            <w:rPr>
              <w:spacing w:val="-2"/>
            </w:rPr>
            <w:t>methanol</w:t>
          </w:r>
          <w:r>
            <w:rPr/>
            <w:tab/>
          </w:r>
          <w:r>
            <w:rPr>
              <w:spacing w:val="-5"/>
            </w:rPr>
            <w:t>33</w:t>
          </w:r>
        </w:p>
        <w:p>
          <w:pPr>
            <w:pStyle w:val="TOC3"/>
            <w:numPr>
              <w:ilvl w:val="2"/>
              <w:numId w:val="4"/>
            </w:numPr>
            <w:tabs>
              <w:tab w:pos="1740" w:val="left" w:leader="none"/>
              <w:tab w:pos="10451" w:val="right" w:leader="dot"/>
            </w:tabs>
            <w:spacing w:line="240" w:lineRule="auto" w:before="437" w:after="0"/>
            <w:ind w:left="1740" w:right="0" w:hanging="540"/>
            <w:jc w:val="left"/>
          </w:pPr>
          <w:r>
            <w:rPr/>
            <w:t>Colorometeric</w:t>
          </w:r>
          <w:r>
            <w:rPr>
              <w:spacing w:val="-4"/>
            </w:rPr>
            <w:t> </w:t>
          </w:r>
          <w:r>
            <w:rPr/>
            <w:t>methods</w:t>
          </w:r>
          <w:r>
            <w:rPr>
              <w:spacing w:val="1"/>
            </w:rPr>
            <w:t> </w:t>
          </w:r>
          <w:r>
            <w:rPr/>
            <w:t>using</w:t>
          </w:r>
          <w:r>
            <w:rPr>
              <w:spacing w:val="-2"/>
            </w:rPr>
            <w:t> </w:t>
          </w:r>
          <w:r>
            <w:rPr/>
            <w:t>2,4dinitrophenylhydrazine and by</w:t>
          </w:r>
          <w:r>
            <w:rPr>
              <w:spacing w:val="-5"/>
            </w:rPr>
            <w:t> </w:t>
          </w:r>
          <w:r>
            <w:rPr>
              <w:spacing w:val="-2"/>
            </w:rPr>
            <w:t>diazotization</w:t>
          </w:r>
          <w:r>
            <w:rPr/>
            <w:tab/>
          </w:r>
          <w:r>
            <w:rPr>
              <w:spacing w:val="-5"/>
            </w:rPr>
            <w:t>33</w:t>
          </w:r>
        </w:p>
        <w:p>
          <w:pPr>
            <w:pStyle w:val="TOC1"/>
            <w:tabs>
              <w:tab w:pos="10509" w:val="right" w:leader="dot"/>
            </w:tabs>
            <w:spacing w:before="434"/>
            <w:rPr>
              <w:b w:val="0"/>
            </w:rPr>
          </w:pPr>
          <w:hyperlink w:history="true" w:anchor="_TOC_250004">
            <w:r>
              <w:rPr/>
              <w:t>CHAPTER</w:t>
            </w:r>
            <w:r>
              <w:rPr>
                <w:spacing w:val="-5"/>
              </w:rPr>
              <w:t> </w:t>
            </w:r>
            <w:r>
              <w:rPr>
                <w:spacing w:val="-4"/>
              </w:rPr>
              <w:t>FIVE</w:t>
            </w:r>
            <w:r>
              <w:rPr/>
              <w:tab/>
            </w:r>
            <w:r>
              <w:rPr>
                <w:b w:val="0"/>
                <w:spacing w:val="-5"/>
              </w:rPr>
              <w:t>43</w:t>
            </w:r>
          </w:hyperlink>
        </w:p>
        <w:p>
          <w:pPr>
            <w:pStyle w:val="TOC1"/>
            <w:tabs>
              <w:tab w:pos="10528" w:val="right" w:leader="dot"/>
            </w:tabs>
            <w:rPr>
              <w:b w:val="0"/>
            </w:rPr>
          </w:pPr>
          <w:r>
            <w:rPr>
              <w:spacing w:val="-2"/>
            </w:rPr>
            <w:t>DISCUSSION</w:t>
          </w:r>
          <w:r>
            <w:rPr/>
            <w:tab/>
          </w:r>
          <w:r>
            <w:rPr>
              <w:b w:val="0"/>
              <w:spacing w:val="-5"/>
            </w:rPr>
            <w:t>43</w:t>
          </w:r>
        </w:p>
        <w:p>
          <w:pPr>
            <w:pStyle w:val="TOC1"/>
            <w:tabs>
              <w:tab w:pos="10516" w:val="right" w:leader="dot"/>
            </w:tabs>
            <w:rPr>
              <w:b w:val="0"/>
            </w:rPr>
          </w:pPr>
          <w:hyperlink w:history="true" w:anchor="_TOC_250003">
            <w:r>
              <w:rPr/>
              <w:t>CHAPTER</w:t>
            </w:r>
            <w:r>
              <w:rPr>
                <w:spacing w:val="-4"/>
              </w:rPr>
              <w:t> </w:t>
            </w:r>
            <w:r>
              <w:rPr>
                <w:spacing w:val="-5"/>
              </w:rPr>
              <w:t>SIX</w:t>
            </w:r>
            <w:r>
              <w:rPr/>
              <w:tab/>
            </w:r>
            <w:r>
              <w:rPr>
                <w:b w:val="0"/>
                <w:spacing w:val="-5"/>
              </w:rPr>
              <w:t>46</w:t>
            </w:r>
          </w:hyperlink>
        </w:p>
        <w:p>
          <w:pPr>
            <w:pStyle w:val="TOC1"/>
            <w:numPr>
              <w:ilvl w:val="1"/>
              <w:numId w:val="5"/>
            </w:numPr>
            <w:tabs>
              <w:tab w:pos="1560" w:val="left" w:leader="none"/>
              <w:tab w:pos="10482" w:val="right" w:leader="dot"/>
            </w:tabs>
            <w:spacing w:line="240" w:lineRule="auto" w:before="435" w:after="0"/>
            <w:ind w:left="1560" w:right="0" w:hanging="360"/>
            <w:jc w:val="left"/>
            <w:rPr>
              <w:b w:val="0"/>
            </w:rPr>
          </w:pPr>
          <w:r>
            <w:rPr/>
            <w:t>CONCLUSION</w:t>
          </w:r>
          <w:r>
            <w:rPr>
              <w:spacing w:val="-2"/>
            </w:rPr>
            <w:t> </w:t>
          </w:r>
          <w:r>
            <w:rPr/>
            <w:t>AND</w:t>
          </w:r>
          <w:r>
            <w:rPr>
              <w:spacing w:val="-1"/>
            </w:rPr>
            <w:t> </w:t>
          </w:r>
          <w:r>
            <w:rPr>
              <w:spacing w:val="-2"/>
            </w:rPr>
            <w:t>RECOMMENDATIONS</w:t>
          </w:r>
          <w:r>
            <w:rPr/>
            <w:tab/>
          </w:r>
          <w:r>
            <w:rPr>
              <w:b w:val="0"/>
              <w:spacing w:val="-5"/>
            </w:rPr>
            <w:t>46</w:t>
          </w:r>
        </w:p>
        <w:p>
          <w:pPr>
            <w:pStyle w:val="TOC2"/>
            <w:numPr>
              <w:ilvl w:val="1"/>
              <w:numId w:val="5"/>
            </w:numPr>
            <w:tabs>
              <w:tab w:pos="1560" w:val="left" w:leader="none"/>
              <w:tab w:pos="10509" w:val="right" w:leader="dot"/>
            </w:tabs>
            <w:spacing w:line="240" w:lineRule="auto" w:before="437" w:after="0"/>
            <w:ind w:left="1560" w:right="0" w:hanging="360"/>
            <w:jc w:val="left"/>
            <w:rPr>
              <w:b w:val="0"/>
            </w:rPr>
          </w:pPr>
          <w:r>
            <w:rPr>
              <w:spacing w:val="-2"/>
            </w:rPr>
            <w:t>Conclusion</w:t>
          </w:r>
          <w:r>
            <w:rPr/>
            <w:tab/>
          </w:r>
          <w:r>
            <w:rPr>
              <w:b w:val="0"/>
              <w:spacing w:val="-5"/>
            </w:rPr>
            <w:t>46</w:t>
          </w:r>
        </w:p>
        <w:p>
          <w:pPr>
            <w:pStyle w:val="TOC2"/>
            <w:numPr>
              <w:ilvl w:val="1"/>
              <w:numId w:val="5"/>
            </w:numPr>
            <w:tabs>
              <w:tab w:pos="1560" w:val="left" w:leader="none"/>
              <w:tab w:pos="10535" w:val="right" w:leader="dot"/>
            </w:tabs>
            <w:spacing w:line="240" w:lineRule="auto" w:before="437" w:after="0"/>
            <w:ind w:left="1560" w:right="0" w:hanging="360"/>
            <w:jc w:val="left"/>
            <w:rPr>
              <w:b w:val="0"/>
            </w:rPr>
          </w:pPr>
          <w:hyperlink w:history="true" w:anchor="_TOC_250002">
            <w:r>
              <w:rPr>
                <w:spacing w:val="-2"/>
              </w:rPr>
              <w:t>Recommendations</w:t>
            </w:r>
            <w:r>
              <w:rPr/>
              <w:tab/>
            </w:r>
            <w:r>
              <w:rPr>
                <w:b w:val="0"/>
                <w:spacing w:val="-5"/>
              </w:rPr>
              <w:t>46</w:t>
            </w:r>
          </w:hyperlink>
        </w:p>
        <w:p>
          <w:pPr>
            <w:pStyle w:val="TOC1"/>
            <w:tabs>
              <w:tab w:pos="10494" w:val="right" w:leader="dot"/>
            </w:tabs>
            <w:spacing w:before="434"/>
            <w:rPr>
              <w:b w:val="0"/>
            </w:rPr>
          </w:pPr>
          <w:hyperlink w:history="true" w:anchor="_TOC_250001">
            <w:r>
              <w:rPr>
                <w:spacing w:val="-2"/>
              </w:rPr>
              <w:t>REFERENCES</w:t>
            </w:r>
            <w:r>
              <w:rPr/>
              <w:tab/>
            </w:r>
            <w:r>
              <w:rPr>
                <w:b w:val="0"/>
                <w:spacing w:val="-5"/>
              </w:rPr>
              <w:t>47</w:t>
            </w:r>
          </w:hyperlink>
        </w:p>
        <w:p>
          <w:pPr>
            <w:pStyle w:val="TOC1"/>
            <w:tabs>
              <w:tab w:pos="10475" w:val="right" w:leader="dot"/>
            </w:tabs>
            <w:rPr>
              <w:b w:val="0"/>
            </w:rPr>
          </w:pPr>
          <w:hyperlink w:history="true" w:anchor="_TOC_250000">
            <w:r>
              <w:rPr>
                <w:spacing w:val="-2"/>
              </w:rPr>
              <w:t>APPENDICES</w:t>
            </w:r>
            <w:r>
              <w:rPr/>
              <w:tab/>
            </w:r>
            <w:r>
              <w:rPr>
                <w:b w:val="0"/>
                <w:spacing w:val="-5"/>
              </w:rPr>
              <w:t>52</w:t>
            </w:r>
          </w:hyperlink>
        </w:p>
      </w:sdtContent>
    </w:sdt>
    <w:p>
      <w:pPr>
        <w:spacing w:after="0"/>
        <w:sectPr>
          <w:type w:val="continuous"/>
          <w:pgSz w:w="12240" w:h="15840"/>
          <w:pgMar w:header="0" w:footer="1015" w:top="1359" w:bottom="1615" w:left="240" w:right="0"/>
        </w:sectPr>
      </w:pPr>
    </w:p>
    <w:p>
      <w:pPr>
        <w:pStyle w:val="BodyText"/>
        <w:spacing w:before="53"/>
      </w:pPr>
    </w:p>
    <w:p>
      <w:pPr>
        <w:pStyle w:val="Heading2"/>
        <w:spacing w:before="1"/>
        <w:ind w:right="1492"/>
      </w:pPr>
      <w:bookmarkStart w:name="_TOC_250029" w:id="5"/>
      <w:r>
        <w:rPr/>
        <w:t>LIST OF</w:t>
      </w:r>
      <w:r>
        <w:rPr>
          <w:spacing w:val="-3"/>
        </w:rPr>
        <w:t> </w:t>
      </w:r>
      <w:bookmarkEnd w:id="5"/>
      <w:r>
        <w:rPr>
          <w:spacing w:val="-2"/>
        </w:rPr>
        <w:t>TABLES</w:t>
      </w:r>
    </w:p>
    <w:p>
      <w:pPr>
        <w:pStyle w:val="BodyText"/>
        <w:spacing w:before="153"/>
        <w:rPr>
          <w:b/>
        </w:rPr>
      </w:pPr>
    </w:p>
    <w:p>
      <w:pPr>
        <w:pStyle w:val="BodyText"/>
        <w:tabs>
          <w:tab w:pos="10213" w:val="left" w:leader="dot"/>
        </w:tabs>
        <w:ind w:left="1200"/>
      </w:pPr>
      <w:r>
        <w:rPr/>
        <w:t>Table</w:t>
      </w:r>
      <w:r>
        <w:rPr>
          <w:spacing w:val="-3"/>
        </w:rPr>
        <w:t> </w:t>
      </w:r>
      <w:r>
        <w:rPr/>
        <w:t>4.1: Information</w:t>
      </w:r>
      <w:r>
        <w:rPr>
          <w:spacing w:val="-1"/>
        </w:rPr>
        <w:t> </w:t>
      </w:r>
      <w:r>
        <w:rPr/>
        <w:t>of</w:t>
      </w:r>
      <w:r>
        <w:rPr>
          <w:spacing w:val="-1"/>
        </w:rPr>
        <w:t> </w:t>
      </w:r>
      <w:r>
        <w:rPr/>
        <w:t>isoniazidtablet</w:t>
      </w:r>
      <w:r>
        <w:rPr>
          <w:spacing w:val="-1"/>
        </w:rPr>
        <w:t> </w:t>
      </w:r>
      <w:r>
        <w:rPr/>
        <w:t>use</w:t>
      </w:r>
      <w:r>
        <w:rPr>
          <w:spacing w:val="-1"/>
        </w:rPr>
        <w:t> </w:t>
      </w:r>
      <w:r>
        <w:rPr/>
        <w:t>for</w:t>
      </w:r>
      <w:r>
        <w:rPr>
          <w:spacing w:val="-1"/>
        </w:rPr>
        <w:t> </w:t>
      </w:r>
      <w:r>
        <w:rPr/>
        <w:t>the</w:t>
      </w:r>
      <w:r>
        <w:rPr>
          <w:spacing w:val="-1"/>
        </w:rPr>
        <w:t> </w:t>
      </w:r>
      <w:r>
        <w:rPr>
          <w:spacing w:val="-2"/>
        </w:rPr>
        <w:t>research</w:t>
      </w:r>
      <w:r>
        <w:rPr/>
        <w:tab/>
      </w:r>
      <w:r>
        <w:rPr>
          <w:spacing w:val="-5"/>
        </w:rPr>
        <w:t>29</w:t>
      </w:r>
    </w:p>
    <w:p>
      <w:pPr>
        <w:pStyle w:val="BodyText"/>
        <w:spacing w:before="161"/>
      </w:pPr>
    </w:p>
    <w:p>
      <w:pPr>
        <w:pStyle w:val="BodyText"/>
        <w:tabs>
          <w:tab w:pos="10086" w:val="left" w:leader="dot"/>
        </w:tabs>
        <w:ind w:left="1200"/>
      </w:pPr>
      <w:r>
        <w:rPr/>
        <w:t>Table</w:t>
      </w:r>
      <w:r>
        <w:rPr>
          <w:spacing w:val="-3"/>
        </w:rPr>
        <w:t> </w:t>
      </w:r>
      <w:r>
        <w:rPr/>
        <w:t>4.2:</w:t>
      </w:r>
      <w:r>
        <w:rPr>
          <w:spacing w:val="-1"/>
        </w:rPr>
        <w:t> </w:t>
      </w:r>
      <w:r>
        <w:rPr/>
        <w:t>Melting</w:t>
      </w:r>
      <w:r>
        <w:rPr>
          <w:spacing w:val="-4"/>
        </w:rPr>
        <w:t> </w:t>
      </w:r>
      <w:r>
        <w:rPr/>
        <w:t>point</w:t>
      </w:r>
      <w:r>
        <w:rPr>
          <w:spacing w:val="2"/>
        </w:rPr>
        <w:t> </w:t>
      </w:r>
      <w:r>
        <w:rPr/>
        <w:t>of</w:t>
      </w:r>
      <w:r>
        <w:rPr>
          <w:spacing w:val="-2"/>
        </w:rPr>
        <w:t> </w:t>
      </w:r>
      <w:r>
        <w:rPr/>
        <w:t>isoniazid</w:t>
      </w:r>
      <w:r>
        <w:rPr>
          <w:spacing w:val="-1"/>
        </w:rPr>
        <w:t> </w:t>
      </w:r>
      <w:r>
        <w:rPr/>
        <w:t>standard</w:t>
      </w:r>
      <w:r>
        <w:rPr>
          <w:spacing w:val="-1"/>
        </w:rPr>
        <w:t> </w:t>
      </w:r>
      <w:r>
        <w:rPr/>
        <w:t>powder</w:t>
      </w:r>
      <w:r>
        <w:rPr>
          <w:spacing w:val="-1"/>
        </w:rPr>
        <w:t> </w:t>
      </w:r>
      <w:r>
        <w:rPr/>
        <w:t>and</w:t>
      </w:r>
      <w:r>
        <w:rPr>
          <w:spacing w:val="-1"/>
        </w:rPr>
        <w:t> </w:t>
      </w:r>
      <w:r>
        <w:rPr>
          <w:spacing w:val="-2"/>
        </w:rPr>
        <w:t>tablet</w:t>
      </w:r>
      <w:r>
        <w:rPr/>
        <w:tab/>
      </w:r>
      <w:r>
        <w:rPr>
          <w:spacing w:val="-5"/>
        </w:rPr>
        <w:t>30</w:t>
      </w:r>
    </w:p>
    <w:p>
      <w:pPr>
        <w:pStyle w:val="BodyText"/>
        <w:spacing w:before="161"/>
      </w:pPr>
    </w:p>
    <w:p>
      <w:pPr>
        <w:pStyle w:val="BodyText"/>
        <w:tabs>
          <w:tab w:pos="10247" w:val="left" w:leader="dot"/>
        </w:tabs>
        <w:ind w:left="1200"/>
      </w:pPr>
      <w:r>
        <w:rPr/>
        <w:t>Table</w:t>
      </w:r>
      <w:r>
        <w:rPr>
          <w:spacing w:val="-3"/>
        </w:rPr>
        <w:t> </w:t>
      </w:r>
      <w:r>
        <w:rPr/>
        <w:t>4.3:</w:t>
      </w:r>
      <w:r>
        <w:rPr>
          <w:spacing w:val="-1"/>
        </w:rPr>
        <w:t> </w:t>
      </w:r>
      <w:r>
        <w:rPr/>
        <w:t>Solubility</w:t>
      </w:r>
      <w:r>
        <w:rPr>
          <w:spacing w:val="-9"/>
        </w:rPr>
        <w:t> </w:t>
      </w:r>
      <w:r>
        <w:rPr/>
        <w:t>of isoniazid</w:t>
      </w:r>
      <w:r>
        <w:rPr>
          <w:spacing w:val="2"/>
        </w:rPr>
        <w:t> </w:t>
      </w:r>
      <w:r>
        <w:rPr/>
        <w:t>in</w:t>
      </w:r>
      <w:r>
        <w:rPr>
          <w:spacing w:val="-1"/>
        </w:rPr>
        <w:t> </w:t>
      </w:r>
      <w:r>
        <w:rPr/>
        <w:t>different </w:t>
      </w:r>
      <w:r>
        <w:rPr>
          <w:spacing w:val="-2"/>
        </w:rPr>
        <w:t>solvents</w:t>
      </w:r>
      <w:r>
        <w:rPr/>
        <w:tab/>
      </w:r>
      <w:r>
        <w:rPr>
          <w:spacing w:val="-5"/>
        </w:rPr>
        <w:t>33</w:t>
      </w:r>
    </w:p>
    <w:p>
      <w:pPr>
        <w:pStyle w:val="BodyText"/>
        <w:spacing w:before="159"/>
      </w:pPr>
    </w:p>
    <w:p>
      <w:pPr>
        <w:pStyle w:val="BodyText"/>
        <w:ind w:left="1200"/>
      </w:pPr>
      <w:r>
        <w:rPr/>
        <w:t>Table</w:t>
      </w:r>
      <w:r>
        <w:rPr>
          <w:spacing w:val="4"/>
        </w:rPr>
        <w:t> </w:t>
      </w:r>
      <w:r>
        <w:rPr/>
        <w:t>4.4:</w:t>
      </w:r>
      <w:r>
        <w:rPr>
          <w:spacing w:val="6"/>
        </w:rPr>
        <w:t> </w:t>
      </w:r>
      <w:r>
        <w:rPr/>
        <w:t>Calibration</w:t>
      </w:r>
      <w:r>
        <w:rPr>
          <w:spacing w:val="6"/>
        </w:rPr>
        <w:t> </w:t>
      </w:r>
      <w:r>
        <w:rPr/>
        <w:t>parameters</w:t>
      </w:r>
      <w:r>
        <w:rPr>
          <w:spacing w:val="4"/>
        </w:rPr>
        <w:t> </w:t>
      </w:r>
      <w:r>
        <w:rPr/>
        <w:t>for</w:t>
      </w:r>
      <w:r>
        <w:rPr>
          <w:spacing w:val="5"/>
        </w:rPr>
        <w:t> </w:t>
      </w:r>
      <w:r>
        <w:rPr/>
        <w:t>UV</w:t>
      </w:r>
      <w:r>
        <w:rPr>
          <w:spacing w:val="5"/>
        </w:rPr>
        <w:t> </w:t>
      </w:r>
      <w:r>
        <w:rPr/>
        <w:t>spectrophotometric</w:t>
      </w:r>
      <w:r>
        <w:rPr>
          <w:spacing w:val="5"/>
        </w:rPr>
        <w:t> </w:t>
      </w:r>
      <w:r>
        <w:rPr/>
        <w:t>methods</w:t>
      </w:r>
      <w:r>
        <w:rPr>
          <w:spacing w:val="8"/>
        </w:rPr>
        <w:t> </w:t>
      </w:r>
      <w:r>
        <w:rPr/>
        <w:t>using</w:t>
      </w:r>
      <w:r>
        <w:rPr>
          <w:spacing w:val="3"/>
        </w:rPr>
        <w:t> </w:t>
      </w:r>
      <w:r>
        <w:rPr/>
        <w:t>water</w:t>
      </w:r>
      <w:r>
        <w:rPr>
          <w:spacing w:val="5"/>
        </w:rPr>
        <w:t> </w:t>
      </w:r>
      <w:r>
        <w:rPr/>
        <w:t>and</w:t>
      </w:r>
      <w:r>
        <w:rPr>
          <w:spacing w:val="7"/>
        </w:rPr>
        <w:t> </w:t>
      </w:r>
      <w:r>
        <w:rPr>
          <w:spacing w:val="-2"/>
        </w:rPr>
        <w:t>methanol</w:t>
      </w:r>
    </w:p>
    <w:p>
      <w:pPr>
        <w:pStyle w:val="BodyText"/>
      </w:pPr>
    </w:p>
    <w:p>
      <w:pPr>
        <w:pStyle w:val="BodyText"/>
        <w:ind w:left="1200"/>
      </w:pPr>
      <w:r>
        <w:rPr>
          <w:spacing w:val="-2"/>
        </w:rPr>
        <w:t>……………………………………………………………………………………………………34</w:t>
      </w:r>
    </w:p>
    <w:p>
      <w:pPr>
        <w:pStyle w:val="BodyText"/>
        <w:spacing w:before="161"/>
      </w:pPr>
    </w:p>
    <w:p>
      <w:pPr>
        <w:pStyle w:val="BodyText"/>
        <w:tabs>
          <w:tab w:pos="10314" w:val="left" w:leader="dot"/>
        </w:tabs>
        <w:spacing w:line="480" w:lineRule="auto"/>
        <w:ind w:left="1200" w:right="1443"/>
      </w:pPr>
      <w:r>
        <w:rPr/>
        <w:t>Table 4.5: Validation parameters for UV spectrophotometric methods using water and </w:t>
      </w:r>
      <w:r>
        <w:rPr>
          <w:spacing w:val="-2"/>
        </w:rPr>
        <w:t>methanol…</w:t>
      </w:r>
      <w:r>
        <w:rPr/>
        <w:tab/>
      </w:r>
      <w:r>
        <w:rPr>
          <w:spacing w:val="-5"/>
        </w:rPr>
        <w:t>37</w:t>
      </w:r>
    </w:p>
    <w:p>
      <w:pPr>
        <w:pStyle w:val="BodyText"/>
        <w:tabs>
          <w:tab w:pos="10228" w:val="left" w:leader="dot"/>
        </w:tabs>
        <w:spacing w:line="480" w:lineRule="auto" w:before="158"/>
        <w:ind w:left="1200" w:right="1437"/>
      </w:pPr>
      <w:r>
        <w:rPr/>
        <w:t>Table</w:t>
      </w:r>
      <w:r>
        <w:rPr>
          <w:spacing w:val="37"/>
        </w:rPr>
        <w:t> </w:t>
      </w:r>
      <w:r>
        <w:rPr/>
        <w:t>4.6:</w:t>
      </w:r>
      <w:r>
        <w:rPr>
          <w:spacing w:val="38"/>
        </w:rPr>
        <w:t> </w:t>
      </w:r>
      <w:r>
        <w:rPr/>
        <w:t>Calibration</w:t>
      </w:r>
      <w:r>
        <w:rPr>
          <w:spacing w:val="37"/>
        </w:rPr>
        <w:t> </w:t>
      </w:r>
      <w:r>
        <w:rPr/>
        <w:t>parameters</w:t>
      </w:r>
      <w:r>
        <w:rPr>
          <w:spacing w:val="37"/>
        </w:rPr>
        <w:t> </w:t>
      </w:r>
      <w:r>
        <w:rPr/>
        <w:t>of</w:t>
      </w:r>
      <w:r>
        <w:rPr>
          <w:spacing w:val="39"/>
        </w:rPr>
        <w:t> </w:t>
      </w:r>
      <w:r>
        <w:rPr/>
        <w:t>colourometric</w:t>
      </w:r>
      <w:r>
        <w:rPr>
          <w:spacing w:val="36"/>
        </w:rPr>
        <w:t> </w:t>
      </w:r>
      <w:r>
        <w:rPr/>
        <w:t>methods</w:t>
      </w:r>
      <w:r>
        <w:rPr>
          <w:spacing w:val="37"/>
        </w:rPr>
        <w:t> </w:t>
      </w:r>
      <w:r>
        <w:rPr/>
        <w:t>using</w:t>
      </w:r>
      <w:r>
        <w:rPr>
          <w:spacing w:val="37"/>
        </w:rPr>
        <w:t> </w:t>
      </w:r>
      <w:r>
        <w:rPr/>
        <w:t>2,4-dinitrophenylhydrazine and by diazotization</w:t>
        <w:tab/>
      </w:r>
      <w:r>
        <w:rPr>
          <w:spacing w:val="-6"/>
        </w:rPr>
        <w:t>38</w:t>
      </w:r>
    </w:p>
    <w:p>
      <w:pPr>
        <w:pStyle w:val="BodyText"/>
        <w:tabs>
          <w:tab w:pos="10288" w:val="left" w:leader="dot"/>
        </w:tabs>
        <w:spacing w:line="480" w:lineRule="auto" w:before="162"/>
        <w:ind w:left="1200" w:right="1437"/>
      </w:pPr>
      <w:r>
        <w:rPr/>
        <w:t>Table</w:t>
      </w:r>
      <w:r>
        <w:rPr>
          <w:spacing w:val="40"/>
        </w:rPr>
        <w:t> </w:t>
      </w:r>
      <w:r>
        <w:rPr/>
        <w:t>4.7:</w:t>
      </w:r>
      <w:r>
        <w:rPr>
          <w:spacing w:val="40"/>
        </w:rPr>
        <w:t> </w:t>
      </w:r>
      <w:r>
        <w:rPr/>
        <w:t>Validation</w:t>
      </w:r>
      <w:r>
        <w:rPr>
          <w:spacing w:val="40"/>
        </w:rPr>
        <w:t> </w:t>
      </w:r>
      <w:r>
        <w:rPr/>
        <w:t>parameters</w:t>
      </w:r>
      <w:r>
        <w:rPr>
          <w:spacing w:val="40"/>
        </w:rPr>
        <w:t> </w:t>
      </w:r>
      <w:r>
        <w:rPr/>
        <w:t>of</w:t>
      </w:r>
      <w:r>
        <w:rPr>
          <w:spacing w:val="40"/>
        </w:rPr>
        <w:t> </w:t>
      </w:r>
      <w:r>
        <w:rPr/>
        <w:t>colourometric</w:t>
      </w:r>
      <w:r>
        <w:rPr>
          <w:spacing w:val="40"/>
        </w:rPr>
        <w:t> </w:t>
      </w:r>
      <w:r>
        <w:rPr/>
        <w:t>methods</w:t>
      </w:r>
      <w:r>
        <w:rPr>
          <w:spacing w:val="40"/>
        </w:rPr>
        <w:t> </w:t>
      </w:r>
      <w:r>
        <w:rPr/>
        <w:t>using</w:t>
      </w:r>
      <w:r>
        <w:rPr>
          <w:spacing w:val="40"/>
        </w:rPr>
        <w:t> </w:t>
      </w:r>
      <w:r>
        <w:rPr/>
        <w:t>2,4-dinitrophenylhydrazine and by</w:t>
      </w:r>
      <w:r>
        <w:rPr>
          <w:spacing w:val="-4"/>
        </w:rPr>
        <w:t> </w:t>
      </w:r>
      <w:r>
        <w:rPr>
          <w:spacing w:val="-2"/>
        </w:rPr>
        <w:t>diazotization</w:t>
      </w:r>
      <w:r>
        <w:rPr/>
        <w:tab/>
      </w:r>
      <w:r>
        <w:rPr>
          <w:spacing w:val="-5"/>
        </w:rPr>
        <w:t>41</w:t>
      </w:r>
    </w:p>
    <w:p>
      <w:pPr>
        <w:pStyle w:val="BodyText"/>
        <w:tabs>
          <w:tab w:pos="10273" w:val="left" w:leader="dot"/>
        </w:tabs>
        <w:spacing w:before="161"/>
        <w:ind w:left="1200"/>
      </w:pPr>
      <w:r>
        <w:rPr/>
        <w:t>Table</w:t>
      </w:r>
      <w:r>
        <w:rPr>
          <w:spacing w:val="-2"/>
        </w:rPr>
        <w:t> </w:t>
      </w:r>
      <w:r>
        <w:rPr/>
        <w:t>4.8:</w:t>
      </w:r>
      <w:r>
        <w:rPr>
          <w:spacing w:val="-1"/>
        </w:rPr>
        <w:t> </w:t>
      </w:r>
      <w:r>
        <w:rPr/>
        <w:t>Percentage</w:t>
      </w:r>
      <w:r>
        <w:rPr>
          <w:spacing w:val="1"/>
        </w:rPr>
        <w:t> </w:t>
      </w:r>
      <w:r>
        <w:rPr/>
        <w:t>content of</w:t>
      </w:r>
      <w:r>
        <w:rPr>
          <w:spacing w:val="-2"/>
        </w:rPr>
        <w:t> </w:t>
      </w:r>
      <w:r>
        <w:rPr/>
        <w:t>isoniazid</w:t>
      </w:r>
      <w:r>
        <w:rPr>
          <w:spacing w:val="1"/>
        </w:rPr>
        <w:t> </w:t>
      </w:r>
      <w:r>
        <w:rPr>
          <w:spacing w:val="-2"/>
        </w:rPr>
        <w:t>tablet</w:t>
      </w:r>
      <w:r>
        <w:rPr/>
        <w:tab/>
      </w:r>
      <w:r>
        <w:rPr>
          <w:spacing w:val="-5"/>
        </w:rPr>
        <w:t>42</w:t>
      </w:r>
    </w:p>
    <w:p>
      <w:pPr>
        <w:spacing w:after="0"/>
        <w:sectPr>
          <w:pgSz w:w="12240" w:h="15840"/>
          <w:pgMar w:header="0" w:footer="1015" w:top="1820" w:bottom="1200" w:left="240" w:right="0"/>
        </w:sectPr>
      </w:pPr>
    </w:p>
    <w:p>
      <w:pPr>
        <w:pStyle w:val="BodyText"/>
        <w:spacing w:before="4"/>
        <w:rPr>
          <w:sz w:val="17"/>
        </w:rPr>
      </w:pPr>
    </w:p>
    <w:p>
      <w:pPr>
        <w:spacing w:after="0"/>
        <w:rPr>
          <w:sz w:val="17"/>
        </w:rPr>
        <w:sectPr>
          <w:pgSz w:w="12240" w:h="15840"/>
          <w:pgMar w:header="0" w:footer="1015" w:top="1820" w:bottom="1200" w:left="240" w:right="0"/>
        </w:sectPr>
      </w:pPr>
    </w:p>
    <w:p>
      <w:pPr>
        <w:pStyle w:val="Heading2"/>
        <w:spacing w:before="76"/>
        <w:ind w:left="0" w:right="509"/>
      </w:pPr>
      <w:bookmarkStart w:name="_TOC_250028" w:id="6"/>
      <w:r>
        <w:rPr/>
        <w:t>LIST OF</w:t>
      </w:r>
      <w:r>
        <w:rPr>
          <w:spacing w:val="-3"/>
        </w:rPr>
        <w:t> </w:t>
      </w:r>
      <w:bookmarkEnd w:id="6"/>
      <w:r>
        <w:rPr>
          <w:spacing w:val="-2"/>
        </w:rPr>
        <w:t>FIGURES</w:t>
      </w:r>
    </w:p>
    <w:p>
      <w:pPr>
        <w:pStyle w:val="BodyText"/>
        <w:tabs>
          <w:tab w:pos="10257" w:val="right" w:leader="dot"/>
        </w:tabs>
        <w:spacing w:before="433"/>
        <w:ind w:left="1200"/>
      </w:pPr>
      <w:r>
        <w:rPr/>
        <w:t>Figure</w:t>
      </w:r>
      <w:r>
        <w:rPr>
          <w:spacing w:val="-6"/>
        </w:rPr>
        <w:t> </w:t>
      </w:r>
      <w:r>
        <w:rPr/>
        <w:t>4.1 FTIR</w:t>
      </w:r>
      <w:r>
        <w:rPr>
          <w:spacing w:val="-1"/>
        </w:rPr>
        <w:t> </w:t>
      </w:r>
      <w:r>
        <w:rPr/>
        <w:t>spectra</w:t>
      </w:r>
      <w:r>
        <w:rPr>
          <w:spacing w:val="-1"/>
        </w:rPr>
        <w:t> </w:t>
      </w:r>
      <w:r>
        <w:rPr/>
        <w:t>of</w:t>
      </w:r>
      <w:r>
        <w:rPr>
          <w:spacing w:val="-2"/>
        </w:rPr>
        <w:t> </w:t>
      </w:r>
      <w:r>
        <w:rPr/>
        <w:t>isoniazid</w:t>
      </w:r>
      <w:r>
        <w:rPr>
          <w:spacing w:val="-1"/>
        </w:rPr>
        <w:t> </w:t>
      </w:r>
      <w:r>
        <w:rPr/>
        <w:t>standard</w:t>
      </w:r>
      <w:r>
        <w:rPr>
          <w:spacing w:val="-3"/>
        </w:rPr>
        <w:t> </w:t>
      </w:r>
      <w:r>
        <w:rPr/>
        <w:t>powder</w:t>
      </w:r>
      <w:r>
        <w:rPr>
          <w:spacing w:val="-1"/>
        </w:rPr>
        <w:t> </w:t>
      </w:r>
      <w:r>
        <w:rPr/>
        <w:t>and reference</w:t>
      </w:r>
      <w:r>
        <w:rPr>
          <w:spacing w:val="-1"/>
        </w:rPr>
        <w:t> </w:t>
      </w:r>
      <w:r>
        <w:rPr>
          <w:spacing w:val="-2"/>
        </w:rPr>
        <w:t>standard…</w:t>
      </w:r>
      <w:r>
        <w:rPr/>
        <w:tab/>
      </w:r>
      <w:r>
        <w:rPr>
          <w:spacing w:val="-5"/>
        </w:rPr>
        <w:t>31</w:t>
      </w:r>
    </w:p>
    <w:p>
      <w:pPr>
        <w:pStyle w:val="BodyText"/>
        <w:tabs>
          <w:tab w:pos="10242" w:val="right" w:leader="dot"/>
        </w:tabs>
        <w:spacing w:before="434"/>
        <w:ind w:left="1200"/>
      </w:pPr>
      <w:r>
        <w:rPr/>
        <w:t>Figure</w:t>
      </w:r>
      <w:r>
        <w:rPr>
          <w:spacing w:val="-4"/>
        </w:rPr>
        <w:t> </w:t>
      </w:r>
      <w:r>
        <w:rPr/>
        <w:t>4.2</w:t>
      </w:r>
      <w:r>
        <w:rPr>
          <w:spacing w:val="1"/>
        </w:rPr>
        <w:t> </w:t>
      </w:r>
      <w:r>
        <w:rPr/>
        <w:t>FTIR</w:t>
      </w:r>
      <w:r>
        <w:rPr>
          <w:spacing w:val="-1"/>
        </w:rPr>
        <w:t> </w:t>
      </w:r>
      <w:r>
        <w:rPr/>
        <w:t>spectrum of</w:t>
      </w:r>
      <w:r>
        <w:rPr>
          <w:spacing w:val="-3"/>
        </w:rPr>
        <w:t> </w:t>
      </w:r>
      <w:r>
        <w:rPr/>
        <w:t>isoniazid tablet</w:t>
      </w:r>
      <w:r>
        <w:rPr>
          <w:spacing w:val="-1"/>
        </w:rPr>
        <w:t> </w:t>
      </w:r>
      <w:r>
        <w:rPr/>
        <w:t>and</w:t>
      </w:r>
      <w:r>
        <w:rPr>
          <w:spacing w:val="-1"/>
        </w:rPr>
        <w:t> </w:t>
      </w:r>
      <w:r>
        <w:rPr/>
        <w:t>reference</w:t>
      </w:r>
      <w:r>
        <w:rPr>
          <w:spacing w:val="-1"/>
        </w:rPr>
        <w:t> </w:t>
      </w:r>
      <w:r>
        <w:rPr>
          <w:spacing w:val="-2"/>
        </w:rPr>
        <w:t>standard</w:t>
      </w:r>
      <w:r>
        <w:rPr/>
        <w:tab/>
      </w:r>
      <w:r>
        <w:rPr>
          <w:spacing w:val="-5"/>
        </w:rPr>
        <w:t>32</w:t>
      </w:r>
    </w:p>
    <w:p>
      <w:pPr>
        <w:pStyle w:val="BodyText"/>
        <w:tabs>
          <w:tab w:pos="10266" w:val="right" w:leader="dot"/>
        </w:tabs>
        <w:spacing w:before="437"/>
        <w:ind w:left="1200"/>
      </w:pPr>
      <w:r>
        <w:rPr/>
        <w:t>Figure</w:t>
      </w:r>
      <w:r>
        <w:rPr>
          <w:spacing w:val="-5"/>
        </w:rPr>
        <w:t> </w:t>
      </w:r>
      <w:r>
        <w:rPr/>
        <w:t>4.3:</w:t>
      </w:r>
      <w:r>
        <w:rPr>
          <w:spacing w:val="-1"/>
        </w:rPr>
        <w:t> </w:t>
      </w:r>
      <w:r>
        <w:rPr/>
        <w:t>Calibration</w:t>
      </w:r>
      <w:r>
        <w:rPr>
          <w:spacing w:val="-1"/>
        </w:rPr>
        <w:t> </w:t>
      </w:r>
      <w:r>
        <w:rPr/>
        <w:t>curve</w:t>
      </w:r>
      <w:r>
        <w:rPr>
          <w:spacing w:val="-2"/>
        </w:rPr>
        <w:t> </w:t>
      </w:r>
      <w:r>
        <w:rPr/>
        <w:t>of</w:t>
      </w:r>
      <w:r>
        <w:rPr>
          <w:spacing w:val="-2"/>
        </w:rPr>
        <w:t> </w:t>
      </w:r>
      <w:r>
        <w:rPr/>
        <w:t>isoniazid in</w:t>
      </w:r>
      <w:r>
        <w:rPr>
          <w:spacing w:val="-1"/>
        </w:rPr>
        <w:t> </w:t>
      </w:r>
      <w:r>
        <w:rPr/>
        <w:t>distilled </w:t>
      </w:r>
      <w:r>
        <w:rPr>
          <w:spacing w:val="-2"/>
        </w:rPr>
        <w:t>water</w:t>
      </w:r>
      <w:r>
        <w:rPr/>
        <w:tab/>
      </w:r>
      <w:r>
        <w:rPr>
          <w:spacing w:val="-5"/>
        </w:rPr>
        <w:t>35</w:t>
      </w:r>
    </w:p>
    <w:p>
      <w:pPr>
        <w:pStyle w:val="BodyText"/>
        <w:tabs>
          <w:tab w:pos="10213" w:val="right" w:leader="dot"/>
        </w:tabs>
        <w:spacing w:before="437"/>
        <w:ind w:left="1200"/>
      </w:pPr>
      <w:r>
        <w:rPr/>
        <w:t>Figure</w:t>
      </w:r>
      <w:r>
        <w:rPr>
          <w:spacing w:val="-3"/>
        </w:rPr>
        <w:t> </w:t>
      </w:r>
      <w:r>
        <w:rPr/>
        <w:t>4.4:</w:t>
      </w:r>
      <w:r>
        <w:rPr>
          <w:spacing w:val="-1"/>
        </w:rPr>
        <w:t> </w:t>
      </w:r>
      <w:r>
        <w:rPr/>
        <w:t>Calibration</w:t>
      </w:r>
      <w:r>
        <w:rPr>
          <w:spacing w:val="-1"/>
        </w:rPr>
        <w:t> </w:t>
      </w:r>
      <w:r>
        <w:rPr/>
        <w:t>curve</w:t>
      </w:r>
      <w:r>
        <w:rPr>
          <w:spacing w:val="-1"/>
        </w:rPr>
        <w:t> </w:t>
      </w:r>
      <w:r>
        <w:rPr/>
        <w:t>of</w:t>
      </w:r>
      <w:r>
        <w:rPr>
          <w:spacing w:val="-2"/>
        </w:rPr>
        <w:t> </w:t>
      </w:r>
      <w:r>
        <w:rPr/>
        <w:t>isoniazid in </w:t>
      </w:r>
      <w:r>
        <w:rPr>
          <w:spacing w:val="-2"/>
        </w:rPr>
        <w:t>methanol</w:t>
      </w:r>
      <w:r>
        <w:rPr/>
        <w:tab/>
      </w:r>
      <w:r>
        <w:rPr>
          <w:spacing w:val="-5"/>
        </w:rPr>
        <w:t>36</w:t>
      </w:r>
    </w:p>
    <w:p>
      <w:pPr>
        <w:pStyle w:val="BodyText"/>
        <w:tabs>
          <w:tab w:pos="10252" w:val="right" w:leader="dot"/>
        </w:tabs>
        <w:spacing w:before="435"/>
        <w:ind w:left="1200"/>
      </w:pPr>
      <w:r>
        <w:rPr/>
        <w:t>Figure</w:t>
      </w:r>
      <w:r>
        <w:rPr>
          <w:spacing w:val="-5"/>
        </w:rPr>
        <w:t> </w:t>
      </w:r>
      <w:r>
        <w:rPr/>
        <w:t>4.5:</w:t>
      </w:r>
      <w:r>
        <w:rPr>
          <w:spacing w:val="-1"/>
        </w:rPr>
        <w:t> </w:t>
      </w:r>
      <w:r>
        <w:rPr/>
        <w:t>Calibration</w:t>
      </w:r>
      <w:r>
        <w:rPr>
          <w:spacing w:val="-1"/>
        </w:rPr>
        <w:t> </w:t>
      </w:r>
      <w:r>
        <w:rPr/>
        <w:t>curve</w:t>
      </w:r>
      <w:r>
        <w:rPr>
          <w:spacing w:val="-1"/>
        </w:rPr>
        <w:t> </w:t>
      </w:r>
      <w:r>
        <w:rPr/>
        <w:t>of</w:t>
      </w:r>
      <w:r>
        <w:rPr>
          <w:spacing w:val="-2"/>
        </w:rPr>
        <w:t> </w:t>
      </w:r>
      <w:r>
        <w:rPr/>
        <w:t>isoniazid solution</w:t>
      </w:r>
      <w:r>
        <w:rPr>
          <w:spacing w:val="-3"/>
        </w:rPr>
        <w:t> </w:t>
      </w:r>
      <w:r>
        <w:rPr/>
        <w:t>in 2,4-</w:t>
      </w:r>
      <w:r>
        <w:rPr>
          <w:spacing w:val="-2"/>
        </w:rPr>
        <w:t>dinitrophenylhydrazine</w:t>
      </w:r>
      <w:r>
        <w:rPr/>
        <w:tab/>
      </w:r>
      <w:r>
        <w:rPr>
          <w:spacing w:val="-5"/>
        </w:rPr>
        <w:t>39</w:t>
      </w:r>
    </w:p>
    <w:p>
      <w:pPr>
        <w:pStyle w:val="BodyText"/>
        <w:tabs>
          <w:tab w:pos="10278" w:val="right" w:leader="dot"/>
        </w:tabs>
        <w:spacing w:before="437"/>
        <w:ind w:left="1200"/>
      </w:pPr>
      <w:r>
        <w:rPr/>
        <w:t>Figure</w:t>
      </w:r>
      <w:r>
        <w:rPr>
          <w:spacing w:val="-5"/>
        </w:rPr>
        <w:t> </w:t>
      </w:r>
      <w:r>
        <w:rPr/>
        <w:t>4.6:</w:t>
      </w:r>
      <w:r>
        <w:rPr>
          <w:spacing w:val="-1"/>
        </w:rPr>
        <w:t> </w:t>
      </w:r>
      <w:r>
        <w:rPr/>
        <w:t>Calibration curve</w:t>
      </w:r>
      <w:r>
        <w:rPr>
          <w:spacing w:val="-2"/>
        </w:rPr>
        <w:t> </w:t>
      </w:r>
      <w:r>
        <w:rPr/>
        <w:t>of</w:t>
      </w:r>
      <w:r>
        <w:rPr>
          <w:spacing w:val="-2"/>
        </w:rPr>
        <w:t> </w:t>
      </w:r>
      <w:r>
        <w:rPr/>
        <w:t>isoniazid</w:t>
      </w:r>
      <w:r>
        <w:rPr>
          <w:spacing w:val="1"/>
        </w:rPr>
        <w:t> </w:t>
      </w:r>
      <w:r>
        <w:rPr/>
        <w:t>solution</w:t>
      </w:r>
      <w:r>
        <w:rPr>
          <w:spacing w:val="-3"/>
        </w:rPr>
        <w:t> </w:t>
      </w:r>
      <w:r>
        <w:rPr/>
        <w:t>in </w:t>
      </w:r>
      <w:r>
        <w:rPr>
          <w:spacing w:val="-2"/>
        </w:rPr>
        <w:t>paraaminotoluidine</w:t>
      </w:r>
      <w:r>
        <w:rPr/>
        <w:tab/>
      </w:r>
      <w:r>
        <w:rPr>
          <w:spacing w:val="-5"/>
        </w:rPr>
        <w:t>40</w:t>
      </w:r>
    </w:p>
    <w:p>
      <w:pPr>
        <w:spacing w:after="0"/>
        <w:sectPr>
          <w:pgSz w:w="12240" w:h="15840"/>
          <w:pgMar w:header="0" w:footer="1015" w:top="1360" w:bottom="1200" w:left="240" w:right="0"/>
        </w:sectPr>
      </w:pPr>
    </w:p>
    <w:p>
      <w:pPr>
        <w:pStyle w:val="Heading2"/>
        <w:spacing w:before="76"/>
        <w:ind w:right="1492"/>
      </w:pPr>
      <w:r>
        <w:rPr/>
        <w:t>LIST OF</w:t>
      </w:r>
      <w:r>
        <w:rPr>
          <w:spacing w:val="-3"/>
        </w:rPr>
        <w:t> </w:t>
      </w:r>
      <w:r>
        <w:rPr>
          <w:spacing w:val="-2"/>
        </w:rPr>
        <w:t>APPENDICES</w:t>
      </w:r>
    </w:p>
    <w:p>
      <w:pPr>
        <w:pStyle w:val="BodyText"/>
        <w:tabs>
          <w:tab w:pos="10314" w:val="left" w:leader="dot"/>
        </w:tabs>
        <w:spacing w:before="433"/>
        <w:ind w:left="1200"/>
      </w:pPr>
      <w:r>
        <w:rPr/>
        <w:t>Appendix</w:t>
      </w:r>
      <w:r>
        <w:rPr>
          <w:spacing w:val="2"/>
        </w:rPr>
        <w:t> </w:t>
      </w:r>
      <w:r>
        <w:rPr/>
        <w:t>I:</w:t>
      </w:r>
      <w:r>
        <w:rPr>
          <w:spacing w:val="-2"/>
        </w:rPr>
        <w:t> </w:t>
      </w:r>
      <w:r>
        <w:rPr/>
        <w:t>FTIR</w:t>
      </w:r>
      <w:r>
        <w:rPr>
          <w:spacing w:val="-2"/>
        </w:rPr>
        <w:t> </w:t>
      </w:r>
      <w:r>
        <w:rPr/>
        <w:t>spectrum</w:t>
      </w:r>
      <w:r>
        <w:rPr>
          <w:spacing w:val="-2"/>
        </w:rPr>
        <w:t> </w:t>
      </w:r>
      <w:r>
        <w:rPr/>
        <w:t>of</w:t>
      </w:r>
      <w:r>
        <w:rPr>
          <w:spacing w:val="-2"/>
        </w:rPr>
        <w:t> </w:t>
      </w:r>
      <w:r>
        <w:rPr/>
        <w:t>isoniazid standard</w:t>
      </w:r>
      <w:r>
        <w:rPr>
          <w:spacing w:val="-2"/>
        </w:rPr>
        <w:t> powder</w:t>
      </w:r>
      <w:r>
        <w:rPr/>
        <w:tab/>
      </w:r>
      <w:r>
        <w:rPr>
          <w:spacing w:val="-5"/>
        </w:rPr>
        <w:t>52</w:t>
      </w:r>
    </w:p>
    <w:p>
      <w:pPr>
        <w:pStyle w:val="BodyText"/>
        <w:tabs>
          <w:tab w:pos="10302" w:val="left" w:leader="dot"/>
        </w:tabs>
        <w:spacing w:before="434"/>
        <w:ind w:left="1200"/>
      </w:pPr>
      <w:r>
        <w:rPr/>
        <w:t>Appendix</w:t>
      </w:r>
      <w:r>
        <w:rPr>
          <w:spacing w:val="-2"/>
        </w:rPr>
        <w:t> </w:t>
      </w:r>
      <w:r>
        <w:rPr/>
        <w:t>II:</w:t>
      </w:r>
      <w:r>
        <w:rPr>
          <w:spacing w:val="-3"/>
        </w:rPr>
        <w:t> </w:t>
      </w:r>
      <w:r>
        <w:rPr/>
        <w:t>Preparation</w:t>
      </w:r>
      <w:r>
        <w:rPr>
          <w:spacing w:val="-1"/>
        </w:rPr>
        <w:t> </w:t>
      </w:r>
      <w:r>
        <w:rPr/>
        <w:t>of</w:t>
      </w:r>
      <w:r>
        <w:rPr>
          <w:spacing w:val="-2"/>
        </w:rPr>
        <w:t> reagents</w:t>
      </w:r>
      <w:r>
        <w:rPr/>
        <w:tab/>
      </w:r>
      <w:r>
        <w:rPr>
          <w:spacing w:val="-5"/>
        </w:rPr>
        <w:t>53</w:t>
      </w:r>
    </w:p>
    <w:p>
      <w:pPr>
        <w:pStyle w:val="BodyText"/>
        <w:tabs>
          <w:tab w:pos="10254" w:val="left" w:leader="dot"/>
        </w:tabs>
        <w:spacing w:before="437"/>
        <w:ind w:left="1200"/>
      </w:pPr>
      <w:r>
        <w:rPr/>
        <w:t>Appendix</w:t>
      </w:r>
      <w:r>
        <w:rPr>
          <w:spacing w:val="2"/>
        </w:rPr>
        <w:t> </w:t>
      </w:r>
      <w:r>
        <w:rPr/>
        <w:t>III:UV</w:t>
      </w:r>
      <w:r>
        <w:rPr>
          <w:spacing w:val="-1"/>
        </w:rPr>
        <w:t> </w:t>
      </w:r>
      <w:r>
        <w:rPr/>
        <w:t>absorption</w:t>
      </w:r>
      <w:r>
        <w:rPr>
          <w:spacing w:val="-2"/>
        </w:rPr>
        <w:t> </w:t>
      </w:r>
      <w:r>
        <w:rPr/>
        <w:t>spectrum</w:t>
      </w:r>
      <w:r>
        <w:rPr>
          <w:spacing w:val="-1"/>
        </w:rPr>
        <w:t> </w:t>
      </w:r>
      <w:r>
        <w:rPr/>
        <w:t>of</w:t>
      </w:r>
      <w:r>
        <w:rPr>
          <w:spacing w:val="-1"/>
        </w:rPr>
        <w:t> </w:t>
      </w:r>
      <w:r>
        <w:rPr/>
        <w:t>isoniazid</w:t>
      </w:r>
      <w:r>
        <w:rPr>
          <w:spacing w:val="-1"/>
        </w:rPr>
        <w:t> </w:t>
      </w:r>
      <w:r>
        <w:rPr/>
        <w:t>in</w:t>
      </w:r>
      <w:r>
        <w:rPr>
          <w:spacing w:val="-1"/>
        </w:rPr>
        <w:t> </w:t>
      </w:r>
      <w:r>
        <w:rPr/>
        <w:t>distilled</w:t>
      </w:r>
      <w:r>
        <w:rPr>
          <w:spacing w:val="-1"/>
        </w:rPr>
        <w:t> </w:t>
      </w:r>
      <w:r>
        <w:rPr>
          <w:spacing w:val="-2"/>
        </w:rPr>
        <w:t>water</w:t>
      </w:r>
      <w:r>
        <w:rPr/>
        <w:tab/>
      </w:r>
      <w:r>
        <w:rPr>
          <w:spacing w:val="-5"/>
        </w:rPr>
        <w:t>55</w:t>
      </w:r>
    </w:p>
    <w:p>
      <w:pPr>
        <w:pStyle w:val="BodyText"/>
        <w:tabs>
          <w:tab w:pos="10216" w:val="left" w:leader="dot"/>
        </w:tabs>
        <w:spacing w:before="437"/>
        <w:ind w:left="1200"/>
      </w:pPr>
      <w:r>
        <w:rPr/>
        <w:t>Appendix</w:t>
      </w:r>
      <w:r>
        <w:rPr>
          <w:spacing w:val="2"/>
        </w:rPr>
        <w:t> </w:t>
      </w:r>
      <w:r>
        <w:rPr/>
        <w:t>IV:UV absorption</w:t>
      </w:r>
      <w:r>
        <w:rPr>
          <w:spacing w:val="-1"/>
        </w:rPr>
        <w:t> </w:t>
      </w:r>
      <w:r>
        <w:rPr/>
        <w:t>spectrum</w:t>
      </w:r>
      <w:r>
        <w:rPr>
          <w:spacing w:val="-2"/>
        </w:rPr>
        <w:t> </w:t>
      </w:r>
      <w:r>
        <w:rPr/>
        <w:t>of</w:t>
      </w:r>
      <w:r>
        <w:rPr>
          <w:spacing w:val="-1"/>
        </w:rPr>
        <w:t> </w:t>
      </w:r>
      <w:r>
        <w:rPr/>
        <w:t>isoniazid in</w:t>
      </w:r>
      <w:r>
        <w:rPr>
          <w:spacing w:val="-1"/>
        </w:rPr>
        <w:t> </w:t>
      </w:r>
      <w:r>
        <w:rPr>
          <w:spacing w:val="-2"/>
        </w:rPr>
        <w:t>methanol</w:t>
      </w:r>
      <w:r>
        <w:rPr/>
        <w:tab/>
      </w:r>
      <w:r>
        <w:rPr>
          <w:spacing w:val="-5"/>
        </w:rPr>
        <w:t>56</w:t>
      </w:r>
    </w:p>
    <w:p>
      <w:pPr>
        <w:pStyle w:val="BodyText"/>
        <w:tabs>
          <w:tab w:pos="10281" w:val="left" w:leader="dot"/>
        </w:tabs>
        <w:spacing w:before="435"/>
        <w:ind w:left="1200"/>
      </w:pPr>
      <w:r>
        <w:rPr/>
        <w:t>Appendix</w:t>
      </w:r>
      <w:r>
        <w:rPr>
          <w:spacing w:val="-2"/>
        </w:rPr>
        <w:t> </w:t>
      </w:r>
      <w:r>
        <w:rPr/>
        <w:t>V:</w:t>
      </w:r>
      <w:r>
        <w:rPr>
          <w:spacing w:val="-1"/>
        </w:rPr>
        <w:t> </w:t>
      </w:r>
      <w:r>
        <w:rPr/>
        <w:t>UV</w:t>
      </w:r>
      <w:r>
        <w:rPr>
          <w:spacing w:val="-1"/>
        </w:rPr>
        <w:t> </w:t>
      </w:r>
      <w:r>
        <w:rPr/>
        <w:t>absorption spectrum</w:t>
      </w:r>
      <w:r>
        <w:rPr>
          <w:spacing w:val="-1"/>
        </w:rPr>
        <w:t> </w:t>
      </w:r>
      <w:r>
        <w:rPr/>
        <w:t>of</w:t>
      </w:r>
      <w:r>
        <w:rPr>
          <w:spacing w:val="-1"/>
        </w:rPr>
        <w:t> </w:t>
      </w:r>
      <w:r>
        <w:rPr/>
        <w:t>isoniazid</w:t>
      </w:r>
      <w:r>
        <w:rPr>
          <w:spacing w:val="-1"/>
        </w:rPr>
        <w:t> </w:t>
      </w:r>
      <w:r>
        <w:rPr/>
        <w:t>and</w:t>
      </w:r>
      <w:r>
        <w:rPr>
          <w:spacing w:val="-1"/>
        </w:rPr>
        <w:t> </w:t>
      </w:r>
      <w:r>
        <w:rPr/>
        <w:t>2,4-</w:t>
      </w:r>
      <w:r>
        <w:rPr>
          <w:spacing w:val="-2"/>
        </w:rPr>
        <w:t>dinitrophenylhydrazine</w:t>
      </w:r>
      <w:r>
        <w:rPr/>
        <w:tab/>
      </w:r>
      <w:r>
        <w:rPr>
          <w:spacing w:val="-5"/>
        </w:rPr>
        <w:t>57</w:t>
      </w:r>
    </w:p>
    <w:p>
      <w:pPr>
        <w:pStyle w:val="BodyText"/>
        <w:tabs>
          <w:tab w:pos="10281" w:val="left" w:leader="dot"/>
        </w:tabs>
        <w:spacing w:before="437"/>
        <w:ind w:left="1200"/>
      </w:pPr>
      <w:r>
        <w:rPr/>
        <w:t>Appendix VI:</w:t>
      </w:r>
      <w:r>
        <w:rPr>
          <w:spacing w:val="-1"/>
        </w:rPr>
        <w:t> </w:t>
      </w:r>
      <w:r>
        <w:rPr/>
        <w:t>Calibration</w:t>
      </w:r>
      <w:r>
        <w:rPr>
          <w:spacing w:val="-1"/>
        </w:rPr>
        <w:t> </w:t>
      </w:r>
      <w:r>
        <w:rPr/>
        <w:t>parameters</w:t>
      </w:r>
      <w:r>
        <w:rPr>
          <w:spacing w:val="-2"/>
        </w:rPr>
        <w:t> </w:t>
      </w:r>
      <w:r>
        <w:rPr/>
        <w:t>of</w:t>
      </w:r>
      <w:r>
        <w:rPr>
          <w:spacing w:val="-3"/>
        </w:rPr>
        <w:t> </w:t>
      </w:r>
      <w:r>
        <w:rPr/>
        <w:t>isoniazid</w:t>
      </w:r>
      <w:r>
        <w:rPr>
          <w:spacing w:val="2"/>
        </w:rPr>
        <w:t> </w:t>
      </w:r>
      <w:r>
        <w:rPr/>
        <w:t>in</w:t>
      </w:r>
      <w:r>
        <w:rPr>
          <w:spacing w:val="-1"/>
        </w:rPr>
        <w:t> </w:t>
      </w:r>
      <w:r>
        <w:rPr/>
        <w:t>distilled</w:t>
      </w:r>
      <w:r>
        <w:rPr>
          <w:spacing w:val="-1"/>
        </w:rPr>
        <w:t> </w:t>
      </w:r>
      <w:r>
        <w:rPr>
          <w:spacing w:val="-2"/>
        </w:rPr>
        <w:t>water</w:t>
      </w:r>
      <w:r>
        <w:rPr/>
        <w:tab/>
      </w:r>
      <w:r>
        <w:rPr>
          <w:spacing w:val="-5"/>
        </w:rPr>
        <w:t>58</w:t>
      </w:r>
    </w:p>
    <w:p>
      <w:pPr>
        <w:pStyle w:val="BodyText"/>
        <w:tabs>
          <w:tab w:pos="10269" w:val="left" w:leader="dot"/>
        </w:tabs>
        <w:spacing w:line="480" w:lineRule="auto" w:before="437"/>
        <w:ind w:left="1200" w:right="1488"/>
      </w:pPr>
      <w:r>
        <w:rPr/>
        <w:t>Appendix VII: Effective concentration of 2,4-dinitrophenylhydrazinewith isoniazid for maximum</w:t>
      </w:r>
      <w:r>
        <w:rPr>
          <w:spacing w:val="1"/>
        </w:rPr>
        <w:t> </w:t>
      </w:r>
      <w:r>
        <w:rPr>
          <w:spacing w:val="-2"/>
        </w:rPr>
        <w:t>absorption</w:t>
      </w:r>
      <w:r>
        <w:rPr/>
        <w:tab/>
      </w:r>
      <w:r>
        <w:rPr>
          <w:spacing w:val="-5"/>
        </w:rPr>
        <w:t>59</w:t>
      </w:r>
    </w:p>
    <w:p>
      <w:pPr>
        <w:pStyle w:val="BodyText"/>
        <w:tabs>
          <w:tab w:pos="10221" w:val="left" w:leader="dot"/>
        </w:tabs>
        <w:spacing w:before="158"/>
        <w:ind w:left="1200"/>
      </w:pPr>
      <w:r>
        <w:rPr/>
        <w:t>Appendix</w:t>
      </w:r>
      <w:r>
        <w:rPr>
          <w:spacing w:val="-2"/>
        </w:rPr>
        <w:t> </w:t>
      </w:r>
      <w:r>
        <w:rPr/>
        <w:t>VIII:</w:t>
      </w:r>
      <w:r>
        <w:rPr>
          <w:spacing w:val="-2"/>
        </w:rPr>
        <w:t> </w:t>
      </w:r>
      <w:r>
        <w:rPr/>
        <w:t>Effective</w:t>
      </w:r>
      <w:r>
        <w:rPr>
          <w:spacing w:val="1"/>
        </w:rPr>
        <w:t> </w:t>
      </w:r>
      <w:r>
        <w:rPr/>
        <w:t>time</w:t>
      </w:r>
      <w:r>
        <w:rPr>
          <w:spacing w:val="-2"/>
        </w:rPr>
        <w:t> </w:t>
      </w:r>
      <w:r>
        <w:rPr/>
        <w:t>for</w:t>
      </w:r>
      <w:r>
        <w:rPr>
          <w:spacing w:val="-2"/>
        </w:rPr>
        <w:t> </w:t>
      </w:r>
      <w:r>
        <w:rPr/>
        <w:t>maximum</w:t>
      </w:r>
      <w:r>
        <w:rPr>
          <w:spacing w:val="-2"/>
        </w:rPr>
        <w:t> </w:t>
      </w:r>
      <w:r>
        <w:rPr/>
        <w:t>color</w:t>
      </w:r>
      <w:r>
        <w:rPr>
          <w:spacing w:val="-5"/>
        </w:rPr>
        <w:t> </w:t>
      </w:r>
      <w:r>
        <w:rPr>
          <w:spacing w:val="-2"/>
        </w:rPr>
        <w:t>development</w:t>
      </w:r>
      <w:r>
        <w:rPr/>
        <w:tab/>
      </w:r>
      <w:r>
        <w:rPr>
          <w:spacing w:val="-5"/>
        </w:rPr>
        <w:t>60</w:t>
      </w:r>
    </w:p>
    <w:p>
      <w:pPr>
        <w:pStyle w:val="BodyText"/>
        <w:tabs>
          <w:tab w:pos="10295" w:val="left" w:leader="dot"/>
        </w:tabs>
        <w:spacing w:before="437"/>
        <w:ind w:left="1200"/>
      </w:pPr>
      <w:r>
        <w:rPr/>
        <w:t>Appendix</w:t>
      </w:r>
      <w:r>
        <w:rPr>
          <w:spacing w:val="1"/>
        </w:rPr>
        <w:t> </w:t>
      </w:r>
      <w:r>
        <w:rPr/>
        <w:t>IX:</w:t>
      </w:r>
      <w:r>
        <w:rPr>
          <w:spacing w:val="-2"/>
        </w:rPr>
        <w:t> </w:t>
      </w:r>
      <w:r>
        <w:rPr/>
        <w:t>Calculation</w:t>
      </w:r>
      <w:r>
        <w:rPr>
          <w:spacing w:val="-2"/>
        </w:rPr>
        <w:t> </w:t>
      </w:r>
      <w:r>
        <w:rPr/>
        <w:t>of</w:t>
      </w:r>
      <w:r>
        <w:rPr>
          <w:spacing w:val="-1"/>
        </w:rPr>
        <w:t> </w:t>
      </w:r>
      <w:r>
        <w:rPr>
          <w:spacing w:val="-2"/>
        </w:rPr>
        <w:t>precision</w:t>
      </w:r>
      <w:r>
        <w:rPr/>
        <w:tab/>
      </w:r>
      <w:r>
        <w:rPr>
          <w:spacing w:val="-5"/>
        </w:rPr>
        <w:t>61</w:t>
      </w:r>
    </w:p>
    <w:p>
      <w:pPr>
        <w:pStyle w:val="BodyText"/>
        <w:tabs>
          <w:tab w:pos="10278" w:val="left" w:leader="dot"/>
        </w:tabs>
        <w:spacing w:before="435"/>
        <w:ind w:left="1200"/>
      </w:pPr>
      <w:r>
        <w:rPr/>
        <w:t>Appendix X:</w:t>
      </w:r>
      <w:r>
        <w:rPr>
          <w:spacing w:val="-2"/>
        </w:rPr>
        <w:t> </w:t>
      </w:r>
      <w:r>
        <w:rPr/>
        <w:t>Calculation</w:t>
      </w:r>
      <w:r>
        <w:rPr>
          <w:spacing w:val="-5"/>
        </w:rPr>
        <w:t> </w:t>
      </w:r>
      <w:r>
        <w:rPr/>
        <w:t>of</w:t>
      </w:r>
      <w:r>
        <w:rPr>
          <w:spacing w:val="-1"/>
        </w:rPr>
        <w:t> </w:t>
      </w:r>
      <w:r>
        <w:rPr/>
        <w:t>accuracy,</w:t>
      </w:r>
      <w:r>
        <w:rPr>
          <w:spacing w:val="-2"/>
        </w:rPr>
        <w:t> </w:t>
      </w:r>
      <w:r>
        <w:rPr/>
        <w:t>percentage</w:t>
      </w:r>
      <w:r>
        <w:rPr>
          <w:spacing w:val="1"/>
        </w:rPr>
        <w:t> </w:t>
      </w:r>
      <w:r>
        <w:rPr/>
        <w:t>recovery,</w:t>
      </w:r>
      <w:r>
        <w:rPr>
          <w:spacing w:val="1"/>
        </w:rPr>
        <w:t> </w:t>
      </w:r>
      <w:r>
        <w:rPr/>
        <w:t>LOD</w:t>
      </w:r>
      <w:r>
        <w:rPr>
          <w:spacing w:val="-1"/>
        </w:rPr>
        <w:t> </w:t>
      </w:r>
      <w:r>
        <w:rPr/>
        <w:t>and</w:t>
      </w:r>
      <w:r>
        <w:rPr>
          <w:spacing w:val="1"/>
        </w:rPr>
        <w:t> </w:t>
      </w:r>
      <w:r>
        <w:rPr>
          <w:spacing w:val="-5"/>
        </w:rPr>
        <w:t>LOQ</w:t>
      </w:r>
      <w:r>
        <w:rPr/>
        <w:tab/>
      </w:r>
      <w:r>
        <w:rPr>
          <w:spacing w:val="-5"/>
        </w:rPr>
        <w:t>65</w:t>
      </w:r>
    </w:p>
    <w:p>
      <w:pPr>
        <w:pStyle w:val="BodyText"/>
        <w:tabs>
          <w:tab w:pos="10285" w:val="left" w:leader="dot"/>
        </w:tabs>
        <w:spacing w:before="437"/>
        <w:ind w:left="1200"/>
      </w:pPr>
      <w:r>
        <w:rPr/>
        <w:t>Appendix XI:</w:t>
      </w:r>
      <w:r>
        <w:rPr>
          <w:spacing w:val="-2"/>
        </w:rPr>
        <w:t> </w:t>
      </w:r>
      <w:r>
        <w:rPr/>
        <w:t>Slope,</w:t>
      </w:r>
      <w:r>
        <w:rPr>
          <w:spacing w:val="-2"/>
        </w:rPr>
        <w:t> </w:t>
      </w:r>
      <w:r>
        <w:rPr/>
        <w:t>intercept</w:t>
      </w:r>
      <w:r>
        <w:rPr>
          <w:spacing w:val="-2"/>
        </w:rPr>
        <w:t> </w:t>
      </w:r>
      <w:r>
        <w:rPr/>
        <w:t>and</w:t>
      </w:r>
      <w:r>
        <w:rPr>
          <w:spacing w:val="-2"/>
        </w:rPr>
        <w:t> </w:t>
      </w:r>
      <w:r>
        <w:rPr/>
        <w:t>standard</w:t>
      </w:r>
      <w:r>
        <w:rPr>
          <w:spacing w:val="-1"/>
        </w:rPr>
        <w:t> </w:t>
      </w:r>
      <w:r>
        <w:rPr>
          <w:spacing w:val="-2"/>
        </w:rPr>
        <w:t>deviation</w:t>
      </w:r>
      <w:r>
        <w:rPr/>
        <w:tab/>
      </w:r>
      <w:r>
        <w:rPr>
          <w:spacing w:val="-5"/>
        </w:rPr>
        <w:t>71</w:t>
      </w:r>
    </w:p>
    <w:p>
      <w:pPr>
        <w:spacing w:after="0"/>
        <w:sectPr>
          <w:pgSz w:w="12240" w:h="15840"/>
          <w:pgMar w:header="0" w:footer="1015" w:top="1360" w:bottom="1200" w:left="240" w:right="0"/>
        </w:sectPr>
      </w:pPr>
    </w:p>
    <w:p>
      <w:pPr>
        <w:spacing w:before="76"/>
        <w:ind w:left="1255" w:right="1491" w:firstLine="0"/>
        <w:jc w:val="center"/>
        <w:rPr>
          <w:b/>
          <w:sz w:val="24"/>
        </w:rPr>
      </w:pPr>
      <w:r>
        <w:rPr>
          <w:b/>
          <w:spacing w:val="-2"/>
          <w:sz w:val="24"/>
        </w:rPr>
        <w:t>ABBREVIATIONS</w:t>
      </w:r>
    </w:p>
    <w:p>
      <w:pPr>
        <w:pStyle w:val="BodyText"/>
        <w:spacing w:before="157"/>
        <w:rPr>
          <w:b/>
        </w:rPr>
      </w:pPr>
    </w:p>
    <w:p>
      <w:pPr>
        <w:pStyle w:val="BodyText"/>
        <w:tabs>
          <w:tab w:pos="2544" w:val="left" w:leader="none"/>
        </w:tabs>
        <w:spacing w:line="616" w:lineRule="auto"/>
        <w:ind w:left="1200" w:right="6970"/>
      </w:pPr>
      <w:r>
        <w:rPr>
          <w:spacing w:val="-4"/>
        </w:rPr>
        <w:t>ABU</w:t>
      </w:r>
      <w:r>
        <w:rPr/>
        <w:tab/>
        <w:t>Ahmadu</w:t>
      </w:r>
      <w:r>
        <w:rPr>
          <w:spacing w:val="-17"/>
        </w:rPr>
        <w:t> </w:t>
      </w:r>
      <w:r>
        <w:rPr/>
        <w:t>Bello</w:t>
      </w:r>
      <w:r>
        <w:rPr>
          <w:spacing w:val="-15"/>
        </w:rPr>
        <w:t> </w:t>
      </w:r>
      <w:r>
        <w:rPr/>
        <w:t>University BCG</w:t>
      </w:r>
      <w:r>
        <w:rPr>
          <w:spacing w:val="80"/>
        </w:rPr>
        <w:t> </w:t>
      </w:r>
      <w:r>
        <w:rPr/>
        <w:t>Bromo cresol green</w:t>
      </w:r>
    </w:p>
    <w:p>
      <w:pPr>
        <w:pStyle w:val="BodyText"/>
        <w:tabs>
          <w:tab w:pos="1920" w:val="left" w:leader="none"/>
          <w:tab w:pos="1953" w:val="left" w:leader="none"/>
          <w:tab w:pos="2073" w:val="left" w:leader="none"/>
        </w:tabs>
        <w:spacing w:line="619" w:lineRule="auto" w:before="5"/>
        <w:ind w:left="1200" w:right="7900"/>
      </w:pPr>
      <w:r>
        <w:rPr>
          <w:spacing w:val="-4"/>
        </w:rPr>
        <w:t>BPB</w:t>
      </w:r>
      <w:r>
        <w:rPr/>
        <w:tab/>
        <w:tab/>
        <w:t>Bromo phenol blue </w:t>
      </w:r>
      <w:r>
        <w:rPr>
          <w:spacing w:val="-6"/>
        </w:rPr>
        <w:t>BP</w:t>
      </w:r>
      <w:r>
        <w:rPr/>
        <w:tab/>
        <w:t>British</w:t>
      </w:r>
      <w:r>
        <w:rPr>
          <w:spacing w:val="-15"/>
        </w:rPr>
        <w:t> </w:t>
      </w:r>
      <w:r>
        <w:rPr/>
        <w:t>pharmacopoeia </w:t>
      </w:r>
      <w:r>
        <w:rPr>
          <w:spacing w:val="-6"/>
        </w:rPr>
        <w:t>CA</w:t>
      </w:r>
      <w:r>
        <w:rPr/>
        <w:tab/>
        <w:tab/>
        <w:tab/>
        <w:t>Chloranilic acid</w:t>
      </w:r>
    </w:p>
    <w:p>
      <w:pPr>
        <w:pStyle w:val="BodyText"/>
        <w:tabs>
          <w:tab w:pos="1920" w:val="left" w:leader="none"/>
        </w:tabs>
        <w:spacing w:line="619" w:lineRule="auto"/>
        <w:ind w:left="1200" w:right="5744"/>
      </w:pPr>
      <w:r>
        <w:rPr>
          <w:spacing w:val="-4"/>
        </w:rPr>
        <w:t>DDQ</w:t>
      </w:r>
      <w:r>
        <w:rPr/>
        <w:tab/>
        <w:t>2,</w:t>
      </w:r>
      <w:r>
        <w:rPr>
          <w:spacing w:val="-12"/>
        </w:rPr>
        <w:t> </w:t>
      </w:r>
      <w:r>
        <w:rPr/>
        <w:t>3-dichloro-5,</w:t>
      </w:r>
      <w:r>
        <w:rPr>
          <w:spacing w:val="-12"/>
        </w:rPr>
        <w:t> </w:t>
      </w:r>
      <w:r>
        <w:rPr/>
        <w:t>6-dicyano-</w:t>
      </w:r>
      <w:r>
        <w:rPr>
          <w:spacing w:val="-13"/>
        </w:rPr>
        <w:t> </w:t>
      </w:r>
      <w:r>
        <w:rPr/>
        <w:t>l,4-benzoquinone </w:t>
      </w:r>
      <w:r>
        <w:rPr>
          <w:spacing w:val="-4"/>
        </w:rPr>
        <w:t>LOD</w:t>
      </w:r>
      <w:r>
        <w:rPr/>
        <w:tab/>
        <w:t>Limit of detection</w:t>
      </w:r>
    </w:p>
    <w:p>
      <w:pPr>
        <w:pStyle w:val="BodyText"/>
        <w:tabs>
          <w:tab w:pos="1917" w:val="left" w:leader="none"/>
          <w:tab w:pos="2573" w:val="left" w:leader="none"/>
        </w:tabs>
        <w:spacing w:line="619" w:lineRule="auto"/>
        <w:ind w:left="1200" w:right="7132"/>
      </w:pPr>
      <w:r>
        <w:rPr>
          <w:spacing w:val="-4"/>
        </w:rPr>
        <w:t>LOQ</w:t>
      </w:r>
      <w:r>
        <w:rPr/>
        <w:tab/>
        <w:tab/>
      </w:r>
      <w:r>
        <w:rPr>
          <w:spacing w:val="-47"/>
        </w:rPr>
        <w:t> </w:t>
      </w:r>
      <w:r>
        <w:rPr/>
        <w:t>Limit of quantification </w:t>
      </w:r>
      <w:r>
        <w:rPr>
          <w:spacing w:val="-4"/>
        </w:rPr>
        <w:t>DNPH</w:t>
      </w:r>
      <w:r>
        <w:rPr/>
        <w:tab/>
        <w:tab/>
      </w:r>
      <w:r>
        <w:rPr>
          <w:spacing w:val="-2"/>
        </w:rPr>
        <w:t>Dinitrophenylhydrazine </w:t>
      </w:r>
      <w:r>
        <w:rPr>
          <w:spacing w:val="-4"/>
        </w:rPr>
        <w:t>EPI</w:t>
      </w:r>
      <w:r>
        <w:rPr/>
        <w:tab/>
      </w:r>
      <w:r>
        <w:rPr>
          <w:spacing w:val="-2"/>
        </w:rPr>
        <w:t>Epichlorohydrine</w:t>
      </w:r>
    </w:p>
    <w:p>
      <w:pPr>
        <w:pStyle w:val="BodyText"/>
        <w:tabs>
          <w:tab w:pos="2640" w:val="left" w:leader="none"/>
        </w:tabs>
        <w:spacing w:line="619" w:lineRule="auto"/>
        <w:ind w:left="1200" w:right="6837"/>
      </w:pPr>
      <w:r>
        <w:rPr>
          <w:spacing w:val="-4"/>
        </w:rPr>
        <w:t>FTIR</w:t>
      </w:r>
      <w:r>
        <w:rPr/>
        <w:tab/>
        <w:t>Fourier</w:t>
      </w:r>
      <w:r>
        <w:rPr>
          <w:spacing w:val="-15"/>
        </w:rPr>
        <w:t> </w:t>
      </w:r>
      <w:r>
        <w:rPr/>
        <w:t>transform</w:t>
      </w:r>
      <w:r>
        <w:rPr>
          <w:spacing w:val="-15"/>
        </w:rPr>
        <w:t> </w:t>
      </w:r>
      <w:r>
        <w:rPr/>
        <w:t>infrared H</w:t>
      </w:r>
      <w:r>
        <w:rPr>
          <w:vertAlign w:val="subscript"/>
        </w:rPr>
        <w:t>2</w:t>
      </w:r>
      <w:r>
        <w:rPr>
          <w:vertAlign w:val="baseline"/>
        </w:rPr>
        <w:t>SO</w:t>
      </w:r>
      <w:r>
        <w:rPr>
          <w:vertAlign w:val="subscript"/>
        </w:rPr>
        <w:t>4</w:t>
      </w:r>
      <w:r>
        <w:rPr>
          <w:vertAlign w:val="baseline"/>
        </w:rPr>
        <w:t>Sulphuric acid</w:t>
      </w:r>
    </w:p>
    <w:p>
      <w:pPr>
        <w:pStyle w:val="BodyText"/>
        <w:tabs>
          <w:tab w:pos="2601" w:val="left" w:leader="none"/>
        </w:tabs>
        <w:spacing w:line="619" w:lineRule="auto"/>
        <w:ind w:left="1200" w:right="6034"/>
        <w:jc w:val="both"/>
      </w:pPr>
      <w:r>
        <w:rPr>
          <w:spacing w:val="-2"/>
        </w:rPr>
        <w:t>H</w:t>
      </w:r>
      <w:r>
        <w:rPr>
          <w:spacing w:val="-2"/>
          <w:vertAlign w:val="superscript"/>
        </w:rPr>
        <w:t>1</w:t>
      </w:r>
      <w:r>
        <w:rPr>
          <w:spacing w:val="-2"/>
          <w:vertAlign w:val="baseline"/>
        </w:rPr>
        <w:t>NMR</w:t>
      </w:r>
      <w:r>
        <w:rPr>
          <w:vertAlign w:val="baseline"/>
        </w:rPr>
        <w:tab/>
        <w:t>Proton</w:t>
      </w:r>
      <w:r>
        <w:rPr>
          <w:spacing w:val="-14"/>
          <w:vertAlign w:val="baseline"/>
        </w:rPr>
        <w:t> </w:t>
      </w:r>
      <w:r>
        <w:rPr>
          <w:vertAlign w:val="baseline"/>
        </w:rPr>
        <w:t>nuclear</w:t>
      </w:r>
      <w:r>
        <w:rPr>
          <w:spacing w:val="-14"/>
          <w:vertAlign w:val="baseline"/>
        </w:rPr>
        <w:t> </w:t>
      </w:r>
      <w:r>
        <w:rPr>
          <w:vertAlign w:val="baseline"/>
        </w:rPr>
        <w:t>magnetic</w:t>
      </w:r>
      <w:r>
        <w:rPr>
          <w:spacing w:val="-13"/>
          <w:vertAlign w:val="baseline"/>
        </w:rPr>
        <w:t> </w:t>
      </w:r>
      <w:r>
        <w:rPr>
          <w:vertAlign w:val="baseline"/>
        </w:rPr>
        <w:t>resonance HPLC</w:t>
      </w:r>
      <w:r>
        <w:rPr>
          <w:spacing w:val="40"/>
          <w:vertAlign w:val="baseline"/>
        </w:rPr>
        <w:t> </w:t>
      </w:r>
      <w:r>
        <w:rPr>
          <w:vertAlign w:val="baseline"/>
        </w:rPr>
        <w:t>High</w:t>
      </w:r>
      <w:r>
        <w:rPr>
          <w:spacing w:val="-1"/>
          <w:vertAlign w:val="baseline"/>
        </w:rPr>
        <w:t> </w:t>
      </w:r>
      <w:r>
        <w:rPr>
          <w:vertAlign w:val="baseline"/>
        </w:rPr>
        <w:t>performance</w:t>
      </w:r>
      <w:r>
        <w:rPr>
          <w:spacing w:val="-2"/>
          <w:vertAlign w:val="baseline"/>
        </w:rPr>
        <w:t> </w:t>
      </w:r>
      <w:r>
        <w:rPr>
          <w:vertAlign w:val="baseline"/>
        </w:rPr>
        <w:t>liquid chromatography HClHydrochloric acid</w:t>
      </w:r>
    </w:p>
    <w:p>
      <w:pPr>
        <w:pStyle w:val="BodyText"/>
        <w:spacing w:line="619" w:lineRule="auto"/>
        <w:ind w:left="1200" w:right="7151"/>
        <w:jc w:val="both"/>
      </w:pPr>
      <w:r>
        <w:rPr/>
        <w:t>HPC 4-hydroxyphenacylchloride HNQ</w:t>
      </w:r>
      <w:r>
        <w:rPr>
          <w:spacing w:val="50"/>
        </w:rPr>
        <w:t>  </w:t>
      </w:r>
      <w:r>
        <w:rPr/>
        <w:t>2-hydroxy-1,4-</w:t>
      </w:r>
      <w:r>
        <w:rPr>
          <w:spacing w:val="-2"/>
        </w:rPr>
        <w:t>napthoquinone</w:t>
      </w:r>
    </w:p>
    <w:p>
      <w:pPr>
        <w:spacing w:after="0" w:line="619" w:lineRule="auto"/>
        <w:jc w:val="both"/>
        <w:sectPr>
          <w:pgSz w:w="12240" w:h="15840"/>
          <w:pgMar w:header="0" w:footer="1015" w:top="1360" w:bottom="1200" w:left="240" w:right="0"/>
        </w:sectPr>
      </w:pPr>
    </w:p>
    <w:p>
      <w:pPr>
        <w:pStyle w:val="BodyText"/>
        <w:tabs>
          <w:tab w:pos="2575" w:val="left" w:leader="none"/>
        </w:tabs>
        <w:spacing w:line="619" w:lineRule="auto" w:before="72"/>
        <w:ind w:left="1200" w:right="3425"/>
      </w:pPr>
      <w:r>
        <w:rPr>
          <w:spacing w:val="-4"/>
        </w:rPr>
        <w:t>ICH</w:t>
      </w:r>
      <w:r>
        <w:rPr/>
        <w:tab/>
        <w:t>International</w:t>
      </w:r>
      <w:r>
        <w:rPr>
          <w:spacing w:val="-5"/>
        </w:rPr>
        <w:t> </w:t>
      </w:r>
      <w:r>
        <w:rPr/>
        <w:t>conference</w:t>
      </w:r>
      <w:r>
        <w:rPr>
          <w:spacing w:val="-8"/>
        </w:rPr>
        <w:t> </w:t>
      </w:r>
      <w:r>
        <w:rPr/>
        <w:t>on</w:t>
      </w:r>
      <w:r>
        <w:rPr>
          <w:spacing w:val="-7"/>
        </w:rPr>
        <w:t> </w:t>
      </w:r>
      <w:r>
        <w:rPr/>
        <w:t>harmonization</w:t>
      </w:r>
      <w:r>
        <w:rPr>
          <w:spacing w:val="-7"/>
        </w:rPr>
        <w:t> </w:t>
      </w:r>
      <w:r>
        <w:rPr/>
        <w:t>of</w:t>
      </w:r>
      <w:r>
        <w:rPr>
          <w:spacing w:val="-8"/>
        </w:rPr>
        <w:t> </w:t>
      </w:r>
      <w:r>
        <w:rPr/>
        <w:t>requirements</w:t>
      </w:r>
      <w:r>
        <w:rPr>
          <w:spacing w:val="-7"/>
        </w:rPr>
        <w:t> </w:t>
      </w:r>
      <w:r>
        <w:rPr/>
        <w:t>for registration of pharmaceuticals for human use</w:t>
      </w:r>
    </w:p>
    <w:p>
      <w:pPr>
        <w:pStyle w:val="BodyText"/>
        <w:tabs>
          <w:tab w:pos="2640" w:val="left" w:leader="none"/>
        </w:tabs>
        <w:spacing w:line="276" w:lineRule="exact"/>
        <w:ind w:left="1200"/>
      </w:pPr>
      <w:r>
        <w:rPr>
          <w:spacing w:val="-5"/>
        </w:rPr>
        <w:t>INH</w:t>
      </w:r>
      <w:r>
        <w:rPr/>
        <w:tab/>
      </w:r>
      <w:r>
        <w:rPr>
          <w:spacing w:val="-2"/>
        </w:rPr>
        <w:t>Isoniazid</w:t>
      </w:r>
    </w:p>
    <w:p>
      <w:pPr>
        <w:pStyle w:val="BodyText"/>
        <w:spacing w:before="160"/>
      </w:pPr>
    </w:p>
    <w:p>
      <w:pPr>
        <w:pStyle w:val="BodyText"/>
        <w:tabs>
          <w:tab w:pos="2345" w:val="left" w:leader="none"/>
        </w:tabs>
        <w:ind w:left="1200"/>
      </w:pPr>
      <w:r>
        <w:rPr>
          <w:spacing w:val="-4"/>
        </w:rPr>
        <w:t>KIO4</w:t>
      </w:r>
      <w:r>
        <w:rPr/>
        <w:tab/>
        <w:t>Potassium</w:t>
      </w:r>
      <w:r>
        <w:rPr>
          <w:spacing w:val="-2"/>
        </w:rPr>
        <w:t> </w:t>
      </w:r>
      <w:r>
        <w:rPr/>
        <w:t>meta</w:t>
      </w:r>
      <w:r>
        <w:rPr>
          <w:spacing w:val="-1"/>
        </w:rPr>
        <w:t> </w:t>
      </w:r>
      <w:r>
        <w:rPr/>
        <w:t>per</w:t>
      </w:r>
      <w:r>
        <w:rPr>
          <w:spacing w:val="-1"/>
        </w:rPr>
        <w:t> </w:t>
      </w:r>
      <w:r>
        <w:rPr>
          <w:spacing w:val="-2"/>
        </w:rPr>
        <w:t>iodide</w:t>
      </w:r>
    </w:p>
    <w:p>
      <w:pPr>
        <w:pStyle w:val="BodyText"/>
        <w:spacing w:before="161"/>
      </w:pPr>
    </w:p>
    <w:p>
      <w:pPr>
        <w:pStyle w:val="BodyText"/>
        <w:tabs>
          <w:tab w:pos="1961" w:val="left" w:leader="none"/>
          <w:tab w:pos="2451" w:val="left" w:leader="none"/>
          <w:tab w:pos="2625" w:val="left" w:leader="none"/>
        </w:tabs>
        <w:spacing w:line="619" w:lineRule="auto"/>
        <w:ind w:left="1200" w:right="6514"/>
      </w:pPr>
      <w:r>
        <w:rPr>
          <w:spacing w:val="-4"/>
        </w:rPr>
        <w:t>MPA</w:t>
      </w:r>
      <w:r>
        <w:rPr/>
        <w:tab/>
        <w:t>6-methyl-2-pyridine</w:t>
      </w:r>
      <w:r>
        <w:rPr>
          <w:spacing w:val="-15"/>
        </w:rPr>
        <w:t> </w:t>
      </w:r>
      <w:r>
        <w:rPr/>
        <w:t>carboxaldehyde </w:t>
      </w:r>
      <w:r>
        <w:rPr>
          <w:spacing w:val="-2"/>
        </w:rPr>
        <w:t>NaIO4</w:t>
      </w:r>
      <w:r>
        <w:rPr/>
        <w:tab/>
        <w:tab/>
        <w:t>Sodium meta per iodide</w:t>
      </w:r>
      <w:r>
        <w:rPr>
          <w:spacing w:val="40"/>
        </w:rPr>
        <w:t> </w:t>
      </w:r>
      <w:r>
        <w:rPr>
          <w:spacing w:val="-2"/>
        </w:rPr>
        <w:t>NaNO</w:t>
      </w:r>
      <w:r>
        <w:rPr>
          <w:spacing w:val="-2"/>
          <w:vertAlign w:val="subscript"/>
        </w:rPr>
        <w:t>2</w:t>
      </w:r>
      <w:r>
        <w:rPr>
          <w:vertAlign w:val="baseline"/>
        </w:rPr>
        <w:tab/>
        <w:tab/>
        <w:tab/>
        <w:t>Sodium nitrite</w:t>
      </w:r>
    </w:p>
    <w:p>
      <w:pPr>
        <w:pStyle w:val="BodyText"/>
        <w:spacing w:before="1"/>
        <w:ind w:left="1200"/>
      </w:pPr>
      <w:r>
        <w:rPr/>
        <w:t>NQS</w:t>
      </w:r>
      <w:r>
        <w:rPr>
          <w:spacing w:val="56"/>
        </w:rPr>
        <w:t> </w:t>
      </w:r>
      <w:r>
        <w:rPr/>
        <w:t>1,</w:t>
      </w:r>
      <w:r>
        <w:rPr>
          <w:spacing w:val="-1"/>
        </w:rPr>
        <w:t> </w:t>
      </w:r>
      <w:r>
        <w:rPr/>
        <w:t>2-naphthoquinone-4-</w:t>
      </w:r>
      <w:r>
        <w:rPr>
          <w:spacing w:val="-2"/>
        </w:rPr>
        <w:t>sulfonate</w:t>
      </w:r>
    </w:p>
    <w:p>
      <w:pPr>
        <w:pStyle w:val="BodyText"/>
        <w:spacing w:before="158"/>
      </w:pPr>
    </w:p>
    <w:p>
      <w:pPr>
        <w:pStyle w:val="BodyText"/>
        <w:tabs>
          <w:tab w:pos="2325" w:val="left" w:leader="none"/>
          <w:tab w:pos="2426" w:val="left" w:leader="none"/>
        </w:tabs>
        <w:spacing w:line="619" w:lineRule="auto"/>
        <w:ind w:left="1200" w:right="3667"/>
      </w:pPr>
      <w:r>
        <w:rPr>
          <w:spacing w:val="-2"/>
        </w:rPr>
        <w:t>NAFDAC</w:t>
      </w:r>
      <w:r>
        <w:rPr/>
        <w:tab/>
        <w:tab/>
        <w:t>National</w:t>
      </w:r>
      <w:r>
        <w:rPr>
          <w:spacing w:val="-5"/>
        </w:rPr>
        <w:t> </w:t>
      </w:r>
      <w:r>
        <w:rPr/>
        <w:t>agency</w:t>
      </w:r>
      <w:r>
        <w:rPr>
          <w:spacing w:val="-7"/>
        </w:rPr>
        <w:t> </w:t>
      </w:r>
      <w:r>
        <w:rPr/>
        <w:t>for</w:t>
      </w:r>
      <w:r>
        <w:rPr>
          <w:spacing w:val="-6"/>
        </w:rPr>
        <w:t> </w:t>
      </w:r>
      <w:r>
        <w:rPr/>
        <w:t>food</w:t>
      </w:r>
      <w:r>
        <w:rPr>
          <w:spacing w:val="-3"/>
        </w:rPr>
        <w:t> </w:t>
      </w:r>
      <w:r>
        <w:rPr/>
        <w:t>and</w:t>
      </w:r>
      <w:r>
        <w:rPr>
          <w:spacing w:val="-5"/>
        </w:rPr>
        <w:t> </w:t>
      </w:r>
      <w:r>
        <w:rPr/>
        <w:t>drug</w:t>
      </w:r>
      <w:r>
        <w:rPr>
          <w:spacing w:val="-7"/>
        </w:rPr>
        <w:t> </w:t>
      </w:r>
      <w:r>
        <w:rPr/>
        <w:t>administration</w:t>
      </w:r>
      <w:r>
        <w:rPr>
          <w:spacing w:val="-5"/>
        </w:rPr>
        <w:t> </w:t>
      </w:r>
      <w:r>
        <w:rPr/>
        <w:t>and</w:t>
      </w:r>
      <w:r>
        <w:rPr>
          <w:spacing w:val="-5"/>
        </w:rPr>
        <w:t> </w:t>
      </w:r>
      <w:r>
        <w:rPr/>
        <w:t>control </w:t>
      </w:r>
      <w:r>
        <w:rPr>
          <w:spacing w:val="-4"/>
        </w:rPr>
        <w:t>NBS</w:t>
      </w:r>
      <w:r>
        <w:rPr/>
        <w:tab/>
      </w:r>
      <w:r>
        <w:rPr>
          <w:spacing w:val="-2"/>
        </w:rPr>
        <w:t>N-bromosuccinate</w:t>
      </w:r>
    </w:p>
    <w:p>
      <w:pPr>
        <w:pStyle w:val="BodyText"/>
        <w:tabs>
          <w:tab w:pos="2508" w:val="left" w:leader="none"/>
        </w:tabs>
        <w:spacing w:line="276" w:lineRule="exact"/>
        <w:ind w:left="1200"/>
      </w:pPr>
      <w:r>
        <w:rPr>
          <w:spacing w:val="-2"/>
        </w:rPr>
        <w:t>P-toluidine</w:t>
      </w:r>
      <w:r>
        <w:rPr/>
        <w:tab/>
      </w:r>
      <w:r>
        <w:rPr>
          <w:spacing w:val="-2"/>
        </w:rPr>
        <w:t>paraaminotoluidine</w:t>
      </w:r>
    </w:p>
    <w:p>
      <w:pPr>
        <w:pStyle w:val="BodyText"/>
        <w:spacing w:before="161"/>
      </w:pPr>
    </w:p>
    <w:p>
      <w:pPr>
        <w:pStyle w:val="BodyText"/>
        <w:tabs>
          <w:tab w:pos="2513" w:val="left" w:leader="none"/>
        </w:tabs>
        <w:ind w:left="1200"/>
      </w:pPr>
      <w:r>
        <w:rPr>
          <w:spacing w:val="-5"/>
        </w:rPr>
        <w:t>%CV</w:t>
      </w:r>
      <w:r>
        <w:rPr/>
        <w:tab/>
        <w:t>Percentage</w:t>
      </w:r>
      <w:r>
        <w:rPr>
          <w:spacing w:val="-4"/>
        </w:rPr>
        <w:t> </w:t>
      </w:r>
      <w:r>
        <w:rPr/>
        <w:t>coefficient</w:t>
      </w:r>
      <w:r>
        <w:rPr>
          <w:spacing w:val="-2"/>
        </w:rPr>
        <w:t> </w:t>
      </w:r>
      <w:r>
        <w:rPr/>
        <w:t>of</w:t>
      </w:r>
      <w:r>
        <w:rPr>
          <w:spacing w:val="-3"/>
        </w:rPr>
        <w:t> </w:t>
      </w:r>
      <w:r>
        <w:rPr>
          <w:spacing w:val="-2"/>
        </w:rPr>
        <w:t>variation</w:t>
      </w:r>
    </w:p>
    <w:p>
      <w:pPr>
        <w:pStyle w:val="BodyText"/>
        <w:spacing w:before="161"/>
      </w:pPr>
    </w:p>
    <w:p>
      <w:pPr>
        <w:pStyle w:val="BodyText"/>
        <w:tabs>
          <w:tab w:pos="2585" w:val="left" w:leader="none"/>
        </w:tabs>
        <w:spacing w:line="616" w:lineRule="auto"/>
        <w:ind w:left="1200" w:right="6908"/>
      </w:pPr>
      <w:r>
        <w:rPr>
          <w:spacing w:val="-4"/>
        </w:rPr>
        <w:t>%Er</w:t>
      </w:r>
      <w:r>
        <w:rPr/>
        <w:tab/>
        <w:t>Percentage relative error </w:t>
      </w:r>
      <w:r>
        <w:rPr>
          <w:spacing w:val="-2"/>
        </w:rPr>
        <w:t>p-DABparadimethylaminobenzaldehyde</w:t>
      </w:r>
    </w:p>
    <w:p>
      <w:pPr>
        <w:pStyle w:val="BodyText"/>
        <w:tabs>
          <w:tab w:pos="2642" w:val="left" w:leader="none"/>
        </w:tabs>
        <w:spacing w:line="621" w:lineRule="auto" w:before="5"/>
        <w:ind w:left="1200" w:right="6311"/>
      </w:pPr>
      <w:r>
        <w:rPr/>
        <w:t>PDT</w:t>
      </w:r>
      <w:r>
        <w:rPr>
          <w:spacing w:val="23"/>
        </w:rPr>
        <w:t> </w:t>
      </w:r>
      <w:r>
        <w:rPr/>
        <w:t>3-(2-pyridyl)-5,6-diphenyl-1,2,4-triazine </w:t>
      </w:r>
      <w:r>
        <w:rPr>
          <w:spacing w:val="-6"/>
        </w:rPr>
        <w:t>R</w:t>
      </w:r>
      <w:r>
        <w:rPr>
          <w:spacing w:val="-6"/>
          <w:vertAlign w:val="superscript"/>
        </w:rPr>
        <w:t>2</w:t>
      </w:r>
      <w:r>
        <w:rPr>
          <w:vertAlign w:val="baseline"/>
        </w:rPr>
        <w:tab/>
        <w:t>Coefficient of determination</w:t>
      </w:r>
    </w:p>
    <w:p>
      <w:pPr>
        <w:pStyle w:val="BodyText"/>
        <w:tabs>
          <w:tab w:pos="2599" w:val="left" w:leader="none"/>
        </w:tabs>
        <w:spacing w:line="270" w:lineRule="exact"/>
        <w:ind w:left="1200"/>
      </w:pPr>
      <w:r>
        <w:rPr>
          <w:spacing w:val="-10"/>
        </w:rPr>
        <w:t>r</w:t>
      </w:r>
      <w:r>
        <w:rPr/>
        <w:tab/>
        <w:t>Coefficient</w:t>
      </w:r>
      <w:r>
        <w:rPr>
          <w:spacing w:val="-1"/>
        </w:rPr>
        <w:t> </w:t>
      </w:r>
      <w:r>
        <w:rPr/>
        <w:t>of</w:t>
      </w:r>
      <w:r>
        <w:rPr>
          <w:spacing w:val="-1"/>
        </w:rPr>
        <w:t> </w:t>
      </w:r>
      <w:r>
        <w:rPr>
          <w:spacing w:val="-2"/>
        </w:rPr>
        <w:t>corrilation</w:t>
      </w:r>
    </w:p>
    <w:p>
      <w:pPr>
        <w:pStyle w:val="BodyText"/>
        <w:spacing w:before="160"/>
      </w:pPr>
    </w:p>
    <w:p>
      <w:pPr>
        <w:pStyle w:val="BodyText"/>
        <w:tabs>
          <w:tab w:pos="2640" w:val="left" w:leader="none"/>
        </w:tabs>
        <w:spacing w:before="1"/>
        <w:ind w:left="1200"/>
      </w:pPr>
      <w:r>
        <w:rPr>
          <w:spacing w:val="-5"/>
        </w:rPr>
        <w:t>SD</w:t>
      </w:r>
      <w:r>
        <w:rPr/>
        <w:tab/>
        <w:t>Standard</w:t>
      </w:r>
      <w:r>
        <w:rPr>
          <w:spacing w:val="-2"/>
        </w:rPr>
        <w:t> deviation</w:t>
      </w:r>
    </w:p>
    <w:p>
      <w:pPr>
        <w:spacing w:after="0"/>
        <w:sectPr>
          <w:pgSz w:w="12240" w:h="15840"/>
          <w:pgMar w:header="0" w:footer="1015" w:top="1360" w:bottom="1200" w:left="240" w:right="0"/>
        </w:sectPr>
      </w:pPr>
    </w:p>
    <w:p>
      <w:pPr>
        <w:pStyle w:val="BodyText"/>
        <w:tabs>
          <w:tab w:pos="2585" w:val="left" w:leader="none"/>
        </w:tabs>
        <w:spacing w:before="72"/>
        <w:ind w:left="1200"/>
      </w:pPr>
      <w:r>
        <w:rPr>
          <w:spacing w:val="-5"/>
        </w:rPr>
        <w:t>TB</w:t>
      </w:r>
      <w:r>
        <w:rPr/>
        <w:tab/>
      </w:r>
      <w:r>
        <w:rPr>
          <w:spacing w:val="-2"/>
        </w:rPr>
        <w:t>Tuberculosis</w:t>
      </w:r>
    </w:p>
    <w:p>
      <w:pPr>
        <w:pStyle w:val="BodyText"/>
        <w:spacing w:before="161"/>
      </w:pPr>
    </w:p>
    <w:p>
      <w:pPr>
        <w:pStyle w:val="BodyText"/>
        <w:tabs>
          <w:tab w:pos="2515" w:val="left" w:leader="none"/>
        </w:tabs>
        <w:spacing w:line="616" w:lineRule="auto"/>
        <w:ind w:left="1200" w:right="5872"/>
      </w:pPr>
      <w:r>
        <w:rPr>
          <w:spacing w:val="-4"/>
        </w:rPr>
        <w:t>SPSS</w:t>
      </w:r>
      <w:r>
        <w:rPr/>
        <w:tab/>
        <w:t>Statistical</w:t>
      </w:r>
      <w:r>
        <w:rPr>
          <w:spacing w:val="-10"/>
        </w:rPr>
        <w:t> </w:t>
      </w:r>
      <w:r>
        <w:rPr/>
        <w:t>package</w:t>
      </w:r>
      <w:r>
        <w:rPr>
          <w:spacing w:val="-11"/>
        </w:rPr>
        <w:t> </w:t>
      </w:r>
      <w:r>
        <w:rPr/>
        <w:t>for</w:t>
      </w:r>
      <w:r>
        <w:rPr>
          <w:spacing w:val="-11"/>
        </w:rPr>
        <w:t> </w:t>
      </w:r>
      <w:r>
        <w:rPr/>
        <w:t>social</w:t>
      </w:r>
      <w:r>
        <w:rPr>
          <w:spacing w:val="-10"/>
        </w:rPr>
        <w:t> </w:t>
      </w:r>
      <w:r>
        <w:rPr/>
        <w:t>sciences TCNE</w:t>
      </w:r>
      <w:r>
        <w:rPr>
          <w:spacing w:val="80"/>
        </w:rPr>
        <w:t> </w:t>
      </w:r>
      <w:r>
        <w:rPr/>
        <w:t>Tetracyanoethelene</w:t>
      </w:r>
    </w:p>
    <w:p>
      <w:pPr>
        <w:pStyle w:val="BodyText"/>
        <w:spacing w:before="5"/>
        <w:ind w:left="1200"/>
      </w:pPr>
      <w:r>
        <w:rPr/>
        <w:t>ThBThymol</w:t>
      </w:r>
      <w:r>
        <w:rPr>
          <w:spacing w:val="-4"/>
        </w:rPr>
        <w:t> blue</w:t>
      </w:r>
    </w:p>
    <w:p>
      <w:pPr>
        <w:pStyle w:val="BodyText"/>
        <w:spacing w:before="160"/>
      </w:pPr>
    </w:p>
    <w:p>
      <w:pPr>
        <w:pStyle w:val="BodyText"/>
        <w:tabs>
          <w:tab w:pos="2613" w:val="left" w:leader="none"/>
        </w:tabs>
        <w:spacing w:line="619" w:lineRule="auto"/>
        <w:ind w:left="1200" w:right="6741"/>
      </w:pPr>
      <w:r>
        <w:rPr>
          <w:spacing w:val="-2"/>
        </w:rPr>
        <w:t>UV-Vis</w:t>
      </w:r>
      <w:r>
        <w:rPr/>
        <w:tab/>
      </w:r>
      <w:r>
        <w:rPr>
          <w:spacing w:val="-34"/>
        </w:rPr>
        <w:t> </w:t>
      </w:r>
      <w:r>
        <w:rPr/>
        <w:t>Ultraviolet/Visible λmaxWavelength</w:t>
      </w:r>
      <w:r>
        <w:rPr>
          <w:spacing w:val="-13"/>
        </w:rPr>
        <w:t> </w:t>
      </w:r>
      <w:r>
        <w:rPr/>
        <w:t>of</w:t>
      </w:r>
      <w:r>
        <w:rPr>
          <w:spacing w:val="-13"/>
        </w:rPr>
        <w:t> </w:t>
      </w:r>
      <w:r>
        <w:rPr/>
        <w:t>maximum</w:t>
      </w:r>
      <w:r>
        <w:rPr>
          <w:spacing w:val="-13"/>
        </w:rPr>
        <w:t> </w:t>
      </w:r>
      <w:r>
        <w:rPr/>
        <w:t>absorption </w:t>
      </w:r>
      <w:r>
        <w:rPr>
          <w:spacing w:val="-4"/>
        </w:rPr>
        <w:t>WHO</w:t>
      </w:r>
      <w:r>
        <w:rPr/>
        <w:tab/>
        <w:t>World health organization</w:t>
      </w:r>
    </w:p>
    <w:p>
      <w:pPr>
        <w:pStyle w:val="BodyText"/>
        <w:tabs>
          <w:tab w:pos="2013" w:val="left" w:leader="none"/>
          <w:tab w:pos="7939" w:val="left" w:leader="none"/>
        </w:tabs>
        <w:spacing w:before="1"/>
        <w:ind w:left="1200"/>
      </w:pPr>
      <w:r>
        <w:rPr>
          <w:spacing w:val="-5"/>
        </w:rPr>
        <w:t>2,</w:t>
      </w:r>
      <w:r>
        <w:rPr/>
        <w:tab/>
      </w:r>
      <w:r>
        <w:rPr>
          <w:spacing w:val="-2"/>
        </w:rPr>
        <w:t>4-</w:t>
      </w:r>
      <w:r>
        <w:rPr>
          <w:spacing w:val="-4"/>
        </w:rPr>
        <w:t>DNPH</w:t>
      </w:r>
      <w:r>
        <w:rPr/>
        <w:tab/>
        <w:t>2,4-</w:t>
      </w:r>
      <w:r>
        <w:rPr>
          <w:spacing w:val="-2"/>
        </w:rPr>
        <w:t>dinitrophenylhydrazine</w:t>
      </w:r>
    </w:p>
    <w:p>
      <w:pPr>
        <w:spacing w:after="0"/>
        <w:sectPr>
          <w:pgSz w:w="12240" w:h="15840"/>
          <w:pgMar w:header="0" w:footer="1015" w:top="1360" w:bottom="1200" w:left="240" w:right="0"/>
        </w:sectPr>
      </w:pPr>
    </w:p>
    <w:p>
      <w:pPr>
        <w:pStyle w:val="Heading2"/>
        <w:spacing w:before="78"/>
        <w:ind w:right="1495"/>
      </w:pPr>
      <w:r>
        <w:rPr/>
        <w:t>CHAPTER</w:t>
      </w:r>
      <w:r>
        <w:rPr>
          <w:spacing w:val="-4"/>
        </w:rPr>
        <w:t> </w:t>
      </w:r>
      <w:r>
        <w:rPr>
          <w:spacing w:val="-5"/>
        </w:rPr>
        <w:t>ONE</w:t>
      </w:r>
    </w:p>
    <w:p>
      <w:pPr>
        <w:pStyle w:val="BodyText"/>
        <w:spacing w:before="199"/>
        <w:rPr>
          <w:b/>
        </w:rPr>
      </w:pPr>
    </w:p>
    <w:p>
      <w:pPr>
        <w:pStyle w:val="ListParagraph"/>
        <w:numPr>
          <w:ilvl w:val="1"/>
          <w:numId w:val="6"/>
        </w:numPr>
        <w:tabs>
          <w:tab w:pos="5101" w:val="left" w:leader="none"/>
        </w:tabs>
        <w:spacing w:line="240" w:lineRule="auto" w:before="1" w:after="0"/>
        <w:ind w:left="5101" w:right="0" w:hanging="360"/>
        <w:jc w:val="left"/>
        <w:rPr>
          <w:b/>
          <w:sz w:val="24"/>
        </w:rPr>
      </w:pPr>
      <w:r>
        <w:rPr>
          <w:b/>
          <w:spacing w:val="-2"/>
          <w:sz w:val="24"/>
        </w:rPr>
        <w:t>INTRODUCTION</w:t>
      </w:r>
    </w:p>
    <w:p>
      <w:pPr>
        <w:pStyle w:val="BodyText"/>
        <w:spacing w:line="480" w:lineRule="auto" w:before="271"/>
        <w:ind w:left="1200" w:right="1437"/>
        <w:jc w:val="both"/>
      </w:pPr>
      <w:r>
        <w:rPr/>
        <w:t>Isoniazid (INH) also known as isonicotinyl hydrazide, is a synthetic derivative ofisonicotinic</w:t>
      </w:r>
      <w:r>
        <w:rPr>
          <w:spacing w:val="40"/>
        </w:rPr>
        <w:t> </w:t>
      </w:r>
      <w:r>
        <w:rPr/>
        <w:t>acid hydrazide, chemically knownaspyridine-4-carboxylic acid hydrazide (BP, 2009). It is first line drug in the treatment of pulmonary and extra pulmonary tuberculosis in combination with other anti-tubercular drugs such asrifampicin, ethambutol, pyrazinamide and streptomycinto avoid development ofresistance(WHO, 2010,Niraimathi </w:t>
      </w:r>
      <w:r>
        <w:rPr>
          <w:i/>
        </w:rPr>
        <w:t>et al</w:t>
      </w:r>
      <w:r>
        <w:rPr/>
        <w:t>., 2013).Isoniazid is a pro-drug and requires activation by the bacterial catalase-peroxidase enzyme (BP, 2009).</w:t>
      </w:r>
    </w:p>
    <w:p>
      <w:pPr>
        <w:pStyle w:val="BodyText"/>
        <w:spacing w:line="480" w:lineRule="auto" w:before="1"/>
        <w:ind w:left="1200" w:right="1436"/>
        <w:jc w:val="both"/>
      </w:pPr>
      <w:r>
        <w:rPr/>
        <w:t>HPLC is the most sensitive and selective means of determining isoniazid in its pure and tablet dosage form and methods have been reported (Khuhawr</w:t>
      </w:r>
      <w:r>
        <w:rPr>
          <w:i/>
        </w:rPr>
        <w:t>et al., </w:t>
      </w:r>
      <w:r>
        <w:rPr/>
        <w:t>2005;Milan-segovia</w:t>
      </w:r>
      <w:r>
        <w:rPr>
          <w:i/>
        </w:rPr>
        <w:t>et al., </w:t>
      </w:r>
      <w:r>
        <w:rPr/>
        <w:t>2007; Dhal and Sharma, 2009; Abdallah</w:t>
      </w:r>
      <w:r>
        <w:rPr>
          <w:i/>
        </w:rPr>
        <w:t>et al</w:t>
      </w:r>
      <w:r>
        <w:rPr/>
        <w:t>., 2016). However, the cost of procurement and the technical hands to operate the HPLC machine is a major challenge in most developing countries. On the other handUV/Vis spectrophotometry</w:t>
      </w:r>
      <w:r>
        <w:rPr>
          <w:spacing w:val="-1"/>
        </w:rPr>
        <w:t> </w:t>
      </w:r>
      <w:r>
        <w:rPr/>
        <w:t>is the most readily available instrument in research laboratories for quantitative determination of drugs in their pure and tablet dosage form. This could be due to its low cost, simplicity, relative accuracy and precision (Raza</w:t>
      </w:r>
      <w:r>
        <w:rPr>
          <w:i/>
        </w:rPr>
        <w:t>et al.,</w:t>
      </w:r>
      <w:r>
        <w:rPr/>
        <w:t>2003, 2005a, </w:t>
      </w:r>
      <w:r>
        <w:rPr>
          <w:spacing w:val="-2"/>
        </w:rPr>
        <w:t>2005b).</w:t>
      </w:r>
    </w:p>
    <w:p>
      <w:pPr>
        <w:pStyle w:val="BodyText"/>
        <w:spacing w:line="480" w:lineRule="auto" w:before="159"/>
        <w:ind w:left="1200" w:right="1433"/>
        <w:jc w:val="both"/>
      </w:pPr>
      <w:r>
        <w:rPr/>
        <w:t>Several UV/Vis spectrophotometric methods for</w:t>
      </w:r>
      <w:r>
        <w:rPr>
          <w:spacing w:val="-1"/>
        </w:rPr>
        <w:t> </w:t>
      </w:r>
      <w:r>
        <w:rPr/>
        <w:t>the</w:t>
      </w:r>
      <w:r>
        <w:rPr>
          <w:spacing w:val="-1"/>
        </w:rPr>
        <w:t> </w:t>
      </w:r>
      <w:r>
        <w:rPr/>
        <w:t>determination of isoniazid in pure and tablet dosage formhave also been reported. A few of these reports includeBabu</w:t>
      </w:r>
      <w:r>
        <w:rPr>
          <w:i/>
        </w:rPr>
        <w:t>et al., </w:t>
      </w:r>
      <w:r>
        <w:rPr/>
        <w:t>2002, Kamel, 2008,</w:t>
      </w:r>
      <w:r>
        <w:rPr>
          <w:spacing w:val="-3"/>
        </w:rPr>
        <w:t> </w:t>
      </w:r>
      <w:r>
        <w:rPr/>
        <w:t>Oga,</w:t>
      </w:r>
      <w:r>
        <w:rPr>
          <w:spacing w:val="-2"/>
        </w:rPr>
        <w:t> </w:t>
      </w:r>
      <w:r>
        <w:rPr/>
        <w:t>and</w:t>
      </w:r>
      <w:r>
        <w:rPr>
          <w:spacing w:val="-2"/>
        </w:rPr>
        <w:t> </w:t>
      </w:r>
      <w:r>
        <w:rPr/>
        <w:t>2010;</w:t>
      </w:r>
      <w:r>
        <w:rPr>
          <w:spacing w:val="-2"/>
        </w:rPr>
        <w:t> </w:t>
      </w:r>
      <w:r>
        <w:rPr/>
        <w:t>Arifa</w:t>
      </w:r>
      <w:r>
        <w:rPr>
          <w:i/>
        </w:rPr>
        <w:t>et</w:t>
      </w:r>
      <w:r>
        <w:rPr>
          <w:i/>
          <w:spacing w:val="-2"/>
        </w:rPr>
        <w:t> </w:t>
      </w:r>
      <w:r>
        <w:rPr>
          <w:i/>
        </w:rPr>
        <w:t>al.,</w:t>
      </w:r>
      <w:r>
        <w:rPr>
          <w:i/>
          <w:spacing w:val="-2"/>
        </w:rPr>
        <w:t> </w:t>
      </w:r>
      <w:r>
        <w:rPr/>
        <w:t>2013</w:t>
      </w:r>
      <w:r>
        <w:rPr>
          <w:spacing w:val="-2"/>
        </w:rPr>
        <w:t> </w:t>
      </w:r>
      <w:r>
        <w:rPr/>
        <w:t>among</w:t>
      </w:r>
      <w:r>
        <w:rPr>
          <w:spacing w:val="-5"/>
        </w:rPr>
        <w:t> </w:t>
      </w:r>
      <w:r>
        <w:rPr/>
        <w:t>others.</w:t>
      </w:r>
      <w:r>
        <w:rPr>
          <w:spacing w:val="-2"/>
        </w:rPr>
        <w:t> </w:t>
      </w:r>
      <w:r>
        <w:rPr/>
        <w:t>However,</w:t>
      </w:r>
      <w:r>
        <w:rPr>
          <w:spacing w:val="-2"/>
        </w:rPr>
        <w:t> </w:t>
      </w:r>
      <w:r>
        <w:rPr/>
        <w:t>most</w:t>
      </w:r>
      <w:r>
        <w:rPr>
          <w:spacing w:val="-2"/>
        </w:rPr>
        <w:t> </w:t>
      </w:r>
      <w:r>
        <w:rPr/>
        <w:t>of</w:t>
      </w:r>
      <w:r>
        <w:rPr>
          <w:spacing w:val="-3"/>
        </w:rPr>
        <w:t> </w:t>
      </w:r>
      <w:r>
        <w:rPr/>
        <w:t>these</w:t>
      </w:r>
      <w:r>
        <w:rPr>
          <w:spacing w:val="-3"/>
        </w:rPr>
        <w:t> </w:t>
      </w:r>
      <w:r>
        <w:rPr/>
        <w:t>methodssuffers</w:t>
      </w:r>
      <w:r>
        <w:rPr>
          <w:spacing w:val="-3"/>
        </w:rPr>
        <w:t> </w:t>
      </w:r>
      <w:r>
        <w:rPr/>
        <w:t>the disadvantage such as; the use of expensive chemicals which are not readily available[Rind</w:t>
      </w:r>
      <w:r>
        <w:rPr>
          <w:i/>
        </w:rPr>
        <w:t>et al., </w:t>
      </w:r>
      <w:r>
        <w:rPr/>
        <w:t>2005;(</w:t>
      </w:r>
      <w:r>
        <w:rPr>
          <w:i/>
        </w:rPr>
        <w:t>HNQ</w:t>
      </w:r>
      <w:r>
        <w:rPr/>
        <w:t>),Manal</w:t>
      </w:r>
      <w:r>
        <w:rPr>
          <w:i/>
        </w:rPr>
        <w:t>et al., </w:t>
      </w:r>
      <w:r>
        <w:rPr/>
        <w:t>2008;</w:t>
      </w:r>
      <w:r>
        <w:rPr>
          <w:i/>
        </w:rPr>
        <w:t>(BCG, ThB, BPB, DDQ).</w:t>
      </w:r>
      <w:r>
        <w:rPr/>
        <w:t>Niraimathi</w:t>
      </w:r>
      <w:r>
        <w:rPr>
          <w:i/>
        </w:rPr>
        <w:t>etal., </w:t>
      </w:r>
      <w:r>
        <w:rPr/>
        <w:t>2014;(p-DAB). ,</w:t>
      </w:r>
      <w:r>
        <w:rPr>
          <w:spacing w:val="40"/>
        </w:rPr>
        <w:t> </w:t>
      </w:r>
      <w:r>
        <w:rPr/>
        <w:t>heating</w:t>
      </w:r>
      <w:r>
        <w:rPr>
          <w:spacing w:val="-1"/>
        </w:rPr>
        <w:t> </w:t>
      </w:r>
      <w:r>
        <w:rPr/>
        <w:t>and</w:t>
      </w:r>
      <w:r>
        <w:rPr>
          <w:spacing w:val="3"/>
        </w:rPr>
        <w:t> </w:t>
      </w:r>
      <w:r>
        <w:rPr/>
        <w:t>cooling</w:t>
      </w:r>
      <w:r>
        <w:rPr>
          <w:spacing w:val="1"/>
        </w:rPr>
        <w:t> </w:t>
      </w:r>
      <w:r>
        <w:rPr/>
        <w:t>for</w:t>
      </w:r>
      <w:r>
        <w:rPr>
          <w:spacing w:val="-1"/>
        </w:rPr>
        <w:t> </w:t>
      </w:r>
      <w:r>
        <w:rPr/>
        <w:t>long</w:t>
      </w:r>
      <w:r>
        <w:rPr>
          <w:spacing w:val="-2"/>
        </w:rPr>
        <w:t> </w:t>
      </w:r>
      <w:r>
        <w:rPr/>
        <w:t>time(Devani</w:t>
      </w:r>
      <w:r>
        <w:rPr>
          <w:i/>
        </w:rPr>
        <w:t>et</w:t>
      </w:r>
      <w:r>
        <w:rPr>
          <w:i/>
          <w:spacing w:val="1"/>
        </w:rPr>
        <w:t> </w:t>
      </w:r>
      <w:r>
        <w:rPr>
          <w:i/>
        </w:rPr>
        <w:t>al.,</w:t>
      </w:r>
      <w:r>
        <w:rPr>
          <w:i/>
          <w:spacing w:val="2"/>
        </w:rPr>
        <w:t> </w:t>
      </w:r>
      <w:r>
        <w:rPr/>
        <w:t>1985;</w:t>
      </w:r>
      <w:r>
        <w:rPr>
          <w:spacing w:val="4"/>
        </w:rPr>
        <w:t> </w:t>
      </w:r>
      <w:r>
        <w:rPr/>
        <w:t>Issopoulos</w:t>
      </w:r>
      <w:r>
        <w:rPr>
          <w:i/>
        </w:rPr>
        <w:t>et</w:t>
      </w:r>
      <w:r>
        <w:rPr>
          <w:i/>
          <w:spacing w:val="1"/>
        </w:rPr>
        <w:t> </w:t>
      </w:r>
      <w:r>
        <w:rPr>
          <w:i/>
        </w:rPr>
        <w:t>al.,</w:t>
      </w:r>
      <w:r>
        <w:rPr>
          <w:i/>
          <w:spacing w:val="2"/>
        </w:rPr>
        <w:t> </w:t>
      </w:r>
      <w:r>
        <w:rPr/>
        <w:t>1991),indirect</w:t>
      </w:r>
      <w:r>
        <w:rPr>
          <w:spacing w:val="1"/>
        </w:rPr>
        <w:t> </w:t>
      </w:r>
      <w:r>
        <w:rPr/>
        <w:t>and</w:t>
      </w:r>
      <w:r>
        <w:rPr>
          <w:spacing w:val="4"/>
        </w:rPr>
        <w:t> </w:t>
      </w:r>
      <w:r>
        <w:rPr>
          <w:spacing w:val="-2"/>
        </w:rPr>
        <w:t>tedious</w:t>
      </w:r>
    </w:p>
    <w:p>
      <w:pPr>
        <w:spacing w:after="0" w:line="480" w:lineRule="auto"/>
        <w:jc w:val="both"/>
        <w:sectPr>
          <w:footerReference w:type="default" r:id="rId6"/>
          <w:pgSz w:w="12240" w:h="15840"/>
          <w:pgMar w:header="0" w:footer="1015" w:top="1440" w:bottom="1200" w:left="240" w:right="0"/>
          <w:pgNumType w:start="1"/>
        </w:sectPr>
      </w:pPr>
    </w:p>
    <w:p>
      <w:pPr>
        <w:pStyle w:val="BodyText"/>
        <w:spacing w:line="480" w:lineRule="auto" w:before="72"/>
        <w:ind w:left="1200" w:right="1437"/>
        <w:jc w:val="both"/>
      </w:pPr>
      <w:r>
        <w:rPr/>
        <w:t>procedure involving many steps and intermediates (Manal</w:t>
      </w:r>
      <w:r>
        <w:rPr>
          <w:i/>
        </w:rPr>
        <w:t>et al.,</w:t>
      </w:r>
      <w:r>
        <w:rPr/>
        <w:t>2008; Mohammed </w:t>
      </w:r>
      <w:r>
        <w:rPr>
          <w:i/>
        </w:rPr>
        <w:t>et al.,</w:t>
      </w:r>
      <w:r>
        <w:rPr/>
        <w:t>2015), low sensitivity</w:t>
      </w:r>
      <w:r>
        <w:rPr>
          <w:spacing w:val="-5"/>
        </w:rPr>
        <w:t> </w:t>
      </w:r>
      <w:r>
        <w:rPr/>
        <w:t>(high values of LOD and LOQ) and requiring extraction(Niraimathi</w:t>
      </w:r>
      <w:r>
        <w:rPr>
          <w:i/>
        </w:rPr>
        <w:t>et al., </w:t>
      </w:r>
      <w:r>
        <w:rPr/>
        <w:t>2014)].</w:t>
      </w:r>
    </w:p>
    <w:p>
      <w:pPr>
        <w:pStyle w:val="BodyText"/>
        <w:spacing w:line="480" w:lineRule="auto" w:before="161"/>
        <w:ind w:left="1200" w:right="1435"/>
        <w:jc w:val="both"/>
      </w:pPr>
      <w:r>
        <w:rPr/>
        <w:t>The process of identifying drugs and other materials by UV-Visible spectroscopy through their color was probably one of the earliest molecular absorption spectrophotometry for quantitative determination of drugs (Marczenko, 2000). The first measurements were made using eye as the detector and undispersed sunlight or artificial light as the light source, later it was found that the accuracy and the precision could be improved by isolating specific frequencies of light using optical filters. Further improvement of the measurement came with the use of prism and grating monochromators for wavelength isolation. Photoelectric detectors were developed, but quickly replaced with phototubes and photomultiplier tubes. The development of solid state microelectronics has now</w:t>
      </w:r>
      <w:r>
        <w:rPr>
          <w:spacing w:val="-1"/>
        </w:rPr>
        <w:t> </w:t>
      </w:r>
      <w:r>
        <w:rPr/>
        <w:t>made</w:t>
      </w:r>
      <w:r>
        <w:rPr>
          <w:spacing w:val="-2"/>
        </w:rPr>
        <w:t> </w:t>
      </w:r>
      <w:r>
        <w:rPr/>
        <w:t>available</w:t>
      </w:r>
      <w:r>
        <w:rPr>
          <w:spacing w:val="-1"/>
        </w:rPr>
        <w:t> </w:t>
      </w:r>
      <w:r>
        <w:rPr/>
        <w:t>a</w:t>
      </w:r>
      <w:r>
        <w:rPr>
          <w:spacing w:val="-1"/>
        </w:rPr>
        <w:t> </w:t>
      </w:r>
      <w:r>
        <w:rPr/>
        <w:t>wide range of</w:t>
      </w:r>
      <w:r>
        <w:rPr>
          <w:spacing w:val="-1"/>
        </w:rPr>
        <w:t> </w:t>
      </w:r>
      <w:r>
        <w:rPr/>
        <w:t>detector type</w:t>
      </w:r>
      <w:r>
        <w:rPr>
          <w:spacing w:val="-1"/>
        </w:rPr>
        <w:t> </w:t>
      </w:r>
      <w:r>
        <w:rPr/>
        <w:t>which</w:t>
      </w:r>
      <w:r>
        <w:rPr>
          <w:spacing w:val="-1"/>
        </w:rPr>
        <w:t> </w:t>
      </w:r>
      <w:r>
        <w:rPr/>
        <w:t>if</w:t>
      </w:r>
      <w:r>
        <w:rPr>
          <w:spacing w:val="-1"/>
        </w:rPr>
        <w:t> </w:t>
      </w:r>
      <w:r>
        <w:rPr/>
        <w:t>coupled</w:t>
      </w:r>
      <w:r>
        <w:rPr>
          <w:spacing w:val="-1"/>
        </w:rPr>
        <w:t> </w:t>
      </w:r>
      <w:r>
        <w:rPr/>
        <w:t>with the computers; provide highly sophisticated readout electronic systems which subsequently leads to development of UV/Vis spectrophotometry</w:t>
      </w:r>
      <w:r>
        <w:rPr>
          <w:spacing w:val="40"/>
        </w:rPr>
        <w:t> </w:t>
      </w:r>
      <w:r>
        <w:rPr/>
        <w:t>(Marczenko,2000).</w:t>
      </w:r>
    </w:p>
    <w:p>
      <w:pPr>
        <w:pStyle w:val="BodyText"/>
        <w:spacing w:line="480" w:lineRule="auto" w:before="160"/>
        <w:ind w:left="1200" w:right="1431"/>
      </w:pPr>
      <w:r>
        <w:rPr/>
        <w:t>The</w:t>
      </w:r>
      <w:r>
        <w:rPr>
          <w:spacing w:val="-4"/>
        </w:rPr>
        <w:t> </w:t>
      </w:r>
      <w:r>
        <w:rPr/>
        <w:t>presence</w:t>
      </w:r>
      <w:r>
        <w:rPr>
          <w:spacing w:val="-3"/>
        </w:rPr>
        <w:t> </w:t>
      </w:r>
      <w:r>
        <w:rPr/>
        <w:t>of</w:t>
      </w:r>
      <w:r>
        <w:rPr>
          <w:spacing w:val="-1"/>
        </w:rPr>
        <w:t> </w:t>
      </w:r>
      <w:r>
        <w:rPr/>
        <w:t>free</w:t>
      </w:r>
      <w:r>
        <w:rPr>
          <w:spacing w:val="-2"/>
        </w:rPr>
        <w:t> </w:t>
      </w:r>
      <w:r>
        <w:rPr/>
        <w:t>—NH</w:t>
      </w:r>
      <w:r>
        <w:rPr>
          <w:vertAlign w:val="subscript"/>
        </w:rPr>
        <w:t>2</w:t>
      </w:r>
      <w:r>
        <w:rPr>
          <w:spacing w:val="-1"/>
          <w:vertAlign w:val="baseline"/>
        </w:rPr>
        <w:t> </w:t>
      </w:r>
      <w:r>
        <w:rPr>
          <w:vertAlign w:val="baseline"/>
        </w:rPr>
        <w:t>and</w:t>
      </w:r>
      <w:r>
        <w:rPr>
          <w:spacing w:val="-2"/>
          <w:vertAlign w:val="baseline"/>
        </w:rPr>
        <w:t> </w:t>
      </w:r>
      <w:r>
        <w:rPr>
          <w:vertAlign w:val="baseline"/>
        </w:rPr>
        <w:t>-C=O groups</w:t>
      </w:r>
      <w:r>
        <w:rPr>
          <w:spacing w:val="-2"/>
          <w:vertAlign w:val="baseline"/>
        </w:rPr>
        <w:t> </w:t>
      </w:r>
      <w:r>
        <w:rPr>
          <w:vertAlign w:val="baseline"/>
        </w:rPr>
        <w:t>in</w:t>
      </w:r>
      <w:r>
        <w:rPr>
          <w:spacing w:val="-2"/>
          <w:vertAlign w:val="baseline"/>
        </w:rPr>
        <w:t> </w:t>
      </w:r>
      <w:r>
        <w:rPr>
          <w:vertAlign w:val="baseline"/>
        </w:rPr>
        <w:t>isoniazid</w:t>
      </w:r>
      <w:r>
        <w:rPr>
          <w:spacing w:val="-1"/>
          <w:vertAlign w:val="baseline"/>
        </w:rPr>
        <w:t> </w:t>
      </w:r>
      <w:r>
        <w:rPr>
          <w:vertAlign w:val="baseline"/>
        </w:rPr>
        <w:t>can</w:t>
      </w:r>
      <w:r>
        <w:rPr>
          <w:spacing w:val="-2"/>
          <w:vertAlign w:val="baseline"/>
        </w:rPr>
        <w:t> </w:t>
      </w:r>
      <w:r>
        <w:rPr>
          <w:vertAlign w:val="baseline"/>
        </w:rPr>
        <w:t>serve</w:t>
      </w:r>
      <w:r>
        <w:rPr>
          <w:spacing w:val="-1"/>
          <w:vertAlign w:val="baseline"/>
        </w:rPr>
        <w:t> </w:t>
      </w:r>
      <w:r>
        <w:rPr>
          <w:vertAlign w:val="baseline"/>
        </w:rPr>
        <w:t>as</w:t>
      </w:r>
      <w:r>
        <w:rPr>
          <w:spacing w:val="-2"/>
          <w:vertAlign w:val="baseline"/>
        </w:rPr>
        <w:t> </w:t>
      </w:r>
      <w:r>
        <w:rPr>
          <w:vertAlign w:val="baseline"/>
        </w:rPr>
        <w:t>suitable</w:t>
      </w:r>
      <w:r>
        <w:rPr>
          <w:spacing w:val="-2"/>
          <w:vertAlign w:val="baseline"/>
        </w:rPr>
        <w:t> </w:t>
      </w:r>
      <w:r>
        <w:rPr>
          <w:vertAlign w:val="baseline"/>
        </w:rPr>
        <w:t>sites</w:t>
      </w:r>
      <w:r>
        <w:rPr>
          <w:spacing w:val="-2"/>
          <w:vertAlign w:val="baseline"/>
        </w:rPr>
        <w:t> </w:t>
      </w:r>
      <w:r>
        <w:rPr>
          <w:vertAlign w:val="baseline"/>
        </w:rPr>
        <w:t>for</w:t>
      </w:r>
      <w:r>
        <w:rPr>
          <w:spacing w:val="-2"/>
          <w:vertAlign w:val="baseline"/>
        </w:rPr>
        <w:t> </w:t>
      </w:r>
      <w:r>
        <w:rPr>
          <w:vertAlign w:val="baseline"/>
        </w:rPr>
        <w:t>coupling with suitable reagents to form Schiff bases or diazo dye. The colour intensity</w:t>
      </w:r>
      <w:r>
        <w:rPr>
          <w:spacing w:val="-1"/>
          <w:vertAlign w:val="baseline"/>
        </w:rPr>
        <w:t> </w:t>
      </w:r>
      <w:r>
        <w:rPr>
          <w:vertAlign w:val="baseline"/>
        </w:rPr>
        <w:t>of these compound scan serve as a means for determination of the drug concentration spectrophotometrically.</w:t>
      </w:r>
    </w:p>
    <w:p>
      <w:pPr>
        <w:pStyle w:val="Heading3"/>
        <w:numPr>
          <w:ilvl w:val="1"/>
          <w:numId w:val="6"/>
        </w:numPr>
        <w:tabs>
          <w:tab w:pos="4743" w:val="left" w:leader="none"/>
        </w:tabs>
        <w:spacing w:line="240" w:lineRule="auto" w:before="166" w:after="0"/>
        <w:ind w:left="4743" w:right="0" w:hanging="300"/>
        <w:jc w:val="left"/>
      </w:pPr>
      <w:bookmarkStart w:name="_TOC_250027" w:id="7"/>
      <w:r>
        <w:rPr/>
        <w:t>Theoretical</w:t>
      </w:r>
      <w:r>
        <w:rPr>
          <w:spacing w:val="-5"/>
        </w:rPr>
        <w:t> </w:t>
      </w:r>
      <w:r>
        <w:rPr/>
        <w:t>Frame</w:t>
      </w:r>
      <w:r>
        <w:rPr>
          <w:spacing w:val="-2"/>
        </w:rPr>
        <w:t> </w:t>
      </w:r>
      <w:bookmarkEnd w:id="7"/>
      <w:r>
        <w:rPr>
          <w:spacing w:val="-4"/>
        </w:rPr>
        <w:t>Work</w:t>
      </w:r>
    </w:p>
    <w:p>
      <w:pPr>
        <w:pStyle w:val="BodyText"/>
        <w:spacing w:before="235"/>
        <w:rPr>
          <w:b/>
        </w:rPr>
      </w:pPr>
    </w:p>
    <w:p>
      <w:pPr>
        <w:pStyle w:val="BodyText"/>
        <w:spacing w:line="480" w:lineRule="auto"/>
        <w:ind w:left="1200" w:right="1433"/>
        <w:jc w:val="both"/>
      </w:pPr>
      <w:r>
        <w:rPr/>
        <w:t>The mechanism of UV-Vis spectrophotometryis based on absorption of light within UV and visible region and is considered as one of the importanttechnique for quantitative analysis of drugs in their pure and tablet dosage form. Visible light represents a very small part of the electromagnetic spectrum and is generally considered to extend from 400-750 nm. When a solution</w:t>
      </w:r>
      <w:r>
        <w:rPr>
          <w:spacing w:val="47"/>
        </w:rPr>
        <w:t> </w:t>
      </w:r>
      <w:r>
        <w:rPr/>
        <w:t>or</w:t>
      </w:r>
      <w:r>
        <w:rPr>
          <w:spacing w:val="49"/>
        </w:rPr>
        <w:t> </w:t>
      </w:r>
      <w:r>
        <w:rPr/>
        <w:t>object</w:t>
      </w:r>
      <w:r>
        <w:rPr>
          <w:spacing w:val="50"/>
        </w:rPr>
        <w:t> </w:t>
      </w:r>
      <w:r>
        <w:rPr/>
        <w:t>transmits</w:t>
      </w:r>
      <w:r>
        <w:rPr>
          <w:spacing w:val="52"/>
        </w:rPr>
        <w:t> </w:t>
      </w:r>
      <w:r>
        <w:rPr/>
        <w:t>or</w:t>
      </w:r>
      <w:r>
        <w:rPr>
          <w:spacing w:val="49"/>
        </w:rPr>
        <w:t> </w:t>
      </w:r>
      <w:r>
        <w:rPr/>
        <w:t>absorbs</w:t>
      </w:r>
      <w:r>
        <w:rPr>
          <w:spacing w:val="49"/>
        </w:rPr>
        <w:t> </w:t>
      </w:r>
      <w:r>
        <w:rPr/>
        <w:t>only</w:t>
      </w:r>
      <w:r>
        <w:rPr>
          <w:spacing w:val="42"/>
        </w:rPr>
        <w:t> </w:t>
      </w:r>
      <w:r>
        <w:rPr/>
        <w:t>part</w:t>
      </w:r>
      <w:r>
        <w:rPr>
          <w:spacing w:val="48"/>
        </w:rPr>
        <w:t> </w:t>
      </w:r>
      <w:r>
        <w:rPr/>
        <w:t>of</w:t>
      </w:r>
      <w:r>
        <w:rPr>
          <w:spacing w:val="49"/>
        </w:rPr>
        <w:t> </w:t>
      </w:r>
      <w:r>
        <w:rPr/>
        <w:t>the</w:t>
      </w:r>
      <w:r>
        <w:rPr>
          <w:spacing w:val="49"/>
        </w:rPr>
        <w:t> </w:t>
      </w:r>
      <w:r>
        <w:rPr/>
        <w:t>radiation</w:t>
      </w:r>
      <w:r>
        <w:rPr>
          <w:spacing w:val="50"/>
        </w:rPr>
        <w:t> </w:t>
      </w:r>
      <w:r>
        <w:rPr/>
        <w:t>in</w:t>
      </w:r>
      <w:r>
        <w:rPr>
          <w:spacing w:val="49"/>
        </w:rPr>
        <w:t> </w:t>
      </w:r>
      <w:r>
        <w:rPr/>
        <w:t>the</w:t>
      </w:r>
      <w:r>
        <w:rPr>
          <w:spacing w:val="49"/>
        </w:rPr>
        <w:t> </w:t>
      </w:r>
      <w:r>
        <w:rPr/>
        <w:t>visible</w:t>
      </w:r>
      <w:r>
        <w:rPr>
          <w:spacing w:val="49"/>
        </w:rPr>
        <w:t> </w:t>
      </w:r>
      <w:r>
        <w:rPr/>
        <w:t>spectrum,</w:t>
      </w:r>
      <w:r>
        <w:rPr>
          <w:spacing w:val="50"/>
        </w:rPr>
        <w:t> </w:t>
      </w:r>
      <w:r>
        <w:rPr>
          <w:spacing w:val="-5"/>
        </w:rPr>
        <w:t>it</w:t>
      </w:r>
    </w:p>
    <w:p>
      <w:pPr>
        <w:spacing w:after="0" w:line="480" w:lineRule="auto"/>
        <w:jc w:val="both"/>
        <w:sectPr>
          <w:pgSz w:w="12240" w:h="15840"/>
          <w:pgMar w:header="0" w:footer="1015" w:top="1360" w:bottom="1200" w:left="240" w:right="0"/>
        </w:sectPr>
      </w:pPr>
    </w:p>
    <w:p>
      <w:pPr>
        <w:pStyle w:val="BodyText"/>
        <w:spacing w:line="480" w:lineRule="auto" w:before="72"/>
        <w:ind w:left="1200" w:right="1435"/>
        <w:jc w:val="both"/>
      </w:pPr>
      <w:r>
        <w:rPr/>
        <w:t>appears colored. There is a close relation between the color of a substance and its electronic structure. A molecule exhibits absorption in the visible or ultraviolet range, when radiation</w:t>
      </w:r>
      <w:r>
        <w:rPr>
          <w:spacing w:val="40"/>
        </w:rPr>
        <w:t> </w:t>
      </w:r>
      <w:r>
        <w:rPr/>
        <w:t>causes</w:t>
      </w:r>
      <w:r>
        <w:rPr>
          <w:spacing w:val="-1"/>
        </w:rPr>
        <w:t> </w:t>
      </w:r>
      <w:r>
        <w:rPr/>
        <w:t>an</w:t>
      </w:r>
      <w:r>
        <w:rPr>
          <w:spacing w:val="-1"/>
        </w:rPr>
        <w:t> </w:t>
      </w:r>
      <w:r>
        <w:rPr/>
        <w:t>electronic</w:t>
      </w:r>
      <w:r>
        <w:rPr>
          <w:spacing w:val="-1"/>
        </w:rPr>
        <w:t> </w:t>
      </w:r>
      <w:r>
        <w:rPr/>
        <w:t>transition,</w:t>
      </w:r>
      <w:r>
        <w:rPr>
          <w:spacing w:val="-1"/>
        </w:rPr>
        <w:t> </w:t>
      </w:r>
      <w:r>
        <w:rPr/>
        <w:t>raising</w:t>
      </w:r>
      <w:r>
        <w:rPr>
          <w:spacing w:val="-3"/>
        </w:rPr>
        <w:t> </w:t>
      </w:r>
      <w:r>
        <w:rPr/>
        <w:t>the</w:t>
      </w:r>
      <w:r>
        <w:rPr>
          <w:spacing w:val="-1"/>
        </w:rPr>
        <w:t> </w:t>
      </w:r>
      <w:r>
        <w:rPr/>
        <w:t>molecule</w:t>
      </w:r>
      <w:r>
        <w:rPr>
          <w:spacing w:val="-1"/>
        </w:rPr>
        <w:t> </w:t>
      </w:r>
      <w:r>
        <w:rPr/>
        <w:t>(ion)</w:t>
      </w:r>
      <w:r>
        <w:rPr>
          <w:spacing w:val="-1"/>
        </w:rPr>
        <w:t> </w:t>
      </w:r>
      <w:r>
        <w:rPr/>
        <w:t>from</w:t>
      </w:r>
      <w:r>
        <w:rPr>
          <w:spacing w:val="-1"/>
        </w:rPr>
        <w:t> </w:t>
      </w:r>
      <w:r>
        <w:rPr/>
        <w:t>the</w:t>
      </w:r>
      <w:r>
        <w:rPr>
          <w:spacing w:val="-1"/>
        </w:rPr>
        <w:t> </w:t>
      </w:r>
      <w:r>
        <w:rPr/>
        <w:t>ground</w:t>
      </w:r>
      <w:r>
        <w:rPr>
          <w:spacing w:val="-1"/>
        </w:rPr>
        <w:t> </w:t>
      </w:r>
      <w:r>
        <w:rPr/>
        <w:t>state</w:t>
      </w:r>
      <w:r>
        <w:rPr>
          <w:spacing w:val="-1"/>
        </w:rPr>
        <w:t> </w:t>
      </w:r>
      <w:r>
        <w:rPr/>
        <w:t>to</w:t>
      </w:r>
      <w:r>
        <w:rPr>
          <w:spacing w:val="-1"/>
        </w:rPr>
        <w:t> </w:t>
      </w:r>
      <w:r>
        <w:rPr/>
        <w:t>an</w:t>
      </w:r>
      <w:r>
        <w:rPr>
          <w:spacing w:val="-1"/>
        </w:rPr>
        <w:t> </w:t>
      </w:r>
      <w:r>
        <w:rPr/>
        <w:t>exited</w:t>
      </w:r>
      <w:r>
        <w:rPr>
          <w:spacing w:val="-1"/>
        </w:rPr>
        <w:t> </w:t>
      </w:r>
      <w:r>
        <w:rPr/>
        <w:t>state. The production or change of a color is connected with deformation of the normal electronic structure of the molecule. Irradiation causes variations in the electronic energy of the molecules containing one or more chromophoric groups like atomic groups with unsaturated linkages. Two or more chromophoric groups in a molecule often enhance one another’s effect, to deepen the color by displacing the maximum absorption (λmax) towards longer wavelengths (from the ultraviolet towards the visible). This is called bathochromic shift. The displacement of the absorption maximum from the visible towards the ultraviolet is known as a hypsochromic shift (Blaedel and Meloche, 2001). The color of a molecule may be intensified by substituents called auxochromic groups. These groups may also cause bathochromic shifts. The color determining factor in a number of molecules is the introduction of conjugation of double bonds by means of electron donor and electron acceptor groups. The quantitative applicability of the absorption method is based on the fact that the number of photons absorbed is directly proportional to the number or concentration of atoms, ions or molecules (Harvey, 2000; Marczenko, 2000;Blaedel and Meloche, 2001).</w:t>
      </w:r>
    </w:p>
    <w:p>
      <w:pPr>
        <w:pStyle w:val="Heading3"/>
        <w:numPr>
          <w:ilvl w:val="1"/>
          <w:numId w:val="6"/>
        </w:numPr>
        <w:tabs>
          <w:tab w:pos="4877" w:val="left" w:leader="none"/>
        </w:tabs>
        <w:spacing w:line="240" w:lineRule="auto" w:before="206" w:after="0"/>
        <w:ind w:left="4877" w:right="0" w:hanging="300"/>
        <w:jc w:val="both"/>
      </w:pPr>
      <w:r>
        <w:rPr/>
        <w:t>Statement</w:t>
      </w:r>
      <w:r>
        <w:rPr>
          <w:spacing w:val="-3"/>
        </w:rPr>
        <w:t> </w:t>
      </w:r>
      <w:r>
        <w:rPr/>
        <w:t>of</w:t>
      </w:r>
      <w:r>
        <w:rPr>
          <w:spacing w:val="-3"/>
        </w:rPr>
        <w:t> </w:t>
      </w:r>
      <w:r>
        <w:rPr>
          <w:spacing w:val="-2"/>
        </w:rPr>
        <w:t>Research</w:t>
      </w:r>
    </w:p>
    <w:p>
      <w:pPr>
        <w:pStyle w:val="BodyText"/>
        <w:spacing w:line="480" w:lineRule="auto" w:before="272"/>
        <w:ind w:left="1200" w:right="1434"/>
        <w:jc w:val="both"/>
      </w:pPr>
      <w:r>
        <w:rPr/>
        <w:t>Isoniazid is a first line drug in the treatment regimen of tuberculosis, however several reports have indicated the proliferation of fake and substandard isoniazid brands in the market (WHO, 1999a, 2006a;Kelesidis and Falagas, 2015). Thus, there is need to ensure its quality through regular quality control test. However the sensitive HPLC machine for the analysis of isoniazidis not</w:t>
      </w:r>
      <w:r>
        <w:rPr>
          <w:spacing w:val="33"/>
        </w:rPr>
        <w:t> </w:t>
      </w:r>
      <w:r>
        <w:rPr/>
        <w:t>readily</w:t>
      </w:r>
      <w:r>
        <w:rPr>
          <w:spacing w:val="30"/>
        </w:rPr>
        <w:t> </w:t>
      </w:r>
      <w:r>
        <w:rPr/>
        <w:t>available</w:t>
      </w:r>
      <w:r>
        <w:rPr>
          <w:spacing w:val="35"/>
        </w:rPr>
        <w:t> </w:t>
      </w:r>
      <w:r>
        <w:rPr/>
        <w:t>in</w:t>
      </w:r>
      <w:r>
        <w:rPr>
          <w:spacing w:val="38"/>
        </w:rPr>
        <w:t> </w:t>
      </w:r>
      <w:r>
        <w:rPr/>
        <w:t>developing</w:t>
      </w:r>
      <w:r>
        <w:rPr>
          <w:spacing w:val="35"/>
        </w:rPr>
        <w:t> </w:t>
      </w:r>
      <w:r>
        <w:rPr/>
        <w:t>countriesdue</w:t>
      </w:r>
      <w:r>
        <w:rPr>
          <w:spacing w:val="36"/>
        </w:rPr>
        <w:t> </w:t>
      </w:r>
      <w:r>
        <w:rPr/>
        <w:t>to</w:t>
      </w:r>
      <w:r>
        <w:rPr>
          <w:spacing w:val="35"/>
        </w:rPr>
        <w:t> </w:t>
      </w:r>
      <w:r>
        <w:rPr/>
        <w:t>high</w:t>
      </w:r>
      <w:r>
        <w:rPr>
          <w:spacing w:val="35"/>
        </w:rPr>
        <w:t> </w:t>
      </w:r>
      <w:r>
        <w:rPr/>
        <w:t>cost</w:t>
      </w:r>
      <w:r>
        <w:rPr>
          <w:spacing w:val="38"/>
        </w:rPr>
        <w:t> </w:t>
      </w:r>
      <w:r>
        <w:rPr/>
        <w:t>of</w:t>
      </w:r>
      <w:r>
        <w:rPr>
          <w:spacing w:val="35"/>
        </w:rPr>
        <w:t> </w:t>
      </w:r>
      <w:r>
        <w:rPr/>
        <w:t>procurement</w:t>
      </w:r>
      <w:r>
        <w:rPr>
          <w:spacing w:val="35"/>
        </w:rPr>
        <w:t> </w:t>
      </w:r>
      <w:r>
        <w:rPr/>
        <w:t>and</w:t>
      </w:r>
      <w:r>
        <w:rPr>
          <w:spacing w:val="35"/>
        </w:rPr>
        <w:t> </w:t>
      </w:r>
      <w:r>
        <w:rPr>
          <w:spacing w:val="-2"/>
        </w:rPr>
        <w:t>installation.</w:t>
      </w:r>
    </w:p>
    <w:p>
      <w:pPr>
        <w:spacing w:after="0" w:line="480" w:lineRule="auto"/>
        <w:jc w:val="both"/>
        <w:sectPr>
          <w:pgSz w:w="12240" w:h="15840"/>
          <w:pgMar w:header="0" w:footer="1015" w:top="1360" w:bottom="1200" w:left="240" w:right="0"/>
        </w:sectPr>
      </w:pPr>
    </w:p>
    <w:p>
      <w:pPr>
        <w:pStyle w:val="BodyText"/>
        <w:spacing w:line="480" w:lineRule="auto" w:before="72"/>
        <w:ind w:left="1200" w:right="1432"/>
        <w:jc w:val="both"/>
      </w:pPr>
      <w:r>
        <w:rPr/>
        <w:t>Although many UV/Vis methods have been developed for the analysis of isoniazid in its pure</w:t>
      </w:r>
      <w:r>
        <w:rPr>
          <w:spacing w:val="40"/>
        </w:rPr>
        <w:t> </w:t>
      </w:r>
      <w:r>
        <w:rPr/>
        <w:t>and tablet dosage form(Babu</w:t>
      </w:r>
      <w:r>
        <w:rPr>
          <w:i/>
        </w:rPr>
        <w:t>et al., </w:t>
      </w:r>
      <w:r>
        <w:rPr/>
        <w:t>2002; Kamel, 2008;</w:t>
      </w:r>
      <w:r>
        <w:rPr>
          <w:spacing w:val="40"/>
        </w:rPr>
        <w:t> </w:t>
      </w:r>
      <w:r>
        <w:rPr/>
        <w:t>Oga, 2010; Arifa</w:t>
      </w:r>
      <w:r>
        <w:rPr>
          <w:i/>
        </w:rPr>
        <w:t>et al., </w:t>
      </w:r>
      <w:r>
        <w:rPr/>
        <w:t>2013),theyare tedious and require expensive reagents</w:t>
      </w:r>
    </w:p>
    <w:p>
      <w:pPr>
        <w:pStyle w:val="Heading3"/>
        <w:numPr>
          <w:ilvl w:val="1"/>
          <w:numId w:val="7"/>
        </w:numPr>
        <w:tabs>
          <w:tab w:pos="4604" w:val="left" w:leader="none"/>
        </w:tabs>
        <w:spacing w:line="240" w:lineRule="auto" w:before="5" w:after="0"/>
        <w:ind w:left="4604" w:right="0" w:hanging="360"/>
        <w:jc w:val="both"/>
      </w:pPr>
      <w:bookmarkStart w:name="_TOC_250026" w:id="8"/>
      <w:r>
        <w:rPr/>
        <w:t>Justification</w:t>
      </w:r>
      <w:r>
        <w:rPr>
          <w:spacing w:val="-1"/>
        </w:rPr>
        <w:t> </w:t>
      </w:r>
      <w:r>
        <w:rPr/>
        <w:t>of</w:t>
      </w:r>
      <w:r>
        <w:rPr>
          <w:spacing w:val="-1"/>
        </w:rPr>
        <w:t> </w:t>
      </w:r>
      <w:r>
        <w:rPr/>
        <w:t>the</w:t>
      </w:r>
      <w:bookmarkEnd w:id="8"/>
      <w:r>
        <w:rPr>
          <w:spacing w:val="-2"/>
        </w:rPr>
        <w:t> Research</w:t>
      </w:r>
    </w:p>
    <w:p>
      <w:pPr>
        <w:pStyle w:val="BodyText"/>
        <w:spacing w:line="480" w:lineRule="auto" w:before="271"/>
        <w:ind w:left="1200" w:right="1433"/>
        <w:jc w:val="both"/>
      </w:pPr>
      <w:r>
        <w:rPr/>
        <w:t>As a result of the installation and operating cost of the HPLC machine coupled with the limitations of the reported UV/Vis spectrophotometric methods for the analysis of isoniazid,</w:t>
      </w:r>
      <w:r>
        <w:rPr>
          <w:spacing w:val="40"/>
        </w:rPr>
        <w:t> </w:t>
      </w:r>
      <w:r>
        <w:rPr/>
        <w:t>there is need to develop simple, accurate and sensitive UV/Vismethods that will address the reported drawbacks and can be used for monitoring the quality of isoniazid which is very important in the clinical practice.In addition, the presence of NH</w:t>
      </w:r>
      <w:r>
        <w:rPr>
          <w:vertAlign w:val="subscript"/>
        </w:rPr>
        <w:t>2</w:t>
      </w:r>
      <w:r>
        <w:rPr>
          <w:vertAlign w:val="baseline"/>
        </w:rPr>
        <w:t> and C=O groups inisoniazid makes it a good candidate</w:t>
      </w:r>
      <w:r>
        <w:rPr>
          <w:spacing w:val="-1"/>
          <w:vertAlign w:val="baseline"/>
        </w:rPr>
        <w:t> </w:t>
      </w:r>
      <w:r>
        <w:rPr>
          <w:vertAlign w:val="baseline"/>
        </w:rPr>
        <w:t>for the formation of colouredSchiffs bases and/or diazo dye</w:t>
      </w:r>
      <w:r>
        <w:rPr>
          <w:spacing w:val="-1"/>
          <w:vertAlign w:val="baseline"/>
        </w:rPr>
        <w:t> </w:t>
      </w:r>
      <w:r>
        <w:rPr>
          <w:vertAlign w:val="baseline"/>
        </w:rPr>
        <w:t>that canbe determined spectrometrically.</w:t>
      </w:r>
    </w:p>
    <w:p>
      <w:pPr>
        <w:pStyle w:val="Heading3"/>
        <w:numPr>
          <w:ilvl w:val="1"/>
          <w:numId w:val="7"/>
        </w:numPr>
        <w:tabs>
          <w:tab w:pos="5017" w:val="left" w:leader="none"/>
        </w:tabs>
        <w:spacing w:line="240" w:lineRule="auto" w:before="6" w:after="0"/>
        <w:ind w:left="5017" w:right="0" w:hanging="360"/>
        <w:jc w:val="both"/>
      </w:pPr>
      <w:bookmarkStart w:name="_TOC_250025" w:id="9"/>
      <w:r>
        <w:rPr/>
        <w:t>Aim</w:t>
      </w:r>
      <w:r>
        <w:rPr>
          <w:spacing w:val="-5"/>
        </w:rPr>
        <w:t> </w:t>
      </w:r>
      <w:r>
        <w:rPr/>
        <w:t>of</w:t>
      </w:r>
      <w:r>
        <w:rPr>
          <w:spacing w:val="1"/>
        </w:rPr>
        <w:t> </w:t>
      </w:r>
      <w:r>
        <w:rPr/>
        <w:t>the</w:t>
      </w:r>
      <w:r>
        <w:rPr>
          <w:spacing w:val="-1"/>
        </w:rPr>
        <w:t> </w:t>
      </w:r>
      <w:bookmarkEnd w:id="9"/>
      <w:r>
        <w:rPr>
          <w:spacing w:val="-2"/>
        </w:rPr>
        <w:t>Research</w:t>
      </w:r>
    </w:p>
    <w:p>
      <w:pPr>
        <w:pStyle w:val="BodyText"/>
        <w:spacing w:line="480" w:lineRule="auto" w:before="271"/>
        <w:ind w:left="1200" w:right="1439" w:firstLine="60"/>
        <w:jc w:val="both"/>
      </w:pPr>
      <w:r>
        <w:rPr/>
        <w:t>To develop and validate four new UV/Vis Spectrometric methods for the determination of isoniazid in pure and tablet dosage forms.</w:t>
      </w:r>
    </w:p>
    <w:p>
      <w:pPr>
        <w:pStyle w:val="Heading3"/>
        <w:numPr>
          <w:ilvl w:val="2"/>
          <w:numId w:val="7"/>
        </w:numPr>
        <w:tabs>
          <w:tab w:pos="1740" w:val="left" w:leader="none"/>
        </w:tabs>
        <w:spacing w:line="240" w:lineRule="auto" w:before="5" w:after="0"/>
        <w:ind w:left="1740" w:right="0" w:hanging="540"/>
        <w:jc w:val="both"/>
      </w:pPr>
      <w:bookmarkStart w:name="_TOC_250024" w:id="10"/>
      <w:r>
        <w:rPr/>
        <w:t>Specific</w:t>
      </w:r>
      <w:r>
        <w:rPr>
          <w:spacing w:val="-1"/>
        </w:rPr>
        <w:t> </w:t>
      </w:r>
      <w:bookmarkEnd w:id="10"/>
      <w:r>
        <w:rPr>
          <w:spacing w:val="-2"/>
        </w:rPr>
        <w:t>objectives</w:t>
      </w:r>
    </w:p>
    <w:p>
      <w:pPr>
        <w:pStyle w:val="BodyText"/>
        <w:spacing w:before="272"/>
        <w:ind w:left="1200"/>
        <w:jc w:val="both"/>
      </w:pPr>
      <w:r>
        <w:rPr/>
        <w:t>The</w:t>
      </w:r>
      <w:r>
        <w:rPr>
          <w:spacing w:val="-3"/>
        </w:rPr>
        <w:t> </w:t>
      </w:r>
      <w:r>
        <w:rPr/>
        <w:t>specific</w:t>
      </w:r>
      <w:r>
        <w:rPr>
          <w:spacing w:val="-1"/>
        </w:rPr>
        <w:t> </w:t>
      </w:r>
      <w:r>
        <w:rPr/>
        <w:t>objectives</w:t>
      </w:r>
      <w:r>
        <w:rPr>
          <w:spacing w:val="-1"/>
        </w:rPr>
        <w:t> </w:t>
      </w:r>
      <w:r>
        <w:rPr/>
        <w:t>are</w:t>
      </w:r>
      <w:r>
        <w:rPr>
          <w:spacing w:val="-1"/>
        </w:rPr>
        <w:t> </w:t>
      </w:r>
      <w:r>
        <w:rPr>
          <w:spacing w:val="-5"/>
        </w:rPr>
        <w:t>to;</w:t>
      </w:r>
    </w:p>
    <w:p>
      <w:pPr>
        <w:pStyle w:val="BodyText"/>
      </w:pPr>
    </w:p>
    <w:p>
      <w:pPr>
        <w:pStyle w:val="ListParagraph"/>
        <w:numPr>
          <w:ilvl w:val="0"/>
          <w:numId w:val="8"/>
        </w:numPr>
        <w:tabs>
          <w:tab w:pos="1537" w:val="left" w:leader="none"/>
        </w:tabs>
        <w:spacing w:line="240" w:lineRule="auto" w:before="0" w:after="0"/>
        <w:ind w:left="1537" w:right="0" w:hanging="337"/>
        <w:jc w:val="both"/>
        <w:rPr>
          <w:sz w:val="24"/>
        </w:rPr>
      </w:pPr>
      <w:r>
        <w:rPr>
          <w:sz w:val="24"/>
        </w:rPr>
        <w:t>condenseisoniazid</w:t>
      </w:r>
      <w:r>
        <w:rPr>
          <w:spacing w:val="-3"/>
          <w:sz w:val="24"/>
        </w:rPr>
        <w:t> </w:t>
      </w:r>
      <w:r>
        <w:rPr>
          <w:sz w:val="24"/>
        </w:rPr>
        <w:t>solution</w:t>
      </w:r>
      <w:r>
        <w:rPr>
          <w:spacing w:val="-2"/>
          <w:sz w:val="24"/>
        </w:rPr>
        <w:t> </w:t>
      </w:r>
      <w:r>
        <w:rPr>
          <w:sz w:val="24"/>
        </w:rPr>
        <w:t>with</w:t>
      </w:r>
      <w:r>
        <w:rPr>
          <w:spacing w:val="-2"/>
          <w:sz w:val="24"/>
        </w:rPr>
        <w:t> </w:t>
      </w:r>
      <w:r>
        <w:rPr>
          <w:sz w:val="24"/>
        </w:rPr>
        <w:t>2,</w:t>
      </w:r>
      <w:r>
        <w:rPr>
          <w:spacing w:val="-1"/>
          <w:sz w:val="24"/>
        </w:rPr>
        <w:t> </w:t>
      </w:r>
      <w:r>
        <w:rPr>
          <w:sz w:val="24"/>
        </w:rPr>
        <w:t>4-dinitrophenylhydrazine</w:t>
      </w:r>
      <w:r>
        <w:rPr>
          <w:spacing w:val="-2"/>
          <w:sz w:val="24"/>
        </w:rPr>
        <w:t> </w:t>
      </w:r>
      <w:r>
        <w:rPr>
          <w:sz w:val="24"/>
        </w:rPr>
        <w:t>to</w:t>
      </w:r>
      <w:r>
        <w:rPr>
          <w:spacing w:val="-2"/>
          <w:sz w:val="24"/>
        </w:rPr>
        <w:t> </w:t>
      </w:r>
      <w:r>
        <w:rPr>
          <w:sz w:val="24"/>
        </w:rPr>
        <w:t>form</w:t>
      </w:r>
      <w:r>
        <w:rPr>
          <w:spacing w:val="-1"/>
          <w:sz w:val="24"/>
        </w:rPr>
        <w:t> </w:t>
      </w:r>
      <w:r>
        <w:rPr>
          <w:spacing w:val="-2"/>
          <w:sz w:val="24"/>
        </w:rPr>
        <w:t>colouredhydrazine,</w:t>
      </w:r>
    </w:p>
    <w:p>
      <w:pPr>
        <w:pStyle w:val="BodyText"/>
      </w:pPr>
    </w:p>
    <w:p>
      <w:pPr>
        <w:pStyle w:val="ListParagraph"/>
        <w:numPr>
          <w:ilvl w:val="0"/>
          <w:numId w:val="8"/>
        </w:numPr>
        <w:tabs>
          <w:tab w:pos="1537" w:val="left" w:leader="none"/>
        </w:tabs>
        <w:spacing w:line="240" w:lineRule="auto" w:before="0" w:after="0"/>
        <w:ind w:left="1537" w:right="0" w:hanging="337"/>
        <w:jc w:val="both"/>
        <w:rPr>
          <w:sz w:val="24"/>
        </w:rPr>
      </w:pPr>
      <w:r>
        <w:rPr>
          <w:sz w:val="24"/>
        </w:rPr>
        <w:t>coupleisoniazid</w:t>
      </w:r>
      <w:r>
        <w:rPr>
          <w:spacing w:val="-2"/>
          <w:sz w:val="24"/>
        </w:rPr>
        <w:t> </w:t>
      </w:r>
      <w:r>
        <w:rPr>
          <w:sz w:val="24"/>
        </w:rPr>
        <w:t>solution with</w:t>
      </w:r>
      <w:r>
        <w:rPr>
          <w:spacing w:val="-1"/>
          <w:sz w:val="24"/>
        </w:rPr>
        <w:t> </w:t>
      </w:r>
      <w:r>
        <w:rPr>
          <w:sz w:val="24"/>
        </w:rPr>
        <w:t>p-aminotoluidine</w:t>
      </w:r>
      <w:r>
        <w:rPr>
          <w:spacing w:val="-1"/>
          <w:sz w:val="24"/>
        </w:rPr>
        <w:t> </w:t>
      </w:r>
      <w:r>
        <w:rPr>
          <w:sz w:val="24"/>
        </w:rPr>
        <w:t>to</w:t>
      </w:r>
      <w:r>
        <w:rPr>
          <w:spacing w:val="-1"/>
          <w:sz w:val="24"/>
        </w:rPr>
        <w:t> </w:t>
      </w:r>
      <w:r>
        <w:rPr>
          <w:sz w:val="24"/>
        </w:rPr>
        <w:t>form</w:t>
      </w:r>
      <w:r>
        <w:rPr>
          <w:spacing w:val="-1"/>
          <w:sz w:val="24"/>
        </w:rPr>
        <w:t> </w:t>
      </w:r>
      <w:r>
        <w:rPr>
          <w:sz w:val="24"/>
        </w:rPr>
        <w:t>a </w:t>
      </w:r>
      <w:r>
        <w:rPr>
          <w:spacing w:val="-2"/>
          <w:sz w:val="24"/>
        </w:rPr>
        <w:t>diazodye,</w:t>
      </w:r>
    </w:p>
    <w:p>
      <w:pPr>
        <w:pStyle w:val="BodyText"/>
      </w:pPr>
    </w:p>
    <w:p>
      <w:pPr>
        <w:pStyle w:val="ListParagraph"/>
        <w:numPr>
          <w:ilvl w:val="0"/>
          <w:numId w:val="8"/>
        </w:numPr>
        <w:tabs>
          <w:tab w:pos="1537" w:val="left" w:leader="none"/>
        </w:tabs>
        <w:spacing w:line="240" w:lineRule="auto" w:before="0" w:after="0"/>
        <w:ind w:left="1537" w:right="0" w:hanging="337"/>
        <w:jc w:val="both"/>
        <w:rPr>
          <w:sz w:val="24"/>
        </w:rPr>
      </w:pPr>
      <w:r>
        <w:rPr>
          <w:sz w:val="24"/>
        </w:rPr>
        <w:t>determine</w:t>
      </w:r>
      <w:r>
        <w:rPr>
          <w:spacing w:val="-2"/>
          <w:sz w:val="24"/>
        </w:rPr>
        <w:t> </w:t>
      </w:r>
      <w:r>
        <w:rPr>
          <w:sz w:val="24"/>
        </w:rPr>
        <w:t>the</w:t>
      </w:r>
      <w:r>
        <w:rPr>
          <w:spacing w:val="-2"/>
          <w:sz w:val="24"/>
        </w:rPr>
        <w:t> </w:t>
      </w:r>
      <w:r>
        <w:rPr>
          <w:sz w:val="24"/>
        </w:rPr>
        <w:t>λmax of</w:t>
      </w:r>
      <w:r>
        <w:rPr>
          <w:spacing w:val="-1"/>
          <w:sz w:val="24"/>
        </w:rPr>
        <w:t> </w:t>
      </w:r>
      <w:r>
        <w:rPr>
          <w:sz w:val="24"/>
        </w:rPr>
        <w:t>isoniazid</w:t>
      </w:r>
      <w:r>
        <w:rPr>
          <w:spacing w:val="1"/>
          <w:sz w:val="24"/>
        </w:rPr>
        <w:t> </w:t>
      </w:r>
      <w:r>
        <w:rPr>
          <w:sz w:val="24"/>
        </w:rPr>
        <w:t>in</w:t>
      </w:r>
      <w:r>
        <w:rPr>
          <w:spacing w:val="-1"/>
          <w:sz w:val="24"/>
        </w:rPr>
        <w:t> </w:t>
      </w:r>
      <w:r>
        <w:rPr>
          <w:sz w:val="24"/>
        </w:rPr>
        <w:t>distilled</w:t>
      </w:r>
      <w:r>
        <w:rPr>
          <w:spacing w:val="-1"/>
          <w:sz w:val="24"/>
        </w:rPr>
        <w:t> </w:t>
      </w:r>
      <w:r>
        <w:rPr>
          <w:sz w:val="24"/>
        </w:rPr>
        <w:t>water</w:t>
      </w:r>
      <w:r>
        <w:rPr>
          <w:spacing w:val="-3"/>
          <w:sz w:val="24"/>
        </w:rPr>
        <w:t> </w:t>
      </w:r>
      <w:r>
        <w:rPr>
          <w:sz w:val="24"/>
        </w:rPr>
        <w:t>and </w:t>
      </w:r>
      <w:r>
        <w:rPr>
          <w:spacing w:val="-2"/>
          <w:sz w:val="24"/>
        </w:rPr>
        <w:t>methanol</w:t>
      </w:r>
    </w:p>
    <w:p>
      <w:pPr>
        <w:pStyle w:val="BodyText"/>
      </w:pPr>
    </w:p>
    <w:p>
      <w:pPr>
        <w:pStyle w:val="ListParagraph"/>
        <w:numPr>
          <w:ilvl w:val="0"/>
          <w:numId w:val="8"/>
        </w:numPr>
        <w:tabs>
          <w:tab w:pos="1537" w:val="left" w:leader="none"/>
        </w:tabs>
        <w:spacing w:line="240" w:lineRule="auto" w:before="0" w:after="0"/>
        <w:ind w:left="1537" w:right="0" w:hanging="337"/>
        <w:jc w:val="left"/>
        <w:rPr>
          <w:sz w:val="24"/>
        </w:rPr>
      </w:pPr>
      <w:r>
        <w:rPr>
          <w:sz w:val="24"/>
        </w:rPr>
        <w:t>applythe</w:t>
      </w:r>
      <w:r>
        <w:rPr>
          <w:spacing w:val="-1"/>
          <w:sz w:val="24"/>
        </w:rPr>
        <w:t> </w:t>
      </w:r>
      <w:r>
        <w:rPr>
          <w:sz w:val="24"/>
        </w:rPr>
        <w:t>developed methods in</w:t>
      </w:r>
      <w:r>
        <w:rPr>
          <w:spacing w:val="-1"/>
          <w:sz w:val="24"/>
        </w:rPr>
        <w:t> </w:t>
      </w:r>
      <w:r>
        <w:rPr>
          <w:sz w:val="24"/>
        </w:rPr>
        <w:t>the</w:t>
      </w:r>
      <w:r>
        <w:rPr>
          <w:spacing w:val="-1"/>
          <w:sz w:val="24"/>
        </w:rPr>
        <w:t> </w:t>
      </w:r>
      <w:r>
        <w:rPr>
          <w:sz w:val="24"/>
        </w:rPr>
        <w:t>determination of</w:t>
      </w:r>
      <w:r>
        <w:rPr>
          <w:spacing w:val="-2"/>
          <w:sz w:val="24"/>
        </w:rPr>
        <w:t> </w:t>
      </w:r>
      <w:r>
        <w:rPr>
          <w:sz w:val="24"/>
        </w:rPr>
        <w:t>isoniazid</w:t>
      </w:r>
      <w:r>
        <w:rPr>
          <w:spacing w:val="2"/>
          <w:sz w:val="24"/>
        </w:rPr>
        <w:t> </w:t>
      </w:r>
      <w:r>
        <w:rPr>
          <w:sz w:val="24"/>
        </w:rPr>
        <w:t>in</w:t>
      </w:r>
      <w:r>
        <w:rPr>
          <w:spacing w:val="-1"/>
          <w:sz w:val="24"/>
        </w:rPr>
        <w:t> </w:t>
      </w:r>
      <w:r>
        <w:rPr>
          <w:sz w:val="24"/>
        </w:rPr>
        <w:t>pure</w:t>
      </w:r>
      <w:r>
        <w:rPr>
          <w:spacing w:val="-5"/>
          <w:sz w:val="24"/>
        </w:rPr>
        <w:t> </w:t>
      </w:r>
      <w:r>
        <w:rPr>
          <w:sz w:val="24"/>
        </w:rPr>
        <w:t>and tablet</w:t>
      </w:r>
      <w:r>
        <w:rPr>
          <w:spacing w:val="-1"/>
          <w:sz w:val="24"/>
        </w:rPr>
        <w:t> </w:t>
      </w:r>
      <w:r>
        <w:rPr>
          <w:sz w:val="24"/>
        </w:rPr>
        <w:t>dosage</w:t>
      </w:r>
      <w:r>
        <w:rPr>
          <w:spacing w:val="1"/>
          <w:sz w:val="24"/>
        </w:rPr>
        <w:t> </w:t>
      </w:r>
      <w:r>
        <w:rPr>
          <w:spacing w:val="-2"/>
          <w:sz w:val="24"/>
        </w:rPr>
        <w:t>form.</w:t>
      </w:r>
    </w:p>
    <w:p>
      <w:pPr>
        <w:pStyle w:val="BodyText"/>
        <w:spacing w:before="5"/>
      </w:pPr>
    </w:p>
    <w:p>
      <w:pPr>
        <w:pStyle w:val="Heading2"/>
      </w:pPr>
      <w:bookmarkStart w:name="_TOC_250023" w:id="11"/>
      <w:r>
        <w:rPr/>
        <w:t>CHAPTER</w:t>
      </w:r>
      <w:r>
        <w:rPr>
          <w:spacing w:val="-4"/>
        </w:rPr>
        <w:t> </w:t>
      </w:r>
      <w:bookmarkEnd w:id="11"/>
      <w:r>
        <w:rPr>
          <w:spacing w:val="-5"/>
        </w:rPr>
        <w:t>TWO</w:t>
      </w:r>
    </w:p>
    <w:p>
      <w:pPr>
        <w:pStyle w:val="BodyText"/>
        <w:rPr>
          <w:b/>
        </w:rPr>
      </w:pPr>
    </w:p>
    <w:p>
      <w:pPr>
        <w:pStyle w:val="Heading2"/>
        <w:numPr>
          <w:ilvl w:val="1"/>
          <w:numId w:val="9"/>
        </w:numPr>
        <w:tabs>
          <w:tab w:pos="4736" w:val="left" w:leader="none"/>
        </w:tabs>
        <w:spacing w:line="240" w:lineRule="auto" w:before="0" w:after="0"/>
        <w:ind w:left="4736" w:right="0" w:hanging="360"/>
        <w:jc w:val="both"/>
      </w:pPr>
      <w:bookmarkStart w:name="_TOC_250022" w:id="12"/>
      <w:r>
        <w:rPr/>
        <w:t>LITERATURE</w:t>
      </w:r>
      <w:bookmarkEnd w:id="12"/>
      <w:r>
        <w:rPr>
          <w:spacing w:val="-2"/>
        </w:rPr>
        <w:t> REVIEW</w:t>
      </w:r>
    </w:p>
    <w:p>
      <w:pPr>
        <w:pStyle w:val="BodyText"/>
        <w:rPr>
          <w:b/>
        </w:rPr>
      </w:pPr>
    </w:p>
    <w:p>
      <w:pPr>
        <w:pStyle w:val="Heading3"/>
        <w:numPr>
          <w:ilvl w:val="1"/>
          <w:numId w:val="9"/>
        </w:numPr>
        <w:tabs>
          <w:tab w:pos="4892" w:val="left" w:leader="none"/>
        </w:tabs>
        <w:spacing w:line="240" w:lineRule="auto" w:before="0" w:after="0"/>
        <w:ind w:left="4892" w:right="0" w:hanging="360"/>
        <w:jc w:val="both"/>
      </w:pPr>
      <w:r>
        <w:rPr/>
        <w:t>Chemistry</w:t>
      </w:r>
      <w:r>
        <w:rPr>
          <w:spacing w:val="-2"/>
        </w:rPr>
        <w:t> </w:t>
      </w:r>
      <w:r>
        <w:rPr/>
        <w:t>of</w:t>
      </w:r>
      <w:r>
        <w:rPr>
          <w:spacing w:val="-1"/>
        </w:rPr>
        <w:t> </w:t>
      </w:r>
      <w:r>
        <w:rPr>
          <w:spacing w:val="-2"/>
        </w:rPr>
        <w:t>Isoniazid</w:t>
      </w:r>
    </w:p>
    <w:p>
      <w:pPr>
        <w:spacing w:after="0" w:line="240" w:lineRule="auto"/>
        <w:jc w:val="both"/>
        <w:sectPr>
          <w:pgSz w:w="12240" w:h="15840"/>
          <w:pgMar w:header="0" w:footer="1015" w:top="1360" w:bottom="1200" w:left="240" w:right="0"/>
        </w:sectPr>
      </w:pPr>
    </w:p>
    <w:p>
      <w:pPr>
        <w:pStyle w:val="BodyText"/>
        <w:spacing w:line="480" w:lineRule="auto" w:before="72"/>
        <w:ind w:left="1200" w:right="1432"/>
        <w:jc w:val="both"/>
      </w:pPr>
      <w:r>
        <w:rPr/>
        <w:t>Isoniazid (I) isa derivative of isonicotinic acid, chemically called pyridine-4-carboxylic acid hydrazide. It has a molecular formula and molecular weight of C</w:t>
      </w:r>
      <w:r>
        <w:rPr>
          <w:vertAlign w:val="subscript"/>
        </w:rPr>
        <w:t>6</w:t>
      </w:r>
      <w:r>
        <w:rPr>
          <w:vertAlign w:val="baseline"/>
        </w:rPr>
        <w:t>H</w:t>
      </w:r>
      <w:r>
        <w:rPr>
          <w:vertAlign w:val="subscript"/>
        </w:rPr>
        <w:t>7</w:t>
      </w:r>
      <w:r>
        <w:rPr>
          <w:vertAlign w:val="baseline"/>
        </w:rPr>
        <w:t>N</w:t>
      </w:r>
      <w:r>
        <w:rPr>
          <w:vertAlign w:val="subscript"/>
        </w:rPr>
        <w:t>3</w:t>
      </w:r>
      <w:r>
        <w:rPr>
          <w:vertAlign w:val="baseline"/>
        </w:rPr>
        <w:t>O and 137.14</w:t>
      </w:r>
      <w:r>
        <w:rPr>
          <w:spacing w:val="40"/>
          <w:vertAlign w:val="baseline"/>
        </w:rPr>
        <w:t> </w:t>
      </w:r>
      <w:r>
        <w:rPr>
          <w:vertAlign w:val="baseline"/>
        </w:rPr>
        <w:t>respectively. It is white crystalline powder with melting point range of 170-173 </w:t>
      </w:r>
      <w:r>
        <w:rPr>
          <w:vertAlign w:val="superscript"/>
        </w:rPr>
        <w:t>o</w:t>
      </w:r>
      <w:r>
        <w:rPr>
          <w:vertAlign w:val="baseline"/>
        </w:rPr>
        <w:t>C. It is </w:t>
      </w:r>
      <w:r>
        <w:rPr>
          <w:sz w:val="22"/>
          <w:vertAlign w:val="baseline"/>
        </w:rPr>
        <w:t>freely </w:t>
      </w:r>
      <w:r>
        <w:rPr>
          <w:vertAlign w:val="baseline"/>
        </w:rPr>
        <w:t>soluble in polar solvents (eg water, methanol and ethanol) and insoluble in non-polar solvents (egchloroform, ether and benzene). It is a weak base due to presence of a hydrazine group. It is stable in dimethyl sulfoxide and water (BP, 2009) and optically inactive because it has no chiral center (Laurence </w:t>
      </w:r>
      <w:r>
        <w:rPr>
          <w:i/>
          <w:vertAlign w:val="baseline"/>
        </w:rPr>
        <w:t>et al., </w:t>
      </w:r>
      <w:r>
        <w:rPr>
          <w:vertAlign w:val="baseline"/>
        </w:rPr>
        <w:t>1989).</w:t>
      </w:r>
    </w:p>
    <w:p>
      <w:pPr>
        <w:pStyle w:val="BodyText"/>
        <w:rPr>
          <w:sz w:val="17"/>
        </w:rPr>
      </w:pPr>
    </w:p>
    <w:p>
      <w:pPr>
        <w:pStyle w:val="BodyText"/>
        <w:rPr>
          <w:sz w:val="17"/>
        </w:rPr>
      </w:pPr>
    </w:p>
    <w:p>
      <w:pPr>
        <w:pStyle w:val="BodyText"/>
        <w:rPr>
          <w:sz w:val="17"/>
        </w:rPr>
      </w:pPr>
    </w:p>
    <w:p>
      <w:pPr>
        <w:pStyle w:val="BodyText"/>
        <w:spacing w:before="65"/>
        <w:rPr>
          <w:sz w:val="17"/>
        </w:rPr>
      </w:pPr>
    </w:p>
    <w:p>
      <w:pPr>
        <w:tabs>
          <w:tab w:pos="5327" w:val="left" w:leader="none"/>
          <w:tab w:pos="6078" w:val="left" w:leader="none"/>
        </w:tabs>
        <w:spacing w:line="268" w:lineRule="auto" w:before="0"/>
        <w:ind w:left="4802" w:right="5542" w:hanging="527"/>
        <w:jc w:val="left"/>
        <w:rPr>
          <w:rFonts w:ascii="Arial MT"/>
          <w:sz w:val="17"/>
        </w:rPr>
      </w:pPr>
      <w:r>
        <w:rPr/>
        <mc:AlternateContent>
          <mc:Choice Requires="wps">
            <w:drawing>
              <wp:anchor distT="0" distB="0" distL="0" distR="0" allowOverlap="1" layoutInCell="1" locked="0" behindDoc="1" simplePos="0" relativeHeight="484987392">
                <wp:simplePos x="0" y="0"/>
                <wp:positionH relativeFrom="page">
                  <wp:posOffset>2918361</wp:posOffset>
                </wp:positionH>
                <wp:positionV relativeFrom="paragraph">
                  <wp:posOffset>281786</wp:posOffset>
                </wp:positionV>
                <wp:extent cx="663575" cy="85915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663575" cy="859155"/>
                        </a:xfrm>
                        <a:custGeom>
                          <a:avLst/>
                          <a:gdLst/>
                          <a:ahLst/>
                          <a:cxnLst/>
                          <a:rect l="l" t="t" r="r" b="b"/>
                          <a:pathLst>
                            <a:path w="663575" h="859155">
                              <a:moveTo>
                                <a:pt x="0" y="414181"/>
                              </a:moveTo>
                              <a:lnTo>
                                <a:pt x="0" y="731590"/>
                              </a:lnTo>
                            </a:path>
                            <a:path w="663575" h="859155">
                              <a:moveTo>
                                <a:pt x="46006" y="435784"/>
                              </a:moveTo>
                              <a:lnTo>
                                <a:pt x="46006" y="708896"/>
                              </a:lnTo>
                            </a:path>
                            <a:path w="663575" h="859155">
                              <a:moveTo>
                                <a:pt x="0" y="731590"/>
                              </a:moveTo>
                              <a:lnTo>
                                <a:pt x="264941" y="858713"/>
                              </a:lnTo>
                            </a:path>
                            <a:path w="663575" h="859155">
                              <a:moveTo>
                                <a:pt x="398395" y="857619"/>
                              </a:moveTo>
                              <a:lnTo>
                                <a:pt x="663342" y="731590"/>
                              </a:lnTo>
                            </a:path>
                            <a:path w="663575" h="859155">
                              <a:moveTo>
                                <a:pt x="375225" y="824534"/>
                              </a:moveTo>
                              <a:lnTo>
                                <a:pt x="617333" y="708896"/>
                              </a:lnTo>
                            </a:path>
                            <a:path w="663575" h="859155">
                              <a:moveTo>
                                <a:pt x="663342" y="731590"/>
                              </a:moveTo>
                              <a:lnTo>
                                <a:pt x="663342" y="414181"/>
                              </a:lnTo>
                            </a:path>
                            <a:path w="663575" h="859155">
                              <a:moveTo>
                                <a:pt x="663342" y="414181"/>
                              </a:moveTo>
                              <a:lnTo>
                                <a:pt x="330860" y="255349"/>
                              </a:lnTo>
                            </a:path>
                            <a:path w="663575" h="859155">
                              <a:moveTo>
                                <a:pt x="617333" y="435784"/>
                              </a:moveTo>
                              <a:lnTo>
                                <a:pt x="330860" y="298543"/>
                              </a:lnTo>
                            </a:path>
                            <a:path w="663575" h="859155">
                              <a:moveTo>
                                <a:pt x="330860" y="255349"/>
                              </a:moveTo>
                              <a:lnTo>
                                <a:pt x="0" y="414181"/>
                              </a:lnTo>
                            </a:path>
                            <a:path w="663575" h="859155">
                              <a:moveTo>
                                <a:pt x="330860" y="255349"/>
                              </a:moveTo>
                              <a:lnTo>
                                <a:pt x="330860" y="0"/>
                              </a:lnTo>
                            </a:path>
                          </a:pathLst>
                        </a:custGeom>
                        <a:ln w="1140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9.792221pt;margin-top:22.187902pt;width:52.25pt;height:67.650pt;mso-position-horizontal-relative:page;mso-position-vertical-relative:paragraph;z-index:-18329088" id="docshape3" coordorigin="4596,444" coordsize="1045,1353" path="m4596,1096l4596,1596m4668,1130l4668,1560m4596,1596l5013,1796m5223,1794l5640,1596m5187,1742l5568,1560m5640,1596l5640,1096m5640,1096l5117,846m5568,1130l5117,914m5117,846l4596,1096m5117,846l5117,444e" filled="false" stroked="true" strokeweight=".898012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4987904">
                <wp:simplePos x="0" y="0"/>
                <wp:positionH relativeFrom="page">
                  <wp:posOffset>2968935</wp:posOffset>
                </wp:positionH>
                <wp:positionV relativeFrom="paragraph">
                  <wp:posOffset>73471</wp:posOffset>
                </wp:positionV>
                <wp:extent cx="233045" cy="13398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233045" cy="133985"/>
                        </a:xfrm>
                        <a:custGeom>
                          <a:avLst/>
                          <a:gdLst/>
                          <a:ahLst/>
                          <a:cxnLst/>
                          <a:rect l="l" t="t" r="r" b="b"/>
                          <a:pathLst>
                            <a:path w="233045" h="133985">
                              <a:moveTo>
                                <a:pt x="209807" y="133400"/>
                              </a:moveTo>
                              <a:lnTo>
                                <a:pt x="0" y="33066"/>
                              </a:lnTo>
                            </a:path>
                            <a:path w="233045" h="133985">
                              <a:moveTo>
                                <a:pt x="232964" y="100323"/>
                              </a:moveTo>
                              <a:lnTo>
                                <a:pt x="22840" y="0"/>
                              </a:lnTo>
                            </a:path>
                          </a:pathLst>
                        </a:custGeom>
                        <a:ln w="1140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33.774445pt;margin-top:5.785142pt;width:18.350pt;height:10.55pt;mso-position-horizontal-relative:page;mso-position-vertical-relative:paragraph;z-index:-18328576" id="docshape4" coordorigin="4675,116" coordsize="367,211" path="m5006,326l4675,168m5042,274l4711,116e" filled="false" stroked="true" strokeweight=".898012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4988416">
                <wp:simplePos x="0" y="0"/>
                <wp:positionH relativeFrom="page">
                  <wp:posOffset>3308923</wp:posOffset>
                </wp:positionH>
                <wp:positionV relativeFrom="paragraph">
                  <wp:posOffset>92614</wp:posOffset>
                </wp:positionV>
                <wp:extent cx="204470" cy="9779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204470" cy="97790"/>
                        </a:xfrm>
                        <a:custGeom>
                          <a:avLst/>
                          <a:gdLst/>
                          <a:ahLst/>
                          <a:cxnLst/>
                          <a:rect l="l" t="t" r="r" b="b"/>
                          <a:pathLst>
                            <a:path w="204470" h="97790">
                              <a:moveTo>
                                <a:pt x="0" y="97585"/>
                              </a:moveTo>
                              <a:lnTo>
                                <a:pt x="203932" y="0"/>
                              </a:lnTo>
                            </a:path>
                          </a:pathLst>
                        </a:custGeom>
                        <a:ln w="1078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28064" from="260.545135pt,14.976366pt" to="276.602832pt,7.292475pt" stroked="true" strokeweight=".848904pt" strokecolor="#000000">
                <v:stroke dashstyle="solid"/>
                <w10:wrap type="none"/>
              </v:line>
            </w:pict>
          </mc:Fallback>
        </mc:AlternateContent>
      </w:r>
      <w:r>
        <w:rPr/>
        <mc:AlternateContent>
          <mc:Choice Requires="wps">
            <w:drawing>
              <wp:anchor distT="0" distB="0" distL="0" distR="0" allowOverlap="1" layoutInCell="1" locked="0" behindDoc="1" simplePos="0" relativeHeight="484988928">
                <wp:simplePos x="0" y="0"/>
                <wp:positionH relativeFrom="page">
                  <wp:posOffset>3735054</wp:posOffset>
                </wp:positionH>
                <wp:positionV relativeFrom="paragraph">
                  <wp:posOffset>60560</wp:posOffset>
                </wp:positionV>
                <wp:extent cx="26225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262255" cy="1270"/>
                        </a:xfrm>
                        <a:custGeom>
                          <a:avLst/>
                          <a:gdLst/>
                          <a:ahLst/>
                          <a:cxnLst/>
                          <a:rect l="l" t="t" r="r" b="b"/>
                          <a:pathLst>
                            <a:path w="262255" h="0">
                              <a:moveTo>
                                <a:pt x="0" y="0"/>
                              </a:moveTo>
                              <a:lnTo>
                                <a:pt x="262004" y="0"/>
                              </a:lnTo>
                            </a:path>
                          </a:pathLst>
                        </a:custGeom>
                        <a:ln w="1041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27552" from="294.098785pt,4.768569pt" to="314.729038pt,4.768569pt" stroked="true" strokeweight=".819735pt" strokecolor="#000000">
                <v:stroke dashstyle="solid"/>
                <w10:wrap type="none"/>
              </v:line>
            </w:pict>
          </mc:Fallback>
        </mc:AlternateContent>
      </w:r>
      <w:r>
        <w:rPr>
          <w:rFonts w:ascii="Arial MT"/>
          <w:spacing w:val="-10"/>
          <w:w w:val="115"/>
          <w:sz w:val="17"/>
        </w:rPr>
        <w:t>O</w:t>
      </w:r>
      <w:r>
        <w:rPr>
          <w:rFonts w:ascii="Arial MT"/>
          <w:sz w:val="17"/>
        </w:rPr>
        <w:tab/>
        <w:tab/>
      </w:r>
      <w:r>
        <w:rPr>
          <w:rFonts w:ascii="Arial MT"/>
          <w:spacing w:val="-6"/>
          <w:w w:val="115"/>
          <w:sz w:val="17"/>
        </w:rPr>
        <w:t>NH</w:t>
      </w:r>
      <w:r>
        <w:rPr>
          <w:rFonts w:ascii="Arial MT"/>
          <w:sz w:val="17"/>
        </w:rPr>
        <w:tab/>
      </w:r>
      <w:r>
        <w:rPr>
          <w:rFonts w:ascii="Arial MT"/>
          <w:spacing w:val="-4"/>
          <w:w w:val="115"/>
          <w:sz w:val="17"/>
        </w:rPr>
        <w:t>NH</w:t>
      </w:r>
      <w:r>
        <w:rPr>
          <w:rFonts w:ascii="Arial MT"/>
          <w:spacing w:val="-4"/>
          <w:w w:val="115"/>
          <w:position w:val="-3"/>
          <w:sz w:val="13"/>
        </w:rPr>
        <w:t>2</w:t>
      </w:r>
      <w:r>
        <w:rPr>
          <w:rFonts w:ascii="Arial MT"/>
          <w:spacing w:val="40"/>
          <w:w w:val="115"/>
          <w:position w:val="-3"/>
          <w:sz w:val="13"/>
        </w:rPr>
        <w:t> </w:t>
      </w:r>
      <w:r>
        <w:rPr>
          <w:rFonts w:ascii="Arial MT"/>
          <w:spacing w:val="-10"/>
          <w:w w:val="115"/>
          <w:sz w:val="17"/>
        </w:rPr>
        <w:t>C</w:t>
      </w:r>
    </w:p>
    <w:p>
      <w:pPr>
        <w:pStyle w:val="BodyText"/>
        <w:rPr>
          <w:rFonts w:ascii="Arial MT"/>
          <w:sz w:val="17"/>
        </w:rPr>
      </w:pPr>
    </w:p>
    <w:p>
      <w:pPr>
        <w:pStyle w:val="BodyText"/>
        <w:rPr>
          <w:rFonts w:ascii="Arial MT"/>
          <w:sz w:val="17"/>
        </w:rPr>
      </w:pPr>
    </w:p>
    <w:p>
      <w:pPr>
        <w:pStyle w:val="BodyText"/>
        <w:rPr>
          <w:rFonts w:ascii="Arial MT"/>
          <w:sz w:val="17"/>
        </w:rPr>
      </w:pPr>
    </w:p>
    <w:p>
      <w:pPr>
        <w:pStyle w:val="BodyText"/>
        <w:rPr>
          <w:rFonts w:ascii="Arial MT"/>
          <w:sz w:val="17"/>
        </w:rPr>
      </w:pPr>
    </w:p>
    <w:p>
      <w:pPr>
        <w:pStyle w:val="BodyText"/>
        <w:rPr>
          <w:rFonts w:ascii="Arial MT"/>
          <w:sz w:val="17"/>
        </w:rPr>
      </w:pPr>
    </w:p>
    <w:p>
      <w:pPr>
        <w:pStyle w:val="BodyText"/>
        <w:spacing w:before="108"/>
        <w:rPr>
          <w:rFonts w:ascii="Arial MT"/>
          <w:sz w:val="17"/>
        </w:rPr>
      </w:pPr>
    </w:p>
    <w:p>
      <w:pPr>
        <w:spacing w:line="180" w:lineRule="exact" w:before="0"/>
        <w:ind w:left="4806" w:right="0" w:firstLine="0"/>
        <w:jc w:val="left"/>
        <w:rPr>
          <w:rFonts w:ascii="Arial MT"/>
          <w:sz w:val="17"/>
        </w:rPr>
      </w:pPr>
      <w:r>
        <w:rPr>
          <w:rFonts w:ascii="Arial MT"/>
          <w:spacing w:val="-10"/>
          <w:w w:val="115"/>
          <w:sz w:val="17"/>
        </w:rPr>
        <w:t>N</w:t>
      </w:r>
    </w:p>
    <w:p>
      <w:pPr>
        <w:pStyle w:val="BodyText"/>
        <w:spacing w:line="260" w:lineRule="exact"/>
        <w:ind w:left="4861"/>
      </w:pPr>
      <w:r>
        <w:rPr>
          <w:spacing w:val="-5"/>
        </w:rPr>
        <w:t>(I)</w:t>
      </w:r>
    </w:p>
    <w:p>
      <w:pPr>
        <w:pStyle w:val="BodyText"/>
        <w:spacing w:before="248"/>
      </w:pPr>
    </w:p>
    <w:p>
      <w:pPr>
        <w:pStyle w:val="Heading3"/>
        <w:numPr>
          <w:ilvl w:val="2"/>
          <w:numId w:val="9"/>
        </w:numPr>
        <w:tabs>
          <w:tab w:pos="1740" w:val="left" w:leader="none"/>
        </w:tabs>
        <w:spacing w:line="240" w:lineRule="auto" w:before="0" w:after="0"/>
        <w:ind w:left="1740" w:right="0" w:hanging="540"/>
        <w:jc w:val="left"/>
      </w:pPr>
      <w:r>
        <w:rPr/>
        <w:t>Mechanism</w:t>
      </w:r>
      <w:r>
        <w:rPr>
          <w:spacing w:val="-6"/>
        </w:rPr>
        <w:t> </w:t>
      </w:r>
      <w:r>
        <w:rPr/>
        <w:t>of action</w:t>
      </w:r>
      <w:r>
        <w:rPr>
          <w:spacing w:val="1"/>
        </w:rPr>
        <w:t> </w:t>
      </w:r>
      <w:r>
        <w:rPr/>
        <w:t>of</w:t>
      </w:r>
      <w:r>
        <w:rPr>
          <w:spacing w:val="1"/>
        </w:rPr>
        <w:t> </w:t>
      </w:r>
      <w:r>
        <w:rPr>
          <w:spacing w:val="-2"/>
        </w:rPr>
        <w:t>isoniazid</w:t>
      </w:r>
    </w:p>
    <w:p>
      <w:pPr>
        <w:pStyle w:val="BodyText"/>
        <w:spacing w:before="232"/>
        <w:rPr>
          <w:b/>
        </w:rPr>
      </w:pPr>
    </w:p>
    <w:p>
      <w:pPr>
        <w:pStyle w:val="BodyText"/>
        <w:spacing w:line="480" w:lineRule="auto" w:before="1"/>
        <w:ind w:left="1200" w:right="1441"/>
        <w:jc w:val="both"/>
      </w:pPr>
      <w:r>
        <w:rPr/>
        <w:t>Isoniazid is bactericidal against metabolically active</w:t>
      </w:r>
      <w:r>
        <w:rPr>
          <w:spacing w:val="-2"/>
        </w:rPr>
        <w:t> </w:t>
      </w:r>
      <w:r>
        <w:rPr/>
        <w:t>(rapidly-dividing) bacilli and bacteriostatic against resting (slow-growing)</w:t>
      </w:r>
      <w:r>
        <w:rPr>
          <w:spacing w:val="-1"/>
        </w:rPr>
        <w:t> </w:t>
      </w:r>
      <w:r>
        <w:rPr/>
        <w:t>bacilli (BP, 2009). It inhibits biosynthesis of</w:t>
      </w:r>
      <w:r>
        <w:rPr>
          <w:spacing w:val="-1"/>
        </w:rPr>
        <w:t> </w:t>
      </w:r>
      <w:r>
        <w:rPr/>
        <w:t>mycolic acids which are essential components of the mycobacterial cell wall and also interferes with mycobacterial metabolism of vitamin B</w:t>
      </w:r>
      <w:r>
        <w:rPr>
          <w:vertAlign w:val="subscript"/>
        </w:rPr>
        <w:t>6</w:t>
      </w:r>
      <w:r>
        <w:rPr>
          <w:vertAlign w:val="baseline"/>
        </w:rPr>
        <w:t> (Kamel, 2008).</w:t>
      </w:r>
    </w:p>
    <w:p>
      <w:pPr>
        <w:pStyle w:val="BodyText"/>
      </w:pPr>
    </w:p>
    <w:p>
      <w:pPr>
        <w:pStyle w:val="BodyText"/>
      </w:pPr>
    </w:p>
    <w:p>
      <w:pPr>
        <w:pStyle w:val="BodyText"/>
        <w:spacing w:before="209"/>
      </w:pPr>
    </w:p>
    <w:p>
      <w:pPr>
        <w:pStyle w:val="Heading3"/>
        <w:numPr>
          <w:ilvl w:val="2"/>
          <w:numId w:val="9"/>
        </w:numPr>
        <w:tabs>
          <w:tab w:pos="1740" w:val="left" w:leader="none"/>
        </w:tabs>
        <w:spacing w:line="240" w:lineRule="auto" w:before="0" w:after="0"/>
        <w:ind w:left="1740" w:right="0" w:hanging="540"/>
        <w:jc w:val="left"/>
      </w:pPr>
      <w:bookmarkStart w:name="_TOC_250021" w:id="13"/>
      <w:r>
        <w:rPr/>
        <w:t>Uses</w:t>
      </w:r>
      <w:r>
        <w:rPr>
          <w:spacing w:val="-3"/>
        </w:rPr>
        <w:t> </w:t>
      </w:r>
      <w:r>
        <w:rPr/>
        <w:t>of </w:t>
      </w:r>
      <w:bookmarkEnd w:id="13"/>
      <w:r>
        <w:rPr>
          <w:spacing w:val="-2"/>
        </w:rPr>
        <w:t>isoniazid</w:t>
      </w:r>
    </w:p>
    <w:p>
      <w:pPr>
        <w:spacing w:after="0" w:line="240" w:lineRule="auto"/>
        <w:jc w:val="left"/>
        <w:sectPr>
          <w:pgSz w:w="12240" w:h="15840"/>
          <w:pgMar w:header="0" w:footer="1015" w:top="1360" w:bottom="1200" w:left="240" w:right="0"/>
        </w:sectPr>
      </w:pPr>
    </w:p>
    <w:p>
      <w:pPr>
        <w:pStyle w:val="BodyText"/>
        <w:spacing w:line="480" w:lineRule="auto" w:before="72"/>
        <w:ind w:left="1200" w:right="1438"/>
        <w:jc w:val="both"/>
      </w:pPr>
      <w:r>
        <w:rPr/>
        <w:t>Isoniazid is the</w:t>
      </w:r>
      <w:r>
        <w:rPr>
          <w:spacing w:val="-1"/>
        </w:rPr>
        <w:t> </w:t>
      </w:r>
      <w:r>
        <w:rPr/>
        <w:t>drug</w:t>
      </w:r>
      <w:r>
        <w:rPr>
          <w:spacing w:val="-3"/>
        </w:rPr>
        <w:t> </w:t>
      </w:r>
      <w:r>
        <w:rPr/>
        <w:t>of</w:t>
      </w:r>
      <w:r>
        <w:rPr>
          <w:spacing w:val="-1"/>
        </w:rPr>
        <w:t> </w:t>
      </w:r>
      <w:r>
        <w:rPr/>
        <w:t>choice</w:t>
      </w:r>
      <w:r>
        <w:rPr>
          <w:spacing w:val="-2"/>
        </w:rPr>
        <w:t> </w:t>
      </w:r>
      <w:r>
        <w:rPr/>
        <w:t>in the</w:t>
      </w:r>
      <w:r>
        <w:rPr>
          <w:spacing w:val="-1"/>
        </w:rPr>
        <w:t> </w:t>
      </w:r>
      <w:r>
        <w:rPr/>
        <w:t>treatment of</w:t>
      </w:r>
      <w:r>
        <w:rPr>
          <w:spacing w:val="-1"/>
        </w:rPr>
        <w:t> </w:t>
      </w:r>
      <w:r>
        <w:rPr/>
        <w:t>pulmonary</w:t>
      </w:r>
      <w:r>
        <w:rPr>
          <w:spacing w:val="-5"/>
        </w:rPr>
        <w:t> </w:t>
      </w:r>
      <w:r>
        <w:rPr/>
        <w:t>and extra</w:t>
      </w:r>
      <w:r>
        <w:rPr>
          <w:spacing w:val="-2"/>
        </w:rPr>
        <w:t> </w:t>
      </w:r>
      <w:r>
        <w:rPr/>
        <w:t>pulmonary</w:t>
      </w:r>
      <w:r>
        <w:rPr>
          <w:spacing w:val="-5"/>
        </w:rPr>
        <w:t> </w:t>
      </w:r>
      <w:r>
        <w:rPr/>
        <w:t>tuberculosis in combination with other anti-tuberculosis drugs like rifampicin, ethambutol, streptomycin and pyrazinamide to avoid development of resistance. It is also used in combination treatment of leprosy with Dapson (Watson, 2005).</w:t>
      </w:r>
    </w:p>
    <w:p>
      <w:pPr>
        <w:pStyle w:val="Heading3"/>
        <w:numPr>
          <w:ilvl w:val="1"/>
          <w:numId w:val="9"/>
        </w:numPr>
        <w:tabs>
          <w:tab w:pos="4676" w:val="left" w:leader="none"/>
        </w:tabs>
        <w:spacing w:line="240" w:lineRule="auto" w:before="204" w:after="0"/>
        <w:ind w:left="4676" w:right="0" w:hanging="360"/>
        <w:jc w:val="both"/>
      </w:pPr>
      <w:r>
        <w:rPr/>
        <w:t>Chemistry</w:t>
      </w:r>
      <w:r>
        <w:rPr>
          <w:spacing w:val="-2"/>
        </w:rPr>
        <w:t> </w:t>
      </w:r>
      <w:r>
        <w:rPr/>
        <w:t>of</w:t>
      </w:r>
      <w:r>
        <w:rPr>
          <w:spacing w:val="-1"/>
        </w:rPr>
        <w:t> </w:t>
      </w:r>
      <w:r>
        <w:rPr/>
        <w:t>Schiff</w:t>
      </w:r>
      <w:r>
        <w:rPr>
          <w:vertAlign w:val="superscript"/>
        </w:rPr>
        <w:t>,</w:t>
      </w:r>
      <w:r>
        <w:rPr>
          <w:vertAlign w:val="baseline"/>
        </w:rPr>
        <w:t>s</w:t>
      </w:r>
      <w:r>
        <w:rPr>
          <w:spacing w:val="-1"/>
          <w:vertAlign w:val="baseline"/>
        </w:rPr>
        <w:t> </w:t>
      </w:r>
      <w:r>
        <w:rPr>
          <w:spacing w:val="-2"/>
          <w:vertAlign w:val="baseline"/>
        </w:rPr>
        <w:t>Bases</w:t>
      </w:r>
    </w:p>
    <w:p>
      <w:pPr>
        <w:pStyle w:val="BodyText"/>
        <w:spacing w:line="480" w:lineRule="auto" w:before="156"/>
        <w:ind w:left="1200" w:right="1434"/>
        <w:jc w:val="both"/>
      </w:pPr>
      <w:r>
        <w:rPr/>
        <w:t>Hugo (Ugo) Schiff, a German chemist was the first to discover Schiff bases and other imines. Schiff bases are compounds containing an azomethazine group (-CH=N-) formed by condensation of a primary amine with a carbonyl compound (equation 2.1).</w:t>
      </w:r>
    </w:p>
    <w:p>
      <w:pPr>
        <w:pStyle w:val="BodyText"/>
        <w:tabs>
          <w:tab w:pos="7745" w:val="left" w:leader="dot"/>
        </w:tabs>
        <w:spacing w:before="162"/>
        <w:ind w:left="2830"/>
      </w:pPr>
      <w:r>
        <w:rPr/>
        <w:t>R-CHO</w:t>
      </w:r>
      <w:r>
        <w:rPr>
          <w:spacing w:val="-2"/>
        </w:rPr>
        <w:t> </w:t>
      </w:r>
      <w:r>
        <w:rPr/>
        <w:t>+</w:t>
      </w:r>
      <w:r>
        <w:rPr>
          <w:spacing w:val="-1"/>
        </w:rPr>
        <w:t> </w:t>
      </w:r>
      <w:r>
        <w:rPr/>
        <w:t>H</w:t>
      </w:r>
      <w:r>
        <w:rPr>
          <w:vertAlign w:val="subscript"/>
        </w:rPr>
        <w:t>2</w:t>
      </w:r>
      <w:r>
        <w:rPr>
          <w:vertAlign w:val="baseline"/>
        </w:rPr>
        <w:t>NR → RCH=NR +</w:t>
      </w:r>
      <w:r>
        <w:rPr>
          <w:spacing w:val="-2"/>
          <w:vertAlign w:val="baseline"/>
        </w:rPr>
        <w:t> </w:t>
      </w:r>
      <w:r>
        <w:rPr>
          <w:spacing w:val="-5"/>
          <w:vertAlign w:val="baseline"/>
        </w:rPr>
        <w:t>H</w:t>
      </w:r>
      <w:r>
        <w:rPr>
          <w:spacing w:val="-5"/>
          <w:vertAlign w:val="subscript"/>
        </w:rPr>
        <w:t>2</w:t>
      </w:r>
      <w:r>
        <w:rPr>
          <w:spacing w:val="-5"/>
          <w:vertAlign w:val="baseline"/>
        </w:rPr>
        <w:t>O</w:t>
      </w:r>
      <w:r>
        <w:rPr>
          <w:vertAlign w:val="baseline"/>
        </w:rPr>
        <w:tab/>
        <w:t>equation</w:t>
      </w:r>
      <w:r>
        <w:rPr>
          <w:spacing w:val="-4"/>
          <w:vertAlign w:val="baseline"/>
        </w:rPr>
        <w:t> </w:t>
      </w:r>
      <w:r>
        <w:rPr>
          <w:spacing w:val="-5"/>
          <w:vertAlign w:val="baseline"/>
        </w:rPr>
        <w:t>2.1</w:t>
      </w:r>
    </w:p>
    <w:p>
      <w:pPr>
        <w:pStyle w:val="BodyText"/>
        <w:spacing w:before="158"/>
        <w:ind w:left="1200"/>
        <w:jc w:val="both"/>
      </w:pPr>
      <w:r>
        <w:rPr/>
        <w:t>Where</w:t>
      </w:r>
      <w:r>
        <w:rPr>
          <w:spacing w:val="-3"/>
        </w:rPr>
        <w:t> </w:t>
      </w:r>
      <w:r>
        <w:rPr/>
        <w:t>R =</w:t>
      </w:r>
      <w:r>
        <w:rPr>
          <w:spacing w:val="-2"/>
        </w:rPr>
        <w:t> </w:t>
      </w:r>
      <w:r>
        <w:rPr/>
        <w:t>an aliphatic</w:t>
      </w:r>
      <w:r>
        <w:rPr>
          <w:spacing w:val="-2"/>
        </w:rPr>
        <w:t> </w:t>
      </w:r>
      <w:r>
        <w:rPr/>
        <w:t>or an</w:t>
      </w:r>
      <w:r>
        <w:rPr>
          <w:spacing w:val="-1"/>
        </w:rPr>
        <w:t> </w:t>
      </w:r>
      <w:r>
        <w:rPr/>
        <w:t>aromatic</w:t>
      </w:r>
      <w:r>
        <w:rPr>
          <w:spacing w:val="1"/>
        </w:rPr>
        <w:t> </w:t>
      </w:r>
      <w:r>
        <w:rPr>
          <w:spacing w:val="-2"/>
        </w:rPr>
        <w:t>group.</w:t>
      </w:r>
    </w:p>
    <w:p>
      <w:pPr>
        <w:pStyle w:val="BodyText"/>
        <w:spacing w:before="161"/>
      </w:pPr>
    </w:p>
    <w:p>
      <w:pPr>
        <w:pStyle w:val="BodyText"/>
        <w:spacing w:line="480" w:lineRule="auto"/>
        <w:ind w:left="1200" w:right="1435"/>
        <w:jc w:val="both"/>
      </w:pPr>
      <w:r>
        <w:rPr/>
        <w:t>Schiff bases of aliphatic aldehydes are relatively unstable and readily polymerize while those of aromatic aldehydes, having an effective conjugation system, are more stable (Kumar, 2010). Condensation of amines with aldehydes and ketones has numerous applications which include preparative use, identification, detection and determination of aldehydes or ketones, purification of carbonyl or amino compounds and protection of these groups during complex action or sensitive reactions (Kumar, 2010). Schiff bases are important intermediates in a number of enzymatic reactions involving interaction of an enzyme with an amino or carbonyl group of the substrate (Kumar, 2010). One of the most prevalent types of catalytic mechanisms in</w:t>
      </w:r>
      <w:r>
        <w:rPr>
          <w:spacing w:val="40"/>
        </w:rPr>
        <w:t> </w:t>
      </w:r>
      <w:r>
        <w:rPr/>
        <w:t>biochemical processes involves condensation of primary amine in an enzyme, usually that of lysine residue, with a carbonyl group of the substrate to form imine or Schiff bases (Kumar, </w:t>
      </w:r>
      <w:r>
        <w:rPr>
          <w:spacing w:val="-2"/>
        </w:rPr>
        <w:t>2010).</w:t>
      </w:r>
    </w:p>
    <w:p>
      <w:pPr>
        <w:pStyle w:val="BodyText"/>
        <w:spacing w:line="480" w:lineRule="auto" w:before="209"/>
        <w:ind w:left="1200" w:right="1442"/>
        <w:jc w:val="both"/>
      </w:pPr>
      <w:r>
        <w:rPr/>
        <w:t>Stereochemical investigations carried out with the aid of molecular models showed that Schiff bases</w:t>
      </w:r>
      <w:r>
        <w:rPr>
          <w:spacing w:val="11"/>
        </w:rPr>
        <w:t> </w:t>
      </w:r>
      <w:r>
        <w:rPr/>
        <w:t>formed</w:t>
      </w:r>
      <w:r>
        <w:rPr>
          <w:spacing w:val="13"/>
        </w:rPr>
        <w:t> </w:t>
      </w:r>
      <w:r>
        <w:rPr/>
        <w:t>between</w:t>
      </w:r>
      <w:r>
        <w:rPr>
          <w:spacing w:val="13"/>
        </w:rPr>
        <w:t> </w:t>
      </w:r>
      <w:r>
        <w:rPr/>
        <w:t>methylglyoxal</w:t>
      </w:r>
      <w:r>
        <w:rPr>
          <w:spacing w:val="14"/>
        </w:rPr>
        <w:t> </w:t>
      </w:r>
      <w:r>
        <w:rPr/>
        <w:t>and</w:t>
      </w:r>
      <w:r>
        <w:rPr>
          <w:spacing w:val="13"/>
        </w:rPr>
        <w:t> </w:t>
      </w:r>
      <w:r>
        <w:rPr/>
        <w:t>the</w:t>
      </w:r>
      <w:r>
        <w:rPr>
          <w:spacing w:val="13"/>
        </w:rPr>
        <w:t> </w:t>
      </w:r>
      <w:r>
        <w:rPr/>
        <w:t>amine</w:t>
      </w:r>
      <w:r>
        <w:rPr>
          <w:spacing w:val="13"/>
        </w:rPr>
        <w:t> </w:t>
      </w:r>
      <w:r>
        <w:rPr/>
        <w:t>groups</w:t>
      </w:r>
      <w:r>
        <w:rPr>
          <w:spacing w:val="13"/>
        </w:rPr>
        <w:t> </w:t>
      </w:r>
      <w:r>
        <w:rPr/>
        <w:t>of</w:t>
      </w:r>
      <w:r>
        <w:rPr>
          <w:spacing w:val="13"/>
        </w:rPr>
        <w:t> </w:t>
      </w:r>
      <w:r>
        <w:rPr/>
        <w:t>the</w:t>
      </w:r>
      <w:r>
        <w:rPr>
          <w:spacing w:val="12"/>
        </w:rPr>
        <w:t> </w:t>
      </w:r>
      <w:r>
        <w:rPr/>
        <w:t>lysine</w:t>
      </w:r>
      <w:r>
        <w:rPr>
          <w:spacing w:val="13"/>
        </w:rPr>
        <w:t> </w:t>
      </w:r>
      <w:r>
        <w:rPr/>
        <w:t>side</w:t>
      </w:r>
      <w:r>
        <w:rPr>
          <w:spacing w:val="12"/>
        </w:rPr>
        <w:t> </w:t>
      </w:r>
      <w:r>
        <w:rPr/>
        <w:t>chains</w:t>
      </w:r>
      <w:r>
        <w:rPr>
          <w:spacing w:val="14"/>
        </w:rPr>
        <w:t> </w:t>
      </w:r>
      <w:r>
        <w:rPr/>
        <w:t>of</w:t>
      </w:r>
      <w:r>
        <w:rPr>
          <w:spacing w:val="13"/>
        </w:rPr>
        <w:t> </w:t>
      </w:r>
      <w:r>
        <w:rPr>
          <w:spacing w:val="-2"/>
        </w:rPr>
        <w:t>proteins</w:t>
      </w:r>
    </w:p>
    <w:p>
      <w:pPr>
        <w:spacing w:after="0" w:line="480" w:lineRule="auto"/>
        <w:jc w:val="both"/>
        <w:sectPr>
          <w:pgSz w:w="12240" w:h="15840"/>
          <w:pgMar w:header="0" w:footer="1015" w:top="1360" w:bottom="1200" w:left="240" w:right="0"/>
        </w:sectPr>
      </w:pPr>
    </w:p>
    <w:p>
      <w:pPr>
        <w:pStyle w:val="BodyText"/>
        <w:spacing w:line="482" w:lineRule="auto" w:before="72"/>
        <w:ind w:left="1200" w:right="1438"/>
        <w:jc w:val="both"/>
      </w:pPr>
      <w:r>
        <w:rPr/>
        <w:t>can bend back in such a way towards the nitrogen atoms of the peptide groups that a charge transfer can occur between these groups and the oxygen atoms of the Schiff bases. (Kumar, </w:t>
      </w:r>
      <w:r>
        <w:rPr>
          <w:spacing w:val="-2"/>
        </w:rPr>
        <w:t>2010).</w:t>
      </w:r>
    </w:p>
    <w:p>
      <w:pPr>
        <w:pStyle w:val="BodyText"/>
        <w:spacing w:line="480" w:lineRule="auto" w:before="232"/>
        <w:ind w:left="1200" w:right="1437"/>
        <w:jc w:val="both"/>
      </w:pPr>
      <w:r>
        <w:rPr/>
        <w:t>Certain polymeric Schiff bases have been reported to possess antitumor activity (Mukamel, 2000). These Schiff bases have the highest degree of hydrolysis at pH 5 and the solubility in water is also highest at this pH. Theirantitumor activity considerablyincreases with a slight increase in water solubility</w:t>
      </w:r>
      <w:r>
        <w:rPr>
          <w:spacing w:val="-7"/>
        </w:rPr>
        <w:t> </w:t>
      </w:r>
      <w:r>
        <w:rPr/>
        <w:t>(Paula and Julio, 2009). Another important role of Schiff base structure is in transamination, the transaminases appear to have the prosthetic group i.e.</w:t>
      </w:r>
      <w:r>
        <w:rPr>
          <w:spacing w:val="40"/>
        </w:rPr>
        <w:t> </w:t>
      </w:r>
      <w:r>
        <w:rPr/>
        <w:t>pyridoxal phosphate which is none covalently linked to the enzyme protein (Kumar, 2010).</w:t>
      </w:r>
    </w:p>
    <w:p>
      <w:pPr>
        <w:pStyle w:val="Heading3"/>
        <w:numPr>
          <w:ilvl w:val="1"/>
          <w:numId w:val="10"/>
        </w:numPr>
        <w:tabs>
          <w:tab w:pos="4856" w:val="left" w:leader="none"/>
        </w:tabs>
        <w:spacing w:line="240" w:lineRule="auto" w:before="246" w:after="0"/>
        <w:ind w:left="4856" w:right="0" w:hanging="360"/>
        <w:jc w:val="both"/>
      </w:pPr>
      <w:bookmarkStart w:name="_TOC_250020" w:id="14"/>
      <w:r>
        <w:rPr/>
        <w:t>Chemistry</w:t>
      </w:r>
      <w:r>
        <w:rPr>
          <w:spacing w:val="-2"/>
        </w:rPr>
        <w:t> </w:t>
      </w:r>
      <w:r>
        <w:rPr/>
        <w:t>of</w:t>
      </w:r>
      <w:r>
        <w:rPr>
          <w:spacing w:val="-1"/>
        </w:rPr>
        <w:t> </w:t>
      </w:r>
      <w:r>
        <w:rPr/>
        <w:t>Diazo</w:t>
      </w:r>
      <w:r>
        <w:rPr>
          <w:spacing w:val="1"/>
        </w:rPr>
        <w:t> </w:t>
      </w:r>
      <w:bookmarkEnd w:id="14"/>
      <w:r>
        <w:rPr>
          <w:spacing w:val="-5"/>
        </w:rPr>
        <w:t>dye</w:t>
      </w:r>
    </w:p>
    <w:p>
      <w:pPr>
        <w:pStyle w:val="BodyText"/>
        <w:spacing w:before="235"/>
        <w:rPr>
          <w:b/>
        </w:rPr>
      </w:pPr>
    </w:p>
    <w:p>
      <w:pPr>
        <w:pStyle w:val="BodyText"/>
        <w:spacing w:line="480" w:lineRule="auto"/>
        <w:ind w:left="1200" w:right="1433"/>
        <w:jc w:val="both"/>
      </w:pPr>
      <w:r>
        <w:rPr/>
        <w:t>Aromatic amines when treated with nitrous acid in cold mineral acid solution yield very important</w:t>
      </w:r>
      <w:r>
        <w:rPr>
          <w:spacing w:val="-1"/>
        </w:rPr>
        <w:t> </w:t>
      </w:r>
      <w:r>
        <w:rPr/>
        <w:t>class</w:t>
      </w:r>
      <w:r>
        <w:rPr>
          <w:spacing w:val="-1"/>
        </w:rPr>
        <w:t> </w:t>
      </w:r>
      <w:r>
        <w:rPr/>
        <w:t>of</w:t>
      </w:r>
      <w:r>
        <w:rPr>
          <w:spacing w:val="-2"/>
        </w:rPr>
        <w:t> </w:t>
      </w:r>
      <w:r>
        <w:rPr/>
        <w:t>compounds</w:t>
      </w:r>
      <w:r>
        <w:rPr>
          <w:spacing w:val="-1"/>
        </w:rPr>
        <w:t> </w:t>
      </w:r>
      <w:r>
        <w:rPr/>
        <w:t>known</w:t>
      </w:r>
      <w:r>
        <w:rPr>
          <w:spacing w:val="-2"/>
        </w:rPr>
        <w:t> </w:t>
      </w:r>
      <w:r>
        <w:rPr/>
        <w:t>as</w:t>
      </w:r>
      <w:r>
        <w:rPr>
          <w:spacing w:val="-1"/>
        </w:rPr>
        <w:t> </w:t>
      </w:r>
      <w:r>
        <w:rPr/>
        <w:t>aryl</w:t>
      </w:r>
      <w:r>
        <w:rPr>
          <w:spacing w:val="-1"/>
        </w:rPr>
        <w:t> </w:t>
      </w:r>
      <w:r>
        <w:rPr/>
        <w:t>diazonium</w:t>
      </w:r>
      <w:r>
        <w:rPr>
          <w:spacing w:val="-1"/>
        </w:rPr>
        <w:t> </w:t>
      </w:r>
      <w:r>
        <w:rPr/>
        <w:t>salts</w:t>
      </w:r>
      <w:r>
        <w:rPr>
          <w:spacing w:val="-1"/>
        </w:rPr>
        <w:t> </w:t>
      </w:r>
      <w:r>
        <w:rPr/>
        <w:t>example,</w:t>
      </w:r>
      <w:r>
        <w:rPr>
          <w:spacing w:val="-1"/>
        </w:rPr>
        <w:t> </w:t>
      </w:r>
      <w:r>
        <w:rPr/>
        <w:t>aniline</w:t>
      </w:r>
      <w:r>
        <w:rPr>
          <w:spacing w:val="-2"/>
        </w:rPr>
        <w:t> </w:t>
      </w:r>
      <w:r>
        <w:rPr/>
        <w:t>reacts</w:t>
      </w:r>
      <w:r>
        <w:rPr>
          <w:spacing w:val="-1"/>
        </w:rPr>
        <w:t> </w:t>
      </w:r>
      <w:r>
        <w:rPr/>
        <w:t>with</w:t>
      </w:r>
      <w:r>
        <w:rPr>
          <w:spacing w:val="-1"/>
        </w:rPr>
        <w:t> </w:t>
      </w:r>
      <w:r>
        <w:rPr/>
        <w:t>nitrous acid in hydrochloric acid solution at 0-5°C to form a solution of benzenediazonium chloride (John Peter </w:t>
      </w:r>
      <w:r>
        <w:rPr>
          <w:i/>
        </w:rPr>
        <w:t>et al., </w:t>
      </w:r>
      <w:r>
        <w:rPr/>
        <w:t>1858).</w:t>
      </w:r>
    </w:p>
    <w:p>
      <w:pPr>
        <w:pStyle w:val="BodyText"/>
        <w:spacing w:before="127"/>
        <w:rPr>
          <w:sz w:val="13"/>
        </w:rPr>
      </w:pPr>
    </w:p>
    <w:p>
      <w:pPr>
        <w:tabs>
          <w:tab w:pos="5617" w:val="left" w:leader="none"/>
        </w:tabs>
        <w:spacing w:before="1"/>
        <w:ind w:left="2216" w:right="0" w:firstLine="0"/>
        <w:jc w:val="left"/>
        <w:rPr>
          <w:rFonts w:ascii="Arial MT"/>
          <w:sz w:val="13"/>
        </w:rPr>
      </w:pPr>
      <w:r>
        <w:rPr/>
        <mc:AlternateContent>
          <mc:Choice Requires="wps">
            <w:drawing>
              <wp:anchor distT="0" distB="0" distL="0" distR="0" allowOverlap="1" layoutInCell="1" locked="0" behindDoc="0" simplePos="0" relativeHeight="15730688">
                <wp:simplePos x="0" y="0"/>
                <wp:positionH relativeFrom="page">
                  <wp:posOffset>1384489</wp:posOffset>
                </wp:positionH>
                <wp:positionV relativeFrom="paragraph">
                  <wp:posOffset>95227</wp:posOffset>
                </wp:positionV>
                <wp:extent cx="411480" cy="65278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11480" cy="652780"/>
                        </a:xfrm>
                        <a:custGeom>
                          <a:avLst/>
                          <a:gdLst/>
                          <a:ahLst/>
                          <a:cxnLst/>
                          <a:rect l="l" t="t" r="r" b="b"/>
                          <a:pathLst>
                            <a:path w="411480" h="652780">
                              <a:moveTo>
                                <a:pt x="0" y="301373"/>
                              </a:moveTo>
                              <a:lnTo>
                                <a:pt x="0" y="535150"/>
                              </a:lnTo>
                            </a:path>
                            <a:path w="411480" h="652780">
                              <a:moveTo>
                                <a:pt x="29173" y="318183"/>
                              </a:moveTo>
                              <a:lnTo>
                                <a:pt x="29173" y="518340"/>
                              </a:lnTo>
                            </a:path>
                            <a:path w="411480" h="652780">
                              <a:moveTo>
                                <a:pt x="0" y="535150"/>
                              </a:moveTo>
                              <a:lnTo>
                                <a:pt x="206508" y="652534"/>
                              </a:lnTo>
                            </a:path>
                            <a:path w="411480" h="652780">
                              <a:moveTo>
                                <a:pt x="206508" y="652534"/>
                              </a:moveTo>
                              <a:lnTo>
                                <a:pt x="411363" y="535150"/>
                              </a:lnTo>
                            </a:path>
                            <a:path w="411480" h="652780">
                              <a:moveTo>
                                <a:pt x="206508" y="619552"/>
                              </a:moveTo>
                              <a:lnTo>
                                <a:pt x="382187" y="518340"/>
                              </a:lnTo>
                            </a:path>
                            <a:path w="411480" h="652780">
                              <a:moveTo>
                                <a:pt x="411363" y="535150"/>
                              </a:moveTo>
                              <a:lnTo>
                                <a:pt x="411363" y="301373"/>
                              </a:lnTo>
                            </a:path>
                            <a:path w="411480" h="652780">
                              <a:moveTo>
                                <a:pt x="411363" y="301373"/>
                              </a:moveTo>
                              <a:lnTo>
                                <a:pt x="206508" y="185610"/>
                              </a:lnTo>
                            </a:path>
                            <a:path w="411480" h="652780">
                              <a:moveTo>
                                <a:pt x="382187" y="318183"/>
                              </a:moveTo>
                              <a:lnTo>
                                <a:pt x="206508" y="216980"/>
                              </a:lnTo>
                            </a:path>
                            <a:path w="411480" h="652780">
                              <a:moveTo>
                                <a:pt x="206508" y="185610"/>
                              </a:moveTo>
                              <a:lnTo>
                                <a:pt x="0" y="301373"/>
                              </a:lnTo>
                            </a:path>
                            <a:path w="411480" h="652780">
                              <a:moveTo>
                                <a:pt x="206508" y="185610"/>
                              </a:moveTo>
                              <a:lnTo>
                                <a:pt x="206508" y="0"/>
                              </a:lnTo>
                            </a:path>
                          </a:pathLst>
                        </a:custGeom>
                        <a:ln w="91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9.014954pt;margin-top:7.498222pt;width:32.4pt;height:51.4pt;mso-position-horizontal-relative:page;mso-position-vertical-relative:paragraph;z-index:15730688" id="docshape5" coordorigin="2180,150" coordsize="648,1028" path="m2180,625l2180,993m2226,651l2226,966m2180,993l2506,1178m2506,1178l2828,993m2506,1126l2782,966m2828,993l2828,625m2828,625l2506,442m2782,651l2506,492m2506,442l2180,625m2506,442l2506,150e" filled="false" stroked="true" strokeweight=".718534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31200">
                <wp:simplePos x="0" y="0"/>
                <wp:positionH relativeFrom="page">
                  <wp:posOffset>3056445</wp:posOffset>
                </wp:positionH>
                <wp:positionV relativeFrom="paragraph">
                  <wp:posOffset>105903</wp:posOffset>
                </wp:positionV>
                <wp:extent cx="902335" cy="65722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902335" cy="657225"/>
                          <a:chExt cx="902335" cy="657225"/>
                        </a:xfrm>
                      </wpg:grpSpPr>
                      <wps:wsp>
                        <wps:cNvPr id="9" name="Graphic 9"/>
                        <wps:cNvSpPr/>
                        <wps:spPr>
                          <a:xfrm>
                            <a:off x="389761" y="338877"/>
                            <a:ext cx="84455" cy="44450"/>
                          </a:xfrm>
                          <a:custGeom>
                            <a:avLst/>
                            <a:gdLst/>
                            <a:ahLst/>
                            <a:cxnLst/>
                            <a:rect l="l" t="t" r="r" b="b"/>
                            <a:pathLst>
                              <a:path w="84455" h="44450">
                                <a:moveTo>
                                  <a:pt x="0" y="0"/>
                                </a:moveTo>
                                <a:lnTo>
                                  <a:pt x="10786" y="22628"/>
                                </a:lnTo>
                                <a:lnTo>
                                  <a:pt x="0" y="43967"/>
                                </a:lnTo>
                                <a:lnTo>
                                  <a:pt x="83891" y="22628"/>
                                </a:lnTo>
                                <a:lnTo>
                                  <a:pt x="0"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7723" y="364902"/>
                            <a:ext cx="394970" cy="1270"/>
                          </a:xfrm>
                          <a:custGeom>
                            <a:avLst/>
                            <a:gdLst/>
                            <a:ahLst/>
                            <a:cxnLst/>
                            <a:rect l="l" t="t" r="r" b="b"/>
                            <a:pathLst>
                              <a:path w="394970" h="0">
                                <a:moveTo>
                                  <a:pt x="394421" y="0"/>
                                </a:moveTo>
                                <a:lnTo>
                                  <a:pt x="0" y="0"/>
                                </a:lnTo>
                              </a:path>
                            </a:pathLst>
                          </a:custGeom>
                          <a:ln w="1842">
                            <a:solidFill>
                              <a:srgbClr val="000000"/>
                            </a:solidFill>
                            <a:prstDash val="solid"/>
                          </a:ln>
                        </wps:spPr>
                        <wps:bodyPr wrap="square" lIns="0" tIns="0" rIns="0" bIns="0" rtlCol="0">
                          <a:prstTxWarp prst="textNoShape">
                            <a:avLst/>
                          </a:prstTxWarp>
                          <a:noAutofit/>
                        </wps:bodyPr>
                      </wps:wsp>
                      <wps:wsp>
                        <wps:cNvPr id="11" name="Graphic 11"/>
                        <wps:cNvSpPr/>
                        <wps:spPr>
                          <a:xfrm>
                            <a:off x="0" y="356980"/>
                            <a:ext cx="400685" cy="9525"/>
                          </a:xfrm>
                          <a:custGeom>
                            <a:avLst/>
                            <a:gdLst/>
                            <a:ahLst/>
                            <a:cxnLst/>
                            <a:rect l="l" t="t" r="r" b="b"/>
                            <a:pathLst>
                              <a:path w="400685" h="9525">
                                <a:moveTo>
                                  <a:pt x="400547" y="0"/>
                                </a:moveTo>
                                <a:lnTo>
                                  <a:pt x="0" y="0"/>
                                </a:lnTo>
                                <a:lnTo>
                                  <a:pt x="0" y="9053"/>
                                </a:lnTo>
                                <a:lnTo>
                                  <a:pt x="400547" y="9053"/>
                                </a:lnTo>
                                <a:lnTo>
                                  <a:pt x="400547"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487501" y="0"/>
                            <a:ext cx="410209" cy="652780"/>
                          </a:xfrm>
                          <a:custGeom>
                            <a:avLst/>
                            <a:gdLst/>
                            <a:ahLst/>
                            <a:cxnLst/>
                            <a:rect l="l" t="t" r="r" b="b"/>
                            <a:pathLst>
                              <a:path w="410209" h="652780">
                                <a:moveTo>
                                  <a:pt x="0" y="302979"/>
                                </a:moveTo>
                                <a:lnTo>
                                  <a:pt x="0" y="536440"/>
                                </a:lnTo>
                              </a:path>
                              <a:path w="410209" h="652780">
                                <a:moveTo>
                                  <a:pt x="29162" y="319473"/>
                                </a:moveTo>
                                <a:lnTo>
                                  <a:pt x="29162" y="519959"/>
                                </a:lnTo>
                              </a:path>
                              <a:path w="410209" h="652780">
                                <a:moveTo>
                                  <a:pt x="0" y="536440"/>
                                </a:moveTo>
                                <a:lnTo>
                                  <a:pt x="204801" y="652528"/>
                                </a:lnTo>
                              </a:path>
                              <a:path w="410209" h="652780">
                                <a:moveTo>
                                  <a:pt x="204801" y="652528"/>
                                </a:moveTo>
                                <a:lnTo>
                                  <a:pt x="409735" y="536440"/>
                                </a:lnTo>
                              </a:path>
                              <a:path w="410209" h="652780">
                                <a:moveTo>
                                  <a:pt x="204801" y="620839"/>
                                </a:moveTo>
                                <a:lnTo>
                                  <a:pt x="382171" y="519959"/>
                                </a:lnTo>
                              </a:path>
                              <a:path w="410209" h="652780">
                                <a:moveTo>
                                  <a:pt x="409735" y="536440"/>
                                </a:moveTo>
                                <a:lnTo>
                                  <a:pt x="409735" y="302979"/>
                                </a:lnTo>
                              </a:path>
                              <a:path w="410209" h="652780">
                                <a:moveTo>
                                  <a:pt x="409735" y="302979"/>
                                </a:moveTo>
                                <a:lnTo>
                                  <a:pt x="204801" y="186900"/>
                                </a:lnTo>
                              </a:path>
                              <a:path w="410209" h="652780">
                                <a:moveTo>
                                  <a:pt x="382171" y="319473"/>
                                </a:moveTo>
                                <a:lnTo>
                                  <a:pt x="204801" y="218586"/>
                                </a:lnTo>
                              </a:path>
                              <a:path w="410209" h="652780">
                                <a:moveTo>
                                  <a:pt x="204801" y="186900"/>
                                </a:moveTo>
                                <a:lnTo>
                                  <a:pt x="0" y="302979"/>
                                </a:lnTo>
                              </a:path>
                              <a:path w="410209" h="652780">
                                <a:moveTo>
                                  <a:pt x="204801" y="186900"/>
                                </a:moveTo>
                                <a:lnTo>
                                  <a:pt x="204801" y="0"/>
                                </a:lnTo>
                              </a:path>
                            </a:pathLst>
                          </a:custGeom>
                          <a:ln w="91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664963pt;margin-top:8.338844pt;width:71.05pt;height:51.75pt;mso-position-horizontal-relative:page;mso-position-vertical-relative:paragraph;z-index:15731200" id="docshapegroup6" coordorigin="4813,167" coordsize="1421,1035">
                <v:shape style="position:absolute;left:5427;top:700;width:133;height:70" id="docshape7" coordorigin="5427,700" coordsize="133,70" path="m5427,700l5444,736,5427,770,5559,736,5427,700xe" filled="true" fillcolor="#000000" stroked="false">
                  <v:path arrowok="t"/>
                  <v:fill type="solid"/>
                </v:shape>
                <v:line style="position:absolute" from="5447,741" to="4825,741" stroked="true" strokeweight=".145114pt" strokecolor="#000000">
                  <v:stroke dashstyle="solid"/>
                </v:line>
                <v:rect style="position:absolute;left:4813;top:728;width:631;height:15" id="docshape8" filled="true" fillcolor="#000000" stroked="false">
                  <v:fill type="solid"/>
                </v:rect>
                <v:shape style="position:absolute;left:5581;top:166;width:646;height:1028" id="docshape9" coordorigin="5581,167" coordsize="646,1028" path="m5581,644l5581,1012m5627,670l5627,986m5581,1012l5904,1194m5904,1194l6226,1012m5904,1144l6183,986m6226,1012l6226,644m6226,644l5904,461m6183,670l5904,511m5904,461l5581,644m5904,461l5904,167e" filled="false" stroked="true" strokeweight=".718534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4990464">
                <wp:simplePos x="0" y="0"/>
                <wp:positionH relativeFrom="page">
                  <wp:posOffset>3733433</wp:posOffset>
                </wp:positionH>
                <wp:positionV relativeFrom="paragraph">
                  <wp:posOffset>-10188</wp:posOffset>
                </wp:positionV>
                <wp:extent cx="131445" cy="4572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31445" cy="45720"/>
                        </a:xfrm>
                        <a:custGeom>
                          <a:avLst/>
                          <a:gdLst/>
                          <a:ahLst/>
                          <a:cxnLst/>
                          <a:rect l="l" t="t" r="r" b="b"/>
                          <a:pathLst>
                            <a:path w="131445" h="45720">
                              <a:moveTo>
                                <a:pt x="0" y="16823"/>
                              </a:moveTo>
                              <a:lnTo>
                                <a:pt x="32091" y="16823"/>
                              </a:lnTo>
                            </a:path>
                            <a:path w="131445" h="45720">
                              <a:moveTo>
                                <a:pt x="17044" y="0"/>
                              </a:moveTo>
                              <a:lnTo>
                                <a:pt x="17044" y="31698"/>
                              </a:lnTo>
                            </a:path>
                            <a:path w="131445" h="45720">
                              <a:moveTo>
                                <a:pt x="99204" y="10675"/>
                              </a:moveTo>
                              <a:lnTo>
                                <a:pt x="131429" y="10675"/>
                              </a:lnTo>
                            </a:path>
                            <a:path w="131445" h="45720">
                              <a:moveTo>
                                <a:pt x="45807" y="45270"/>
                              </a:moveTo>
                              <a:lnTo>
                                <a:pt x="77898" y="45270"/>
                              </a:lnTo>
                            </a:path>
                          </a:pathLst>
                        </a:custGeom>
                        <a:ln w="6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3.971161pt;margin-top:-.80227pt;width:10.35pt;height:3.6pt;mso-position-horizontal-relative:page;mso-position-vertical-relative:paragraph;z-index:-18326016" id="docshape10" coordorigin="5879,-16" coordsize="207,72" path="m5879,10l5930,10m5906,-16l5906,34m6036,1l6086,1m5952,55l6002,55e" filled="false" stroked="true" strokeweight=".487575pt" strokecolor="#000000">
                <v:path arrowok="t"/>
                <v:stroke dashstyle="solid"/>
                <w10:wrap type="none"/>
              </v:shape>
            </w:pict>
          </mc:Fallback>
        </mc:AlternateContent>
      </w:r>
      <w:r>
        <w:rPr>
          <w:rFonts w:ascii="Arial MT"/>
          <w:spacing w:val="-5"/>
          <w:position w:val="2"/>
          <w:sz w:val="13"/>
        </w:rPr>
        <w:t>NH</w:t>
      </w:r>
      <w:r>
        <w:rPr>
          <w:rFonts w:ascii="Arial MT"/>
          <w:spacing w:val="-5"/>
          <w:position w:val="2"/>
          <w:sz w:val="13"/>
          <w:vertAlign w:val="subscript"/>
        </w:rPr>
        <w:t>2</w:t>
      </w:r>
      <w:r>
        <w:rPr>
          <w:rFonts w:ascii="Arial MT"/>
          <w:position w:val="2"/>
          <w:sz w:val="13"/>
          <w:vertAlign w:val="baseline"/>
        </w:rPr>
        <w:tab/>
      </w:r>
      <w:r>
        <w:rPr>
          <w:rFonts w:ascii="Arial MT"/>
          <w:spacing w:val="-4"/>
          <w:sz w:val="13"/>
          <w:vertAlign w:val="baseline"/>
        </w:rPr>
        <w:t>N</w:t>
      </w:r>
      <w:r>
        <w:rPr>
          <w:rFonts w:ascii="Arial MT"/>
          <w:spacing w:val="-4"/>
          <w:sz w:val="13"/>
          <w:vertAlign w:val="subscript"/>
        </w:rPr>
        <w:t>2</w:t>
      </w:r>
      <w:r>
        <w:rPr>
          <w:rFonts w:ascii="Arial MT"/>
          <w:spacing w:val="-4"/>
          <w:sz w:val="13"/>
          <w:vertAlign w:val="baseline"/>
        </w:rPr>
        <w:t>Cl</w:t>
      </w:r>
    </w:p>
    <w:p>
      <w:pPr>
        <w:pStyle w:val="BodyText"/>
        <w:spacing w:before="132"/>
        <w:rPr>
          <w:rFonts w:ascii="Arial MT"/>
          <w:sz w:val="20"/>
        </w:rPr>
      </w:pPr>
    </w:p>
    <w:p>
      <w:pPr>
        <w:spacing w:after="0"/>
        <w:rPr>
          <w:rFonts w:ascii="Arial MT"/>
          <w:sz w:val="20"/>
        </w:rPr>
        <w:sectPr>
          <w:pgSz w:w="12240" w:h="15840"/>
          <w:pgMar w:header="0" w:footer="1015" w:top="1360" w:bottom="1200" w:left="240" w:right="0"/>
        </w:sectPr>
      </w:pPr>
    </w:p>
    <w:p>
      <w:pPr>
        <w:tabs>
          <w:tab w:pos="3230" w:val="left" w:leader="none"/>
          <w:tab w:pos="4022" w:val="left" w:leader="none"/>
        </w:tabs>
        <w:spacing w:before="103"/>
        <w:ind w:left="2794" w:right="0" w:firstLine="0"/>
        <w:jc w:val="left"/>
        <w:rPr>
          <w:sz w:val="15"/>
        </w:rPr>
      </w:pPr>
      <w:r>
        <w:rPr>
          <w:spacing w:val="-10"/>
          <w:w w:val="105"/>
          <w:sz w:val="14"/>
        </w:rPr>
        <w:t>+</w:t>
      </w:r>
      <w:r>
        <w:rPr>
          <w:sz w:val="14"/>
        </w:rPr>
        <w:tab/>
      </w:r>
      <w:r>
        <w:rPr>
          <w:w w:val="105"/>
          <w:sz w:val="15"/>
        </w:rPr>
        <w:t>HCl</w:t>
      </w:r>
      <w:r>
        <w:rPr>
          <w:spacing w:val="79"/>
          <w:w w:val="105"/>
          <w:sz w:val="15"/>
        </w:rPr>
        <w:t> </w:t>
      </w:r>
      <w:r>
        <w:rPr>
          <w:spacing w:val="-10"/>
          <w:w w:val="105"/>
          <w:position w:val="2"/>
          <w:sz w:val="14"/>
        </w:rPr>
        <w:t>+</w:t>
      </w:r>
      <w:r>
        <w:rPr>
          <w:position w:val="2"/>
          <w:sz w:val="14"/>
        </w:rPr>
        <w:tab/>
      </w:r>
      <w:r>
        <w:rPr>
          <w:spacing w:val="-4"/>
          <w:w w:val="105"/>
          <w:position w:val="1"/>
          <w:sz w:val="15"/>
        </w:rPr>
        <w:t>HNO3</w:t>
      </w:r>
    </w:p>
    <w:p>
      <w:pPr>
        <w:tabs>
          <w:tab w:pos="2429" w:val="left" w:leader="none"/>
        </w:tabs>
        <w:spacing w:before="164"/>
        <w:ind w:left="1635" w:right="0" w:firstLine="0"/>
        <w:jc w:val="left"/>
        <w:rPr>
          <w:sz w:val="15"/>
        </w:rPr>
      </w:pPr>
      <w:r>
        <w:rPr/>
        <w:br w:type="column"/>
      </w:r>
      <w:r>
        <w:rPr>
          <w:spacing w:val="-10"/>
          <w:w w:val="105"/>
          <w:position w:val="8"/>
          <w:sz w:val="14"/>
        </w:rPr>
        <w:t>+</w:t>
      </w:r>
      <w:r>
        <w:rPr>
          <w:position w:val="8"/>
          <w:sz w:val="14"/>
        </w:rPr>
        <w:tab/>
      </w:r>
      <w:r>
        <w:rPr>
          <w:spacing w:val="-5"/>
          <w:w w:val="105"/>
          <w:sz w:val="15"/>
        </w:rPr>
        <w:t>H2O</w:t>
      </w:r>
    </w:p>
    <w:p>
      <w:pPr>
        <w:pStyle w:val="BodyText"/>
        <w:tabs>
          <w:tab w:pos="4170" w:val="left" w:leader="dot"/>
        </w:tabs>
        <w:spacing w:before="61"/>
        <w:ind w:left="2729"/>
      </w:pPr>
      <w:r>
        <w:rPr>
          <w:spacing w:val="-10"/>
        </w:rPr>
        <w:t>…</w:t>
      </w:r>
      <w:r>
        <w:rPr/>
        <w:tab/>
        <w:t>equation</w:t>
      </w:r>
      <w:r>
        <w:rPr>
          <w:spacing w:val="-2"/>
        </w:rPr>
        <w:t> </w:t>
      </w:r>
      <w:r>
        <w:rPr>
          <w:spacing w:val="-5"/>
        </w:rPr>
        <w:t>2.2</w:t>
      </w:r>
    </w:p>
    <w:p>
      <w:pPr>
        <w:spacing w:after="0"/>
        <w:sectPr>
          <w:type w:val="continuous"/>
          <w:pgSz w:w="12240" w:h="15840"/>
          <w:pgMar w:header="0" w:footer="1015" w:top="1360" w:bottom="1200" w:left="240" w:right="0"/>
          <w:cols w:num="2" w:equalWidth="0">
            <w:col w:w="4446" w:space="40"/>
            <w:col w:w="7514"/>
          </w:cols>
        </w:sectPr>
      </w:pPr>
    </w:p>
    <w:p>
      <w:pPr>
        <w:pStyle w:val="BodyText"/>
        <w:spacing w:before="241"/>
      </w:pPr>
    </w:p>
    <w:p>
      <w:pPr>
        <w:pStyle w:val="BodyText"/>
        <w:spacing w:line="480" w:lineRule="auto"/>
        <w:ind w:left="1200" w:right="1439"/>
        <w:jc w:val="both"/>
      </w:pPr>
      <w:r>
        <w:rPr/>
        <w:t>Diazonium salts were</w:t>
      </w:r>
      <w:r>
        <w:rPr>
          <w:spacing w:val="-2"/>
        </w:rPr>
        <w:t> </w:t>
      </w:r>
      <w:r>
        <w:rPr/>
        <w:t>discovered by</w:t>
      </w:r>
      <w:r>
        <w:rPr>
          <w:spacing w:val="-5"/>
        </w:rPr>
        <w:t> </w:t>
      </w:r>
      <w:r>
        <w:rPr/>
        <w:t>John Peter</w:t>
      </w:r>
      <w:r>
        <w:rPr>
          <w:spacing w:val="-2"/>
        </w:rPr>
        <w:t> </w:t>
      </w:r>
      <w:r>
        <w:rPr/>
        <w:t>Grriesis in 1858 and the</w:t>
      </w:r>
      <w:r>
        <w:rPr>
          <w:spacing w:val="-1"/>
        </w:rPr>
        <w:t> </w:t>
      </w:r>
      <w:r>
        <w:rPr/>
        <w:t>reaction producing</w:t>
      </w:r>
      <w:r>
        <w:rPr>
          <w:spacing w:val="-3"/>
        </w:rPr>
        <w:t> </w:t>
      </w:r>
      <w:r>
        <w:rPr/>
        <w:t>them is referred to as diazotization (John Peter</w:t>
      </w:r>
      <w:r>
        <w:rPr>
          <w:i/>
        </w:rPr>
        <w:t>et al., </w:t>
      </w:r>
      <w:r>
        <w:rPr/>
        <w:t>1858). These diazonium salts are valuable in the synthesis</w:t>
      </w:r>
      <w:r>
        <w:rPr>
          <w:spacing w:val="-1"/>
        </w:rPr>
        <w:t> </w:t>
      </w:r>
      <w:r>
        <w:rPr/>
        <w:t>of</w:t>
      </w:r>
      <w:r>
        <w:rPr>
          <w:spacing w:val="-2"/>
        </w:rPr>
        <w:t> </w:t>
      </w:r>
      <w:r>
        <w:rPr/>
        <w:t>organic</w:t>
      </w:r>
      <w:r>
        <w:rPr>
          <w:spacing w:val="-2"/>
        </w:rPr>
        <w:t> </w:t>
      </w:r>
      <w:r>
        <w:rPr/>
        <w:t>compounds</w:t>
      </w:r>
      <w:r>
        <w:rPr>
          <w:spacing w:val="-1"/>
        </w:rPr>
        <w:t> </w:t>
      </w:r>
      <w:r>
        <w:rPr/>
        <w:t>and</w:t>
      </w:r>
      <w:r>
        <w:rPr>
          <w:spacing w:val="-1"/>
        </w:rPr>
        <w:t> </w:t>
      </w:r>
      <w:r>
        <w:rPr/>
        <w:t>are</w:t>
      </w:r>
      <w:r>
        <w:rPr>
          <w:spacing w:val="-3"/>
        </w:rPr>
        <w:t> </w:t>
      </w:r>
      <w:r>
        <w:rPr/>
        <w:t>comparable</w:t>
      </w:r>
      <w:r>
        <w:rPr>
          <w:spacing w:val="-2"/>
        </w:rPr>
        <w:t> </w:t>
      </w:r>
      <w:r>
        <w:rPr/>
        <w:t>with</w:t>
      </w:r>
      <w:r>
        <w:rPr>
          <w:spacing w:val="-1"/>
        </w:rPr>
        <w:t> </w:t>
      </w:r>
      <w:r>
        <w:rPr/>
        <w:t>Grignard</w:t>
      </w:r>
      <w:r>
        <w:rPr>
          <w:spacing w:val="-2"/>
        </w:rPr>
        <w:t> </w:t>
      </w:r>
      <w:r>
        <w:rPr/>
        <w:t>reagent</w:t>
      </w:r>
      <w:r>
        <w:rPr>
          <w:spacing w:val="-1"/>
        </w:rPr>
        <w:t> </w:t>
      </w:r>
      <w:r>
        <w:rPr/>
        <w:t>in</w:t>
      </w:r>
      <w:r>
        <w:rPr>
          <w:spacing w:val="-1"/>
        </w:rPr>
        <w:t> </w:t>
      </w:r>
      <w:r>
        <w:rPr/>
        <w:t>versatility</w:t>
      </w:r>
      <w:r>
        <w:rPr>
          <w:spacing w:val="-8"/>
        </w:rPr>
        <w:t> </w:t>
      </w:r>
      <w:r>
        <w:rPr/>
        <w:t>(Kumar, </w:t>
      </w:r>
      <w:r>
        <w:rPr>
          <w:spacing w:val="-2"/>
        </w:rPr>
        <w:t>2010).</w:t>
      </w:r>
    </w:p>
    <w:p>
      <w:pPr>
        <w:spacing w:after="0" w:line="480" w:lineRule="auto"/>
        <w:jc w:val="both"/>
        <w:sectPr>
          <w:type w:val="continuous"/>
          <w:pgSz w:w="12240" w:h="15840"/>
          <w:pgMar w:header="0" w:footer="1015" w:top="1360" w:bottom="1200" w:left="240" w:right="0"/>
        </w:sectPr>
      </w:pPr>
    </w:p>
    <w:p>
      <w:pPr>
        <w:pStyle w:val="ListParagraph"/>
        <w:numPr>
          <w:ilvl w:val="1"/>
          <w:numId w:val="10"/>
        </w:numPr>
        <w:tabs>
          <w:tab w:pos="3293" w:val="left" w:leader="none"/>
        </w:tabs>
        <w:spacing w:line="240" w:lineRule="auto" w:before="76" w:after="0"/>
        <w:ind w:left="3293" w:right="0" w:hanging="360"/>
        <w:jc w:val="left"/>
        <w:rPr>
          <w:b/>
          <w:sz w:val="24"/>
        </w:rPr>
      </w:pPr>
      <w:r>
        <w:rPr>
          <w:b/>
          <w:sz w:val="24"/>
        </w:rPr>
        <w:t>Analytical</w:t>
      </w:r>
      <w:r>
        <w:rPr>
          <w:b/>
          <w:spacing w:val="-2"/>
          <w:sz w:val="24"/>
        </w:rPr>
        <w:t> </w:t>
      </w:r>
      <w:r>
        <w:rPr>
          <w:b/>
          <w:sz w:val="24"/>
        </w:rPr>
        <w:t>Methods</w:t>
      </w:r>
      <w:r>
        <w:rPr>
          <w:b/>
          <w:spacing w:val="-1"/>
          <w:sz w:val="24"/>
        </w:rPr>
        <w:t> </w:t>
      </w:r>
      <w:r>
        <w:rPr>
          <w:b/>
          <w:sz w:val="24"/>
        </w:rPr>
        <w:t>for</w:t>
      </w:r>
      <w:r>
        <w:rPr>
          <w:b/>
          <w:spacing w:val="-2"/>
          <w:sz w:val="24"/>
        </w:rPr>
        <w:t> </w:t>
      </w:r>
      <w:r>
        <w:rPr>
          <w:b/>
          <w:sz w:val="24"/>
        </w:rPr>
        <w:t>the</w:t>
      </w:r>
      <w:r>
        <w:rPr>
          <w:b/>
          <w:spacing w:val="-2"/>
          <w:sz w:val="24"/>
        </w:rPr>
        <w:t> </w:t>
      </w:r>
      <w:r>
        <w:rPr>
          <w:b/>
          <w:sz w:val="24"/>
        </w:rPr>
        <w:t>Determination</w:t>
      </w:r>
      <w:r>
        <w:rPr>
          <w:b/>
          <w:spacing w:val="1"/>
          <w:sz w:val="24"/>
        </w:rPr>
        <w:t> </w:t>
      </w:r>
      <w:r>
        <w:rPr>
          <w:b/>
          <w:sz w:val="24"/>
        </w:rPr>
        <w:t>of </w:t>
      </w:r>
      <w:r>
        <w:rPr>
          <w:b/>
          <w:spacing w:val="-2"/>
          <w:sz w:val="24"/>
        </w:rPr>
        <w:t>isoniazid</w:t>
      </w:r>
    </w:p>
    <w:p>
      <w:pPr>
        <w:pStyle w:val="BodyText"/>
        <w:spacing w:before="1"/>
        <w:rPr>
          <w:b/>
        </w:rPr>
      </w:pPr>
    </w:p>
    <w:p>
      <w:pPr>
        <w:pStyle w:val="Heading3"/>
        <w:numPr>
          <w:ilvl w:val="2"/>
          <w:numId w:val="10"/>
        </w:numPr>
        <w:tabs>
          <w:tab w:pos="1740" w:val="left" w:leader="none"/>
        </w:tabs>
        <w:spacing w:line="240" w:lineRule="auto" w:before="0" w:after="0"/>
        <w:ind w:left="1740" w:right="0" w:hanging="540"/>
        <w:jc w:val="left"/>
      </w:pPr>
      <w:bookmarkStart w:name="_TOC_250019" w:id="15"/>
      <w:r>
        <w:rPr/>
        <w:t>UV</w:t>
      </w:r>
      <w:r>
        <w:rPr>
          <w:spacing w:val="-5"/>
        </w:rPr>
        <w:t> </w:t>
      </w:r>
      <w:r>
        <w:rPr/>
        <w:t>spectrophotometric</w:t>
      </w:r>
      <w:r>
        <w:rPr>
          <w:spacing w:val="-1"/>
        </w:rPr>
        <w:t> </w:t>
      </w:r>
      <w:r>
        <w:rPr/>
        <w:t>method</w:t>
      </w:r>
      <w:r>
        <w:rPr>
          <w:spacing w:val="-1"/>
        </w:rPr>
        <w:t> </w:t>
      </w:r>
      <w:r>
        <w:rPr/>
        <w:t>using</w:t>
      </w:r>
      <w:r>
        <w:rPr>
          <w:spacing w:val="-5"/>
        </w:rPr>
        <w:t> </w:t>
      </w:r>
      <w:r>
        <w:rPr/>
        <w:t>distilled</w:t>
      </w:r>
      <w:r>
        <w:rPr>
          <w:spacing w:val="-1"/>
        </w:rPr>
        <w:t> </w:t>
      </w:r>
      <w:r>
        <w:rPr/>
        <w:t>water</w:t>
      </w:r>
      <w:r>
        <w:rPr>
          <w:spacing w:val="-3"/>
        </w:rPr>
        <w:t> </w:t>
      </w:r>
      <w:r>
        <w:rPr/>
        <w:t>and</w:t>
      </w:r>
      <w:r>
        <w:rPr>
          <w:spacing w:val="-1"/>
        </w:rPr>
        <w:t> </w:t>
      </w:r>
      <w:bookmarkEnd w:id="15"/>
      <w:r>
        <w:rPr>
          <w:spacing w:val="-2"/>
        </w:rPr>
        <w:t>methanol.</w:t>
      </w:r>
    </w:p>
    <w:p>
      <w:pPr>
        <w:pStyle w:val="BodyText"/>
        <w:rPr>
          <w:b/>
        </w:rPr>
      </w:pPr>
    </w:p>
    <w:p>
      <w:pPr>
        <w:pStyle w:val="Heading3"/>
        <w:numPr>
          <w:ilvl w:val="2"/>
          <w:numId w:val="10"/>
        </w:numPr>
        <w:tabs>
          <w:tab w:pos="1740" w:val="left" w:leader="none"/>
        </w:tabs>
        <w:spacing w:line="240" w:lineRule="auto" w:before="0" w:after="0"/>
        <w:ind w:left="1740" w:right="0" w:hanging="540"/>
        <w:jc w:val="left"/>
      </w:pPr>
      <w:bookmarkStart w:name="_TOC_250018" w:id="16"/>
      <w:r>
        <w:rPr/>
        <w:t>Colourometric</w:t>
      </w:r>
      <w:r>
        <w:rPr>
          <w:spacing w:val="-4"/>
        </w:rPr>
        <w:t> </w:t>
      </w:r>
      <w:r>
        <w:rPr/>
        <w:t>method</w:t>
      </w:r>
      <w:r>
        <w:rPr>
          <w:spacing w:val="-3"/>
        </w:rPr>
        <w:t> </w:t>
      </w:r>
      <w:r>
        <w:rPr/>
        <w:t>using</w:t>
      </w:r>
      <w:r>
        <w:rPr>
          <w:spacing w:val="-2"/>
        </w:rPr>
        <w:t> </w:t>
      </w:r>
      <w:r>
        <w:rPr/>
        <w:t>2,4-dinitrophenylhydrazine</w:t>
      </w:r>
      <w:r>
        <w:rPr>
          <w:spacing w:val="-4"/>
        </w:rPr>
        <w:t> </w:t>
      </w:r>
      <w:r>
        <w:rPr/>
        <w:t>and</w:t>
      </w:r>
      <w:bookmarkEnd w:id="16"/>
      <w:r>
        <w:rPr>
          <w:spacing w:val="-2"/>
        </w:rPr>
        <w:t> diazotization.</w:t>
      </w:r>
    </w:p>
    <w:p>
      <w:pPr>
        <w:pStyle w:val="BodyText"/>
        <w:spacing w:line="480" w:lineRule="auto" w:before="271"/>
        <w:ind w:left="1200" w:right="1431"/>
      </w:pPr>
      <w:r>
        <w:rPr/>
        <w:t>Several</w:t>
      </w:r>
      <w:r>
        <w:rPr>
          <w:spacing w:val="-3"/>
        </w:rPr>
        <w:t> </w:t>
      </w:r>
      <w:r>
        <w:rPr/>
        <w:t>analytical</w:t>
      </w:r>
      <w:r>
        <w:rPr>
          <w:spacing w:val="-2"/>
        </w:rPr>
        <w:t> </w:t>
      </w:r>
      <w:r>
        <w:rPr/>
        <w:t>methods</w:t>
      </w:r>
      <w:r>
        <w:rPr>
          <w:spacing w:val="-2"/>
        </w:rPr>
        <w:t> </w:t>
      </w:r>
      <w:r>
        <w:rPr/>
        <w:t>have</w:t>
      </w:r>
      <w:r>
        <w:rPr>
          <w:spacing w:val="-4"/>
        </w:rPr>
        <w:t> </w:t>
      </w:r>
      <w:r>
        <w:rPr/>
        <w:t>been</w:t>
      </w:r>
      <w:r>
        <w:rPr>
          <w:spacing w:val="-1"/>
        </w:rPr>
        <w:t> </w:t>
      </w:r>
      <w:r>
        <w:rPr/>
        <w:t>reported</w:t>
      </w:r>
      <w:r>
        <w:rPr>
          <w:spacing w:val="-3"/>
        </w:rPr>
        <w:t> </w:t>
      </w:r>
      <w:r>
        <w:rPr/>
        <w:t>for</w:t>
      </w:r>
      <w:r>
        <w:rPr>
          <w:spacing w:val="-3"/>
        </w:rPr>
        <w:t> </w:t>
      </w:r>
      <w:r>
        <w:rPr/>
        <w:t>quantitative</w:t>
      </w:r>
      <w:r>
        <w:rPr>
          <w:spacing w:val="-3"/>
        </w:rPr>
        <w:t> </w:t>
      </w:r>
      <w:r>
        <w:rPr/>
        <w:t>determination</w:t>
      </w:r>
      <w:r>
        <w:rPr>
          <w:spacing w:val="-3"/>
        </w:rPr>
        <w:t> </w:t>
      </w:r>
      <w:r>
        <w:rPr/>
        <w:t>of</w:t>
      </w:r>
      <w:r>
        <w:rPr>
          <w:spacing w:val="-4"/>
        </w:rPr>
        <w:t> </w:t>
      </w:r>
      <w:r>
        <w:rPr/>
        <w:t>isoniazid</w:t>
      </w:r>
      <w:r>
        <w:rPr>
          <w:spacing w:val="-2"/>
        </w:rPr>
        <w:t> </w:t>
      </w:r>
      <w:r>
        <w:rPr/>
        <w:t>in</w:t>
      </w:r>
      <w:r>
        <w:rPr>
          <w:spacing w:val="-3"/>
        </w:rPr>
        <w:t> </w:t>
      </w:r>
      <w:r>
        <w:rPr/>
        <w:t>its pure and tablet dosage form. Both official (compendial) and unofficial methods have been </w:t>
      </w:r>
      <w:r>
        <w:rPr>
          <w:spacing w:val="-2"/>
        </w:rPr>
        <w:t>reported</w:t>
      </w:r>
    </w:p>
    <w:p>
      <w:pPr>
        <w:pStyle w:val="Heading3"/>
        <w:numPr>
          <w:ilvl w:val="2"/>
          <w:numId w:val="11"/>
        </w:numPr>
        <w:tabs>
          <w:tab w:pos="1740" w:val="left" w:leader="none"/>
        </w:tabs>
        <w:spacing w:line="240" w:lineRule="auto" w:before="5" w:after="0"/>
        <w:ind w:left="1740" w:right="0" w:hanging="480"/>
        <w:jc w:val="left"/>
      </w:pPr>
      <w:r>
        <w:rPr/>
        <w:t>Compendial</w:t>
      </w:r>
      <w:r>
        <w:rPr>
          <w:spacing w:val="-3"/>
        </w:rPr>
        <w:t> </w:t>
      </w:r>
      <w:r>
        <w:rPr/>
        <w:t>method</w:t>
      </w:r>
      <w:r>
        <w:rPr>
          <w:spacing w:val="-2"/>
        </w:rPr>
        <w:t> </w:t>
      </w:r>
      <w:r>
        <w:rPr/>
        <w:t>of</w:t>
      </w:r>
      <w:r>
        <w:rPr>
          <w:spacing w:val="-1"/>
        </w:rPr>
        <w:t> </w:t>
      </w:r>
      <w:r>
        <w:rPr>
          <w:spacing w:val="-2"/>
        </w:rPr>
        <w:t>analysis</w:t>
      </w:r>
    </w:p>
    <w:p>
      <w:pPr>
        <w:pStyle w:val="BodyText"/>
        <w:spacing w:line="480" w:lineRule="auto" w:before="272"/>
        <w:ind w:left="1200" w:right="1436"/>
        <w:jc w:val="both"/>
      </w:pPr>
      <w:r>
        <w:rPr/>
        <w:t>British</w:t>
      </w:r>
      <w:r>
        <w:rPr>
          <w:spacing w:val="-3"/>
        </w:rPr>
        <w:t> </w:t>
      </w:r>
      <w:r>
        <w:rPr/>
        <w:t>Pharmacopoeia</w:t>
      </w:r>
      <w:r>
        <w:rPr>
          <w:spacing w:val="-3"/>
        </w:rPr>
        <w:t> </w:t>
      </w:r>
      <w:r>
        <w:rPr/>
        <w:t>2009</w:t>
      </w:r>
      <w:r>
        <w:rPr>
          <w:spacing w:val="-3"/>
        </w:rPr>
        <w:t> </w:t>
      </w:r>
      <w:r>
        <w:rPr/>
        <w:t>(BP,</w:t>
      </w:r>
      <w:r>
        <w:rPr>
          <w:spacing w:val="-3"/>
        </w:rPr>
        <w:t> </w:t>
      </w:r>
      <w:r>
        <w:rPr/>
        <w:t>2009)</w:t>
      </w:r>
      <w:r>
        <w:rPr>
          <w:spacing w:val="-4"/>
        </w:rPr>
        <w:t> </w:t>
      </w:r>
      <w:r>
        <w:rPr/>
        <w:t>describes titration of isoniazid</w:t>
      </w:r>
      <w:r>
        <w:rPr>
          <w:spacing w:val="30"/>
        </w:rPr>
        <w:t> </w:t>
      </w:r>
      <w:r>
        <w:rPr/>
        <w:t>with potassium bromate in</w:t>
      </w:r>
      <w:r>
        <w:rPr>
          <w:spacing w:val="-2"/>
        </w:rPr>
        <w:t> </w:t>
      </w:r>
      <w:r>
        <w:rPr/>
        <w:t>presence</w:t>
      </w:r>
      <w:r>
        <w:rPr>
          <w:spacing w:val="-3"/>
        </w:rPr>
        <w:t> </w:t>
      </w:r>
      <w:r>
        <w:rPr/>
        <w:t>of</w:t>
      </w:r>
      <w:r>
        <w:rPr>
          <w:spacing w:val="-3"/>
        </w:rPr>
        <w:t> </w:t>
      </w:r>
      <w:r>
        <w:rPr/>
        <w:t>potassium</w:t>
      </w:r>
      <w:r>
        <w:rPr>
          <w:spacing w:val="-1"/>
        </w:rPr>
        <w:t> </w:t>
      </w:r>
      <w:r>
        <w:rPr/>
        <w:t>bromide</w:t>
      </w:r>
      <w:r>
        <w:rPr>
          <w:spacing w:val="-2"/>
        </w:rPr>
        <w:t> </w:t>
      </w:r>
      <w:r>
        <w:rPr/>
        <w:t>using</w:t>
      </w:r>
      <w:r>
        <w:rPr>
          <w:spacing w:val="-4"/>
        </w:rPr>
        <w:t> </w:t>
      </w:r>
      <w:r>
        <w:rPr/>
        <w:t>methyl</w:t>
      </w:r>
      <w:r>
        <w:rPr>
          <w:spacing w:val="-2"/>
        </w:rPr>
        <w:t> </w:t>
      </w:r>
      <w:r>
        <w:rPr/>
        <w:t>red</w:t>
      </w:r>
      <w:r>
        <w:rPr>
          <w:spacing w:val="-2"/>
        </w:rPr>
        <w:t> </w:t>
      </w:r>
      <w:r>
        <w:rPr/>
        <w:t>as</w:t>
      </w:r>
      <w:r>
        <w:rPr>
          <w:spacing w:val="-2"/>
        </w:rPr>
        <w:t> </w:t>
      </w:r>
      <w:r>
        <w:rPr/>
        <w:t>indicator</w:t>
      </w:r>
      <w:r>
        <w:rPr>
          <w:spacing w:val="-2"/>
        </w:rPr>
        <w:t> </w:t>
      </w:r>
      <w:r>
        <w:rPr/>
        <w:t>while</w:t>
      </w:r>
      <w:r>
        <w:rPr>
          <w:spacing w:val="-3"/>
        </w:rPr>
        <w:t> </w:t>
      </w:r>
      <w:r>
        <w:rPr/>
        <w:t>United</w:t>
      </w:r>
      <w:r>
        <w:rPr>
          <w:spacing w:val="-2"/>
        </w:rPr>
        <w:t> </w:t>
      </w:r>
      <w:r>
        <w:rPr/>
        <w:t>State</w:t>
      </w:r>
      <w:r>
        <w:rPr>
          <w:spacing w:val="-2"/>
        </w:rPr>
        <w:t> </w:t>
      </w:r>
      <w:r>
        <w:rPr/>
        <w:t>pharmacopoei a (USP) describes HPLC method using L1 column (4.6 mm× 25 cm) and a mobile phase consisting of methanol: water (40:60) (pH adjusted to 2.5 with H</w:t>
      </w:r>
      <w:r>
        <w:rPr>
          <w:vertAlign w:val="subscript"/>
        </w:rPr>
        <w:t>2</w:t>
      </w:r>
      <w:r>
        <w:rPr>
          <w:vertAlign w:val="baseline"/>
        </w:rPr>
        <w:t>SO</w:t>
      </w:r>
      <w:r>
        <w:rPr>
          <w:vertAlign w:val="subscript"/>
        </w:rPr>
        <w:t>4</w:t>
      </w:r>
      <w:r>
        <w:rPr>
          <w:vertAlign w:val="baseline"/>
        </w:rPr>
        <w:t>) with a flow rate of 1.5 mL/ min and UV detection at 254 nm (USP)</w:t>
      </w:r>
    </w:p>
    <w:p>
      <w:pPr>
        <w:pStyle w:val="Heading3"/>
        <w:numPr>
          <w:ilvl w:val="2"/>
          <w:numId w:val="11"/>
        </w:numPr>
        <w:tabs>
          <w:tab w:pos="1680" w:val="left" w:leader="none"/>
        </w:tabs>
        <w:spacing w:line="240" w:lineRule="auto" w:before="5" w:after="0"/>
        <w:ind w:left="1680" w:right="0" w:hanging="480"/>
        <w:jc w:val="both"/>
      </w:pPr>
      <w:r>
        <w:rPr/>
        <w:t>Non</w:t>
      </w:r>
      <w:r>
        <w:rPr>
          <w:spacing w:val="-1"/>
        </w:rPr>
        <w:t> </w:t>
      </w:r>
      <w:r>
        <w:rPr/>
        <w:t>compendial</w:t>
      </w:r>
      <w:r>
        <w:rPr>
          <w:spacing w:val="-1"/>
        </w:rPr>
        <w:t> </w:t>
      </w:r>
      <w:r>
        <w:rPr/>
        <w:t>methods</w:t>
      </w:r>
      <w:r>
        <w:rPr>
          <w:spacing w:val="-1"/>
        </w:rPr>
        <w:t> </w:t>
      </w:r>
      <w:r>
        <w:rPr/>
        <w:t>of </w:t>
      </w:r>
      <w:r>
        <w:rPr>
          <w:spacing w:val="-2"/>
        </w:rPr>
        <w:t>analysis</w:t>
      </w:r>
    </w:p>
    <w:p>
      <w:pPr>
        <w:pStyle w:val="ListParagraph"/>
        <w:numPr>
          <w:ilvl w:val="3"/>
          <w:numId w:val="10"/>
        </w:numPr>
        <w:tabs>
          <w:tab w:pos="1919" w:val="left" w:leader="none"/>
        </w:tabs>
        <w:spacing w:line="240" w:lineRule="auto" w:before="272" w:after="0"/>
        <w:ind w:left="1919" w:right="0" w:hanging="719"/>
        <w:jc w:val="left"/>
        <w:rPr>
          <w:i/>
          <w:sz w:val="24"/>
        </w:rPr>
      </w:pPr>
      <w:r>
        <w:rPr>
          <w:i/>
          <w:sz w:val="24"/>
        </w:rPr>
        <w:t>Titrimetric </w:t>
      </w:r>
      <w:r>
        <w:rPr>
          <w:i/>
          <w:spacing w:val="-2"/>
          <w:sz w:val="24"/>
        </w:rPr>
        <w:t>methods</w:t>
      </w:r>
    </w:p>
    <w:p>
      <w:pPr>
        <w:pStyle w:val="BodyText"/>
        <w:spacing w:line="480" w:lineRule="auto" w:before="276"/>
        <w:ind w:left="1200" w:right="1436"/>
        <w:jc w:val="both"/>
      </w:pPr>
      <w:r>
        <w:rPr/>
        <w:t>Four titrimetric procedures for the assay of isoniazid in dosage form were reported.Three of the methods were redox titrations developed using N-bromosuccinimide, bromamine-B and bromamine-T as titrants(Mohan </w:t>
      </w:r>
      <w:r>
        <w:rPr>
          <w:i/>
        </w:rPr>
        <w:t>et al., </w:t>
      </w:r>
      <w:r>
        <w:rPr/>
        <w:t>1984; Raju</w:t>
      </w:r>
      <w:r>
        <w:rPr>
          <w:i/>
        </w:rPr>
        <w:t>et al., </w:t>
      </w:r>
      <w:r>
        <w:rPr/>
        <w:t>2001; Nagendra</w:t>
      </w:r>
      <w:r>
        <w:rPr>
          <w:i/>
        </w:rPr>
        <w:t>et al., </w:t>
      </w:r>
      <w:r>
        <w:rPr/>
        <w:t>2002).</w:t>
      </w:r>
    </w:p>
    <w:p>
      <w:pPr>
        <w:pStyle w:val="BodyText"/>
        <w:spacing w:line="480" w:lineRule="auto" w:before="240"/>
        <w:ind w:left="1200" w:right="1434"/>
        <w:jc w:val="both"/>
      </w:pPr>
      <w:r>
        <w:rPr/>
        <w:t>Anothermethod involves the titrimetric determination of isoniazid using </w:t>
      </w:r>
      <w:r>
        <w:rPr>
          <w:i/>
        </w:rPr>
        <w:t>N</w:t>
      </w:r>
      <w:r>
        <w:rPr/>
        <w:t>-bromophthalimide as a titrant. It is determined either directly using methyl red or amaranth as indicator, or by a back titration method in which a known excess of N-bromophthalimide solution is added to isoniazid solution and then the residual unreacted reagent is determined (El-Brashy and El-Ashry,1992).</w:t>
      </w:r>
    </w:p>
    <w:p>
      <w:pPr>
        <w:pStyle w:val="ListParagraph"/>
        <w:numPr>
          <w:ilvl w:val="3"/>
          <w:numId w:val="10"/>
        </w:numPr>
        <w:tabs>
          <w:tab w:pos="1919" w:val="left" w:leader="none"/>
        </w:tabs>
        <w:spacing w:line="240" w:lineRule="auto" w:before="1" w:after="0"/>
        <w:ind w:left="1919" w:right="0" w:hanging="719"/>
        <w:jc w:val="both"/>
        <w:rPr>
          <w:i/>
          <w:sz w:val="24"/>
        </w:rPr>
      </w:pPr>
      <w:r>
        <w:rPr>
          <w:i/>
          <w:sz w:val="24"/>
        </w:rPr>
        <w:t>Spectrophotometric</w:t>
      </w:r>
      <w:r>
        <w:rPr>
          <w:i/>
          <w:spacing w:val="-1"/>
          <w:sz w:val="24"/>
        </w:rPr>
        <w:t> </w:t>
      </w:r>
      <w:r>
        <w:rPr>
          <w:i/>
          <w:spacing w:val="-2"/>
          <w:sz w:val="24"/>
        </w:rPr>
        <w:t>methods</w:t>
      </w:r>
    </w:p>
    <w:p>
      <w:pPr>
        <w:pStyle w:val="BodyText"/>
        <w:spacing w:before="275"/>
        <w:ind w:left="1200"/>
        <w:jc w:val="both"/>
      </w:pPr>
      <w:r>
        <w:rPr/>
        <w:t>Several</w:t>
      </w:r>
      <w:r>
        <w:rPr>
          <w:spacing w:val="74"/>
          <w:w w:val="150"/>
        </w:rPr>
        <w:t> </w:t>
      </w:r>
      <w:r>
        <w:rPr/>
        <w:t>UV</w:t>
      </w:r>
      <w:r>
        <w:rPr>
          <w:spacing w:val="1"/>
        </w:rPr>
        <w:t> </w:t>
      </w:r>
      <w:r>
        <w:rPr/>
        <w:t>(200</w:t>
      </w:r>
      <w:r>
        <w:rPr>
          <w:spacing w:val="-1"/>
        </w:rPr>
        <w:t> </w:t>
      </w:r>
      <w:r>
        <w:rPr/>
        <w:t>-400 nm)</w:t>
      </w:r>
      <w:r>
        <w:rPr>
          <w:spacing w:val="-1"/>
        </w:rPr>
        <w:t> </w:t>
      </w:r>
      <w:r>
        <w:rPr/>
        <w:t>and visible</w:t>
      </w:r>
      <w:r>
        <w:rPr>
          <w:spacing w:val="-2"/>
        </w:rPr>
        <w:t> </w:t>
      </w:r>
      <w:r>
        <w:rPr/>
        <w:t>spectrophotometric (400</w:t>
      </w:r>
      <w:r>
        <w:rPr>
          <w:spacing w:val="-2"/>
        </w:rPr>
        <w:t> </w:t>
      </w:r>
      <w:r>
        <w:rPr/>
        <w:t>-750 nm)</w:t>
      </w:r>
      <w:r>
        <w:rPr>
          <w:spacing w:val="75"/>
          <w:w w:val="150"/>
        </w:rPr>
        <w:t> </w:t>
      </w:r>
      <w:r>
        <w:rPr/>
        <w:t>methods</w:t>
      </w:r>
      <w:r>
        <w:rPr>
          <w:spacing w:val="74"/>
          <w:w w:val="150"/>
        </w:rPr>
        <w:t> </w:t>
      </w:r>
      <w:r>
        <w:rPr/>
        <w:t>have</w:t>
      </w:r>
      <w:r>
        <w:rPr>
          <w:spacing w:val="73"/>
          <w:w w:val="150"/>
        </w:rPr>
        <w:t> </w:t>
      </w:r>
      <w:r>
        <w:rPr>
          <w:spacing w:val="-4"/>
        </w:rPr>
        <w:t>been</w:t>
      </w:r>
    </w:p>
    <w:p>
      <w:pPr>
        <w:spacing w:after="0"/>
        <w:jc w:val="both"/>
        <w:sectPr>
          <w:pgSz w:w="12240" w:h="15840"/>
          <w:pgMar w:header="0" w:footer="1015" w:top="1360" w:bottom="1200" w:left="240" w:right="0"/>
        </w:sectPr>
      </w:pPr>
    </w:p>
    <w:p>
      <w:pPr>
        <w:pStyle w:val="BodyText"/>
        <w:spacing w:line="480" w:lineRule="auto" w:before="72"/>
        <w:ind w:left="1200" w:right="1439"/>
        <w:jc w:val="both"/>
      </w:pPr>
      <w:r>
        <w:rPr/>
        <w:t>reported for the determination of isoniazid in pure form and in its tablet dosage form. Some of these methods include:</w:t>
      </w:r>
    </w:p>
    <w:p>
      <w:pPr>
        <w:pStyle w:val="BodyText"/>
        <w:spacing w:line="480" w:lineRule="auto"/>
        <w:ind w:left="1200" w:right="1437"/>
        <w:jc w:val="both"/>
      </w:pPr>
      <w:r>
        <w:rPr/>
        <w:drawing>
          <wp:anchor distT="0" distB="0" distL="0" distR="0" allowOverlap="1" layoutInCell="1" locked="0" behindDoc="0" simplePos="0" relativeHeight="15732224">
            <wp:simplePos x="0" y="0"/>
            <wp:positionH relativeFrom="page">
              <wp:posOffset>915161</wp:posOffset>
            </wp:positionH>
            <wp:positionV relativeFrom="paragraph">
              <wp:posOffset>1758497</wp:posOffset>
            </wp:positionV>
            <wp:extent cx="4771384" cy="1133952"/>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7" cstate="print"/>
                    <a:stretch>
                      <a:fillRect/>
                    </a:stretch>
                  </pic:blipFill>
                  <pic:spPr>
                    <a:xfrm>
                      <a:off x="0" y="0"/>
                      <a:ext cx="4771384" cy="1133952"/>
                    </a:xfrm>
                    <a:prstGeom prst="rect">
                      <a:avLst/>
                    </a:prstGeom>
                  </pic:spPr>
                </pic:pic>
              </a:graphicData>
            </a:graphic>
          </wp:anchor>
        </w:drawing>
      </w:r>
      <w:r>
        <w:rPr/>
        <w:t>A</w:t>
      </w:r>
      <w:r>
        <w:rPr>
          <w:spacing w:val="-2"/>
        </w:rPr>
        <w:t> </w:t>
      </w:r>
      <w:r>
        <w:rPr/>
        <w:t>method</w:t>
      </w:r>
      <w:r>
        <w:rPr>
          <w:spacing w:val="-1"/>
        </w:rPr>
        <w:t> </w:t>
      </w:r>
      <w:r>
        <w:rPr/>
        <w:t>based</w:t>
      </w:r>
      <w:r>
        <w:rPr>
          <w:spacing w:val="-1"/>
        </w:rPr>
        <w:t> </w:t>
      </w:r>
      <w:r>
        <w:rPr/>
        <w:t>on</w:t>
      </w:r>
      <w:r>
        <w:rPr>
          <w:spacing w:val="-1"/>
        </w:rPr>
        <w:t> </w:t>
      </w:r>
      <w:r>
        <w:rPr/>
        <w:t>condensation reaction</w:t>
      </w:r>
      <w:r>
        <w:rPr>
          <w:spacing w:val="-1"/>
        </w:rPr>
        <w:t> </w:t>
      </w:r>
      <w:r>
        <w:rPr/>
        <w:t>between</w:t>
      </w:r>
      <w:r>
        <w:rPr>
          <w:spacing w:val="-1"/>
        </w:rPr>
        <w:t> </w:t>
      </w:r>
      <w:r>
        <w:rPr/>
        <w:t>isoniazid and</w:t>
      </w:r>
      <w:r>
        <w:rPr>
          <w:spacing w:val="-1"/>
        </w:rPr>
        <w:t> </w:t>
      </w:r>
      <w:r>
        <w:rPr/>
        <w:t>ethyl</w:t>
      </w:r>
      <w:r>
        <w:rPr>
          <w:spacing w:val="-1"/>
        </w:rPr>
        <w:t> </w:t>
      </w:r>
      <w:r>
        <w:rPr/>
        <w:t>vanillin in</w:t>
      </w:r>
      <w:r>
        <w:rPr>
          <w:spacing w:val="-1"/>
        </w:rPr>
        <w:t> </w:t>
      </w:r>
      <w:r>
        <w:rPr/>
        <w:t>basic</w:t>
      </w:r>
      <w:r>
        <w:rPr>
          <w:spacing w:val="-2"/>
        </w:rPr>
        <w:t> </w:t>
      </w:r>
      <w:r>
        <w:rPr/>
        <w:t>medium</w:t>
      </w:r>
      <w:r>
        <w:rPr>
          <w:spacing w:val="-1"/>
        </w:rPr>
        <w:t> </w:t>
      </w:r>
      <w:r>
        <w:rPr/>
        <w:t>( NaOH)</w:t>
      </w:r>
      <w:r>
        <w:rPr>
          <w:spacing w:val="-3"/>
        </w:rPr>
        <w:t> </w:t>
      </w:r>
      <w:r>
        <w:rPr/>
        <w:t>to</w:t>
      </w:r>
      <w:r>
        <w:rPr>
          <w:spacing w:val="-2"/>
        </w:rPr>
        <w:t> </w:t>
      </w:r>
      <w:r>
        <w:rPr/>
        <w:t>form</w:t>
      </w:r>
      <w:r>
        <w:rPr>
          <w:spacing w:val="-2"/>
        </w:rPr>
        <w:t> </w:t>
      </w:r>
      <w:r>
        <w:rPr/>
        <w:t>a</w:t>
      </w:r>
      <w:r>
        <w:rPr>
          <w:spacing w:val="-3"/>
        </w:rPr>
        <w:t> </w:t>
      </w:r>
      <w:r>
        <w:rPr/>
        <w:t>colored hydrazone</w:t>
      </w:r>
      <w:r>
        <w:rPr>
          <w:spacing w:val="-3"/>
        </w:rPr>
        <w:t> </w:t>
      </w:r>
      <w:r>
        <w:rPr/>
        <w:t>(equation</w:t>
      </w:r>
      <w:r>
        <w:rPr>
          <w:spacing w:val="-2"/>
        </w:rPr>
        <w:t> </w:t>
      </w:r>
      <w:r>
        <w:rPr/>
        <w:t>2.3)</w:t>
      </w:r>
      <w:r>
        <w:rPr>
          <w:spacing w:val="-3"/>
        </w:rPr>
        <w:t> </w:t>
      </w:r>
      <w:r>
        <w:rPr/>
        <w:t>with</w:t>
      </w:r>
      <w:r>
        <w:rPr>
          <w:spacing w:val="-2"/>
        </w:rPr>
        <w:t> </w:t>
      </w:r>
      <w:r>
        <w:rPr/>
        <w:t>λmax of</w:t>
      </w:r>
      <w:r>
        <w:rPr>
          <w:spacing w:val="-3"/>
        </w:rPr>
        <w:t> </w:t>
      </w:r>
      <w:r>
        <w:rPr/>
        <w:t>410</w:t>
      </w:r>
      <w:r>
        <w:rPr>
          <w:spacing w:val="-2"/>
        </w:rPr>
        <w:t> </w:t>
      </w:r>
      <w:r>
        <w:rPr/>
        <w:t>nm.</w:t>
      </w:r>
      <w:r>
        <w:rPr>
          <w:spacing w:val="-2"/>
        </w:rPr>
        <w:t> </w:t>
      </w:r>
      <w:r>
        <w:rPr/>
        <w:t>Beer’s</w:t>
      </w:r>
      <w:r>
        <w:rPr>
          <w:spacing w:val="-1"/>
        </w:rPr>
        <w:t> </w:t>
      </w:r>
      <w:r>
        <w:rPr/>
        <w:t>law</w:t>
      </w:r>
      <w:r>
        <w:rPr>
          <w:spacing w:val="-1"/>
        </w:rPr>
        <w:t> </w:t>
      </w:r>
      <w:r>
        <w:rPr/>
        <w:t>was</w:t>
      </w:r>
      <w:r>
        <w:rPr>
          <w:spacing w:val="-2"/>
        </w:rPr>
        <w:t> </w:t>
      </w:r>
      <w:r>
        <w:rPr/>
        <w:t>obeys</w:t>
      </w:r>
      <w:r>
        <w:rPr>
          <w:spacing w:val="-2"/>
        </w:rPr>
        <w:t> </w:t>
      </w:r>
      <w:r>
        <w:rPr/>
        <w:t>i nthe</w:t>
      </w:r>
      <w:r>
        <w:rPr>
          <w:spacing w:val="-3"/>
        </w:rPr>
        <w:t> </w:t>
      </w:r>
      <w:r>
        <w:rPr/>
        <w:t>range</w:t>
      </w:r>
      <w:r>
        <w:rPr>
          <w:spacing w:val="-3"/>
        </w:rPr>
        <w:t> </w:t>
      </w:r>
      <w:r>
        <w:rPr/>
        <w:t>2-16</w:t>
      </w:r>
      <w:r>
        <w:rPr>
          <w:spacing w:val="-2"/>
        </w:rPr>
        <w:t> </w:t>
      </w:r>
      <w:r>
        <w:rPr/>
        <w:t>µg/mL(Ravalkashyap</w:t>
      </w:r>
      <w:r>
        <w:rPr>
          <w:i/>
        </w:rPr>
        <w:t>et al., </w:t>
      </w:r>
      <w:r>
        <w:rPr/>
        <w:t>2012).The method is direct, simple and rapid however, other parameters such as limit of detection and limit of quantification were not</w:t>
      </w:r>
      <w:r>
        <w:rPr>
          <w:spacing w:val="40"/>
        </w:rPr>
        <w:t> </w:t>
      </w:r>
      <w:r>
        <w:rPr>
          <w:spacing w:val="-2"/>
        </w:rPr>
        <w:t>reported.</w:t>
      </w:r>
    </w:p>
    <w:p>
      <w:pPr>
        <w:pStyle w:val="BodyText"/>
      </w:pPr>
    </w:p>
    <w:p>
      <w:pPr>
        <w:pStyle w:val="BodyText"/>
      </w:pPr>
    </w:p>
    <w:p>
      <w:pPr>
        <w:pStyle w:val="BodyText"/>
        <w:spacing w:before="171"/>
      </w:pPr>
    </w:p>
    <w:p>
      <w:pPr>
        <w:spacing w:before="0"/>
        <w:ind w:left="0" w:right="2499" w:firstLine="0"/>
        <w:jc w:val="right"/>
        <w:rPr>
          <w:sz w:val="23"/>
        </w:rPr>
      </w:pPr>
      <w:r>
        <w:rPr>
          <w:w w:val="105"/>
          <w:position w:val="-9"/>
          <w:sz w:val="23"/>
        </w:rPr>
        <w:t>+</w:t>
      </w:r>
      <w:r>
        <w:rPr>
          <w:spacing w:val="62"/>
          <w:w w:val="150"/>
          <w:position w:val="-9"/>
          <w:sz w:val="23"/>
        </w:rPr>
        <w:t> </w:t>
      </w:r>
      <w:r>
        <w:rPr>
          <w:spacing w:val="-5"/>
          <w:w w:val="105"/>
          <w:sz w:val="23"/>
        </w:rPr>
        <w:t>H2O</w:t>
      </w:r>
    </w:p>
    <w:p>
      <w:pPr>
        <w:pStyle w:val="BodyText"/>
        <w:rPr>
          <w:sz w:val="23"/>
        </w:rPr>
      </w:pPr>
    </w:p>
    <w:p>
      <w:pPr>
        <w:pStyle w:val="BodyText"/>
        <w:spacing w:before="184"/>
        <w:rPr>
          <w:sz w:val="23"/>
        </w:rPr>
      </w:pPr>
    </w:p>
    <w:p>
      <w:pPr>
        <w:pStyle w:val="BodyText"/>
        <w:spacing w:before="1"/>
        <w:ind w:left="1920"/>
      </w:pPr>
      <w:r>
        <w:rPr/>
        <w:t>…equation</w:t>
      </w:r>
      <w:r>
        <w:rPr>
          <w:spacing w:val="-2"/>
        </w:rPr>
        <w:t> </w:t>
      </w:r>
      <w:r>
        <w:rPr>
          <w:spacing w:val="-5"/>
        </w:rPr>
        <w:t>2.3</w:t>
      </w:r>
    </w:p>
    <w:p>
      <w:pPr>
        <w:pStyle w:val="BodyText"/>
        <w:spacing w:line="480" w:lineRule="auto" w:before="276"/>
        <w:ind w:left="1200" w:right="1437"/>
        <w:jc w:val="both"/>
      </w:pPr>
      <w:r>
        <w:rPr/>
        <w:t>A</w:t>
      </w:r>
      <w:r>
        <w:rPr>
          <w:spacing w:val="-2"/>
        </w:rPr>
        <w:t> </w:t>
      </w:r>
      <w:r>
        <w:rPr/>
        <w:t>similar</w:t>
      </w:r>
      <w:r>
        <w:rPr>
          <w:spacing w:val="-2"/>
        </w:rPr>
        <w:t> </w:t>
      </w:r>
      <w:r>
        <w:rPr/>
        <w:t>method</w:t>
      </w:r>
      <w:r>
        <w:rPr>
          <w:spacing w:val="-1"/>
        </w:rPr>
        <w:t> </w:t>
      </w:r>
      <w:r>
        <w:rPr/>
        <w:t>was</w:t>
      </w:r>
      <w:r>
        <w:rPr>
          <w:spacing w:val="-1"/>
        </w:rPr>
        <w:t> </w:t>
      </w:r>
      <w:r>
        <w:rPr/>
        <w:t>reported</w:t>
      </w:r>
      <w:r>
        <w:rPr>
          <w:spacing w:val="-1"/>
        </w:rPr>
        <w:t> </w:t>
      </w:r>
      <w:r>
        <w:rPr/>
        <w:t>in</w:t>
      </w:r>
      <w:r>
        <w:rPr>
          <w:spacing w:val="-1"/>
        </w:rPr>
        <w:t> </w:t>
      </w:r>
      <w:r>
        <w:rPr/>
        <w:t>which</w:t>
      </w:r>
      <w:r>
        <w:rPr>
          <w:spacing w:val="-1"/>
        </w:rPr>
        <w:t> </w:t>
      </w:r>
      <w:r>
        <w:rPr/>
        <w:t>the</w:t>
      </w:r>
      <w:r>
        <w:rPr>
          <w:spacing w:val="-2"/>
        </w:rPr>
        <w:t> </w:t>
      </w:r>
      <w:r>
        <w:rPr/>
        <w:t>reagent was</w:t>
      </w:r>
      <w:r>
        <w:rPr>
          <w:spacing w:val="-1"/>
        </w:rPr>
        <w:t> </w:t>
      </w:r>
      <w:r>
        <w:rPr/>
        <w:t>vanillin</w:t>
      </w:r>
      <w:r>
        <w:rPr>
          <w:spacing w:val="-1"/>
        </w:rPr>
        <w:t> </w:t>
      </w:r>
      <w:r>
        <w:rPr/>
        <w:t>in</w:t>
      </w:r>
      <w:r>
        <w:rPr>
          <w:spacing w:val="-1"/>
        </w:rPr>
        <w:t> </w:t>
      </w:r>
      <w:r>
        <w:rPr/>
        <w:t>acidic</w:t>
      </w:r>
      <w:r>
        <w:rPr>
          <w:spacing w:val="-2"/>
        </w:rPr>
        <w:t> </w:t>
      </w:r>
      <w:r>
        <w:rPr/>
        <w:t>medium (HCl)</w:t>
      </w:r>
      <w:r>
        <w:rPr>
          <w:spacing w:val="-2"/>
        </w:rPr>
        <w:t> </w:t>
      </w:r>
      <w:r>
        <w:rPr/>
        <w:t>resultin g</w:t>
      </w:r>
      <w:r>
        <w:rPr>
          <w:spacing w:val="-5"/>
        </w:rPr>
        <w:t> </w:t>
      </w:r>
      <w:r>
        <w:rPr/>
        <w:t>in</w:t>
      </w:r>
      <w:r>
        <w:rPr>
          <w:spacing w:val="-2"/>
        </w:rPr>
        <w:t> </w:t>
      </w:r>
      <w:r>
        <w:rPr/>
        <w:t>a</w:t>
      </w:r>
      <w:r>
        <w:rPr>
          <w:spacing w:val="-3"/>
        </w:rPr>
        <w:t> </w:t>
      </w:r>
      <w:r>
        <w:rPr/>
        <w:t>product</w:t>
      </w:r>
      <w:r>
        <w:rPr>
          <w:spacing w:val="-2"/>
        </w:rPr>
        <w:t> </w:t>
      </w:r>
      <w:r>
        <w:rPr/>
        <w:t>with</w:t>
      </w:r>
      <w:r>
        <w:rPr>
          <w:spacing w:val="-2"/>
        </w:rPr>
        <w:t> </w:t>
      </w:r>
      <w:r>
        <w:rPr/>
        <w:t>a</w:t>
      </w:r>
      <w:r>
        <w:rPr>
          <w:spacing w:val="-3"/>
        </w:rPr>
        <w:t> </w:t>
      </w:r>
      <w:r>
        <w:rPr/>
        <w:t>λmax</w:t>
      </w:r>
      <w:r>
        <w:rPr>
          <w:spacing w:val="40"/>
        </w:rPr>
        <w:t> </w:t>
      </w:r>
      <w:r>
        <w:rPr/>
        <w:t>405</w:t>
      </w:r>
      <w:r>
        <w:rPr>
          <w:spacing w:val="-1"/>
        </w:rPr>
        <w:t> </w:t>
      </w:r>
      <w:r>
        <w:rPr/>
        <w:t>nm.</w:t>
      </w:r>
      <w:r>
        <w:rPr>
          <w:spacing w:val="-2"/>
        </w:rPr>
        <w:t> </w:t>
      </w:r>
      <w:r>
        <w:rPr/>
        <w:t>Beer’s</w:t>
      </w:r>
      <w:r>
        <w:rPr>
          <w:spacing w:val="-2"/>
        </w:rPr>
        <w:t> </w:t>
      </w:r>
      <w:r>
        <w:rPr/>
        <w:t>law</w:t>
      </w:r>
      <w:r>
        <w:rPr>
          <w:spacing w:val="-1"/>
        </w:rPr>
        <w:t> </w:t>
      </w:r>
      <w:r>
        <w:rPr/>
        <w:t>was</w:t>
      </w:r>
      <w:r>
        <w:rPr>
          <w:spacing w:val="-2"/>
        </w:rPr>
        <w:t> </w:t>
      </w:r>
      <w:r>
        <w:rPr/>
        <w:t>obeyed</w:t>
      </w:r>
      <w:r>
        <w:rPr>
          <w:spacing w:val="-2"/>
        </w:rPr>
        <w:t> </w:t>
      </w:r>
      <w:r>
        <w:rPr/>
        <w:t>in</w:t>
      </w:r>
      <w:r>
        <w:rPr>
          <w:spacing w:val="-2"/>
        </w:rPr>
        <w:t> </w:t>
      </w:r>
      <w:r>
        <w:rPr/>
        <w:t>the</w:t>
      </w:r>
      <w:r>
        <w:rPr>
          <w:spacing w:val="-3"/>
        </w:rPr>
        <w:t> </w:t>
      </w:r>
      <w:r>
        <w:rPr/>
        <w:t>range</w:t>
      </w:r>
      <w:r>
        <w:rPr>
          <w:spacing w:val="40"/>
        </w:rPr>
        <w:t> </w:t>
      </w:r>
      <w:r>
        <w:rPr/>
        <w:t>of</w:t>
      </w:r>
      <w:r>
        <w:rPr>
          <w:spacing w:val="40"/>
        </w:rPr>
        <w:t> </w:t>
      </w:r>
      <w:r>
        <w:rPr/>
        <w:t>1-12</w:t>
      </w:r>
      <w:r>
        <w:rPr>
          <w:spacing w:val="40"/>
        </w:rPr>
        <w:t> </w:t>
      </w:r>
      <w:r>
        <w:rPr/>
        <w:t>µg/mL</w:t>
      </w:r>
      <w:r>
        <w:rPr>
          <w:vertAlign w:val="superscript"/>
        </w:rPr>
        <w:t>.</w:t>
      </w:r>
      <w:r>
        <w:rPr>
          <w:vertAlign w:val="baseline"/>
        </w:rPr>
        <w:t>(Oga, 2010).</w:t>
      </w:r>
      <w:r>
        <w:rPr>
          <w:spacing w:val="-3"/>
          <w:vertAlign w:val="baseline"/>
        </w:rPr>
        <w:t> </w:t>
      </w:r>
      <w:r>
        <w:rPr>
          <w:vertAlign w:val="baseline"/>
        </w:rPr>
        <w:t>This</w:t>
      </w:r>
      <w:r>
        <w:rPr>
          <w:spacing w:val="-2"/>
          <w:vertAlign w:val="baseline"/>
        </w:rPr>
        <w:t> </w:t>
      </w:r>
      <w:r>
        <w:rPr>
          <w:vertAlign w:val="baseline"/>
        </w:rPr>
        <w:t>method</w:t>
      </w:r>
      <w:r>
        <w:rPr>
          <w:spacing w:val="-2"/>
          <w:vertAlign w:val="baseline"/>
        </w:rPr>
        <w:t> </w:t>
      </w:r>
      <w:r>
        <w:rPr>
          <w:vertAlign w:val="baseline"/>
        </w:rPr>
        <w:t>has</w:t>
      </w:r>
      <w:r>
        <w:rPr>
          <w:spacing w:val="-1"/>
          <w:vertAlign w:val="baseline"/>
        </w:rPr>
        <w:t> </w:t>
      </w:r>
      <w:r>
        <w:rPr>
          <w:vertAlign w:val="baseline"/>
        </w:rPr>
        <w:t>advantage</w:t>
      </w:r>
      <w:r>
        <w:rPr>
          <w:spacing w:val="-3"/>
          <w:vertAlign w:val="baseline"/>
        </w:rPr>
        <w:t> </w:t>
      </w:r>
      <w:r>
        <w:rPr>
          <w:vertAlign w:val="baseline"/>
        </w:rPr>
        <w:t>of</w:t>
      </w:r>
      <w:r>
        <w:rPr>
          <w:spacing w:val="-2"/>
          <w:vertAlign w:val="baseline"/>
        </w:rPr>
        <w:t> </w:t>
      </w:r>
      <w:r>
        <w:rPr>
          <w:vertAlign w:val="baseline"/>
        </w:rPr>
        <w:t>being</w:t>
      </w:r>
      <w:r>
        <w:rPr>
          <w:spacing w:val="-2"/>
          <w:vertAlign w:val="baseline"/>
        </w:rPr>
        <w:t> </w:t>
      </w:r>
      <w:r>
        <w:rPr>
          <w:vertAlign w:val="baseline"/>
        </w:rPr>
        <w:t>rapid, simple,</w:t>
      </w:r>
      <w:r>
        <w:rPr>
          <w:spacing w:val="-2"/>
          <w:vertAlign w:val="baseline"/>
        </w:rPr>
        <w:t> </w:t>
      </w:r>
      <w:r>
        <w:rPr>
          <w:vertAlign w:val="baseline"/>
        </w:rPr>
        <w:t>sensitive</w:t>
      </w:r>
      <w:r>
        <w:rPr>
          <w:spacing w:val="-2"/>
          <w:vertAlign w:val="baseline"/>
        </w:rPr>
        <w:t> </w:t>
      </w:r>
      <w:r>
        <w:rPr>
          <w:vertAlign w:val="baseline"/>
        </w:rPr>
        <w:t>and</w:t>
      </w:r>
      <w:r>
        <w:rPr>
          <w:spacing w:val="-1"/>
          <w:vertAlign w:val="baseline"/>
        </w:rPr>
        <w:t> </w:t>
      </w:r>
      <w:r>
        <w:rPr>
          <w:vertAlign w:val="baseline"/>
        </w:rPr>
        <w:t>low cost</w:t>
      </w:r>
      <w:r>
        <w:rPr>
          <w:spacing w:val="-2"/>
          <w:vertAlign w:val="baseline"/>
        </w:rPr>
        <w:t> </w:t>
      </w:r>
      <w:r>
        <w:rPr>
          <w:vertAlign w:val="baseline"/>
        </w:rPr>
        <w:t>however</w:t>
      </w:r>
      <w:r>
        <w:rPr>
          <w:spacing w:val="-1"/>
          <w:vertAlign w:val="baseline"/>
        </w:rPr>
        <w:t> </w:t>
      </w:r>
      <w:r>
        <w:rPr>
          <w:vertAlign w:val="baseline"/>
        </w:rPr>
        <w:t>there</w:t>
      </w:r>
      <w:r>
        <w:rPr>
          <w:spacing w:val="-3"/>
          <w:vertAlign w:val="baseline"/>
        </w:rPr>
        <w:t> </w:t>
      </w:r>
      <w:r>
        <w:rPr>
          <w:vertAlign w:val="baseline"/>
        </w:rPr>
        <w:t>is poor linearity (r = 0.96) and limit of detection and limit of quantification, were not indicated.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2"/>
      </w:pPr>
    </w:p>
    <w:p>
      <w:pPr>
        <w:pStyle w:val="BodyText"/>
        <w:spacing w:line="480" w:lineRule="auto" w:before="1"/>
        <w:ind w:left="1200" w:right="1438" w:firstLine="7517"/>
      </w:pPr>
      <w:r>
        <w:rPr/>
        <mc:AlternateContent>
          <mc:Choice Requires="wps">
            <w:drawing>
              <wp:anchor distT="0" distB="0" distL="0" distR="0" allowOverlap="1" layoutInCell="1" locked="0" behindDoc="0" simplePos="0" relativeHeight="15732736">
                <wp:simplePos x="0" y="0"/>
                <wp:positionH relativeFrom="page">
                  <wp:posOffset>919737</wp:posOffset>
                </wp:positionH>
                <wp:positionV relativeFrom="paragraph">
                  <wp:posOffset>-1699949</wp:posOffset>
                </wp:positionV>
                <wp:extent cx="4789170" cy="181991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4789170" cy="1819910"/>
                          <a:chExt cx="4789170" cy="1819910"/>
                        </a:xfrm>
                      </wpg:grpSpPr>
                      <pic:pic>
                        <pic:nvPicPr>
                          <pic:cNvPr id="16" name="Image 16"/>
                          <pic:cNvPicPr/>
                        </pic:nvPicPr>
                        <pic:blipFill>
                          <a:blip r:embed="rId8" cstate="print"/>
                          <a:stretch>
                            <a:fillRect/>
                          </a:stretch>
                        </pic:blipFill>
                        <pic:spPr>
                          <a:xfrm>
                            <a:off x="0" y="0"/>
                            <a:ext cx="4680506" cy="1819702"/>
                          </a:xfrm>
                          <a:prstGeom prst="rect">
                            <a:avLst/>
                          </a:prstGeom>
                        </pic:spPr>
                      </pic:pic>
                      <wps:wsp>
                        <wps:cNvPr id="17" name="Textbox 17"/>
                        <wps:cNvSpPr txBox="1"/>
                        <wps:spPr>
                          <a:xfrm>
                            <a:off x="1700245" y="1012358"/>
                            <a:ext cx="624205" cy="169545"/>
                          </a:xfrm>
                          <a:prstGeom prst="rect">
                            <a:avLst/>
                          </a:prstGeom>
                        </wps:spPr>
                        <wps:txbx>
                          <w:txbxContent>
                            <w:p>
                              <w:pPr>
                                <w:spacing w:line="267" w:lineRule="exact" w:before="0"/>
                                <w:ind w:left="0" w:right="0" w:firstLine="0"/>
                                <w:jc w:val="left"/>
                                <w:rPr>
                                  <w:sz w:val="24"/>
                                </w:rPr>
                              </w:pPr>
                              <w:r>
                                <w:rPr>
                                  <w:sz w:val="24"/>
                                </w:rPr>
                                <w:t>Cond.</w:t>
                              </w:r>
                              <w:r>
                                <w:rPr>
                                  <w:spacing w:val="-3"/>
                                  <w:sz w:val="24"/>
                                </w:rPr>
                                <w:t> </w:t>
                              </w:r>
                              <w:r>
                                <w:rPr>
                                  <w:spacing w:val="-5"/>
                                  <w:sz w:val="24"/>
                                </w:rPr>
                                <w:t>rxn</w:t>
                              </w:r>
                            </w:p>
                          </w:txbxContent>
                        </wps:txbx>
                        <wps:bodyPr wrap="square" lIns="0" tIns="0" rIns="0" bIns="0" rtlCol="0">
                          <a:noAutofit/>
                        </wps:bodyPr>
                      </wps:wsp>
                      <wps:wsp>
                        <wps:cNvPr id="18" name="Textbox 18"/>
                        <wps:cNvSpPr txBox="1"/>
                        <wps:spPr>
                          <a:xfrm>
                            <a:off x="4297198" y="1135886"/>
                            <a:ext cx="492125" cy="217170"/>
                          </a:xfrm>
                          <a:prstGeom prst="rect">
                            <a:avLst/>
                          </a:prstGeom>
                        </wps:spPr>
                        <wps:txbx>
                          <w:txbxContent>
                            <w:p>
                              <w:pPr>
                                <w:spacing w:line="228" w:lineRule="auto" w:before="0"/>
                                <w:ind w:left="0" w:right="0" w:firstLine="0"/>
                                <w:jc w:val="left"/>
                                <w:rPr>
                                  <w:sz w:val="24"/>
                                </w:rPr>
                              </w:pPr>
                              <w:r>
                                <w:rPr>
                                  <w:position w:val="-6"/>
                                  <w:sz w:val="24"/>
                                </w:rPr>
                                <w:t>+</w:t>
                              </w:r>
                              <w:r>
                                <w:rPr>
                                  <w:spacing w:val="60"/>
                                  <w:w w:val="150"/>
                                  <w:position w:val="-6"/>
                                  <w:sz w:val="24"/>
                                </w:rPr>
                                <w:t> </w:t>
                              </w:r>
                              <w:r>
                                <w:rPr>
                                  <w:spacing w:val="-5"/>
                                  <w:sz w:val="24"/>
                                </w:rPr>
                                <w:t>H2O</w:t>
                              </w:r>
                            </w:p>
                          </w:txbxContent>
                        </wps:txbx>
                        <wps:bodyPr wrap="square" lIns="0" tIns="0" rIns="0" bIns="0" rtlCol="0">
                          <a:noAutofit/>
                        </wps:bodyPr>
                      </wps:wsp>
                    </wpg:wgp>
                  </a:graphicData>
                </a:graphic>
              </wp:anchor>
            </w:drawing>
          </mc:Choice>
          <mc:Fallback>
            <w:pict>
              <v:group style="position:absolute;margin-left:72.420258pt;margin-top:-133.854294pt;width:377.1pt;height:143.3pt;mso-position-horizontal-relative:page;mso-position-vertical-relative:paragraph;z-index:15732736" id="docshapegroup11" coordorigin="1448,-2677" coordsize="7542,2866">
                <v:shape style="position:absolute;left:1448;top:-2678;width:7371;height:2866" type="#_x0000_t75" id="docshape12" stroked="false">
                  <v:imagedata r:id="rId8" o:title=""/>
                </v:shape>
                <v:shape style="position:absolute;left:4125;top:-1083;width:983;height:267" type="#_x0000_t202" id="docshape13" filled="false" stroked="false">
                  <v:textbox inset="0,0,0,0">
                    <w:txbxContent>
                      <w:p>
                        <w:pPr>
                          <w:spacing w:line="267" w:lineRule="exact" w:before="0"/>
                          <w:ind w:left="0" w:right="0" w:firstLine="0"/>
                          <w:jc w:val="left"/>
                          <w:rPr>
                            <w:sz w:val="24"/>
                          </w:rPr>
                        </w:pPr>
                        <w:r>
                          <w:rPr>
                            <w:sz w:val="24"/>
                          </w:rPr>
                          <w:t>Cond.</w:t>
                        </w:r>
                        <w:r>
                          <w:rPr>
                            <w:spacing w:val="-3"/>
                            <w:sz w:val="24"/>
                          </w:rPr>
                          <w:t> </w:t>
                        </w:r>
                        <w:r>
                          <w:rPr>
                            <w:spacing w:val="-5"/>
                            <w:sz w:val="24"/>
                          </w:rPr>
                          <w:t>rxn</w:t>
                        </w:r>
                      </w:p>
                    </w:txbxContent>
                  </v:textbox>
                  <w10:wrap type="none"/>
                </v:shape>
                <v:shape style="position:absolute;left:8215;top:-889;width:775;height:342" type="#_x0000_t202" id="docshape14" filled="false" stroked="false">
                  <v:textbox inset="0,0,0,0">
                    <w:txbxContent>
                      <w:p>
                        <w:pPr>
                          <w:spacing w:line="228" w:lineRule="auto" w:before="0"/>
                          <w:ind w:left="0" w:right="0" w:firstLine="0"/>
                          <w:jc w:val="left"/>
                          <w:rPr>
                            <w:sz w:val="24"/>
                          </w:rPr>
                        </w:pPr>
                        <w:r>
                          <w:rPr>
                            <w:position w:val="-6"/>
                            <w:sz w:val="24"/>
                          </w:rPr>
                          <w:t>+</w:t>
                        </w:r>
                        <w:r>
                          <w:rPr>
                            <w:spacing w:val="60"/>
                            <w:w w:val="150"/>
                            <w:position w:val="-6"/>
                            <w:sz w:val="24"/>
                          </w:rPr>
                          <w:t> </w:t>
                        </w:r>
                        <w:r>
                          <w:rPr>
                            <w:spacing w:val="-5"/>
                            <w:sz w:val="24"/>
                          </w:rPr>
                          <w:t>H2O</w:t>
                        </w:r>
                      </w:p>
                    </w:txbxContent>
                  </v:textbox>
                  <w10:wrap type="none"/>
                </v:shape>
                <w10:wrap type="none"/>
              </v:group>
            </w:pict>
          </mc:Fallback>
        </mc:AlternateContent>
      </w:r>
      <w:r>
        <w:rPr/>
        <w:t>…..equation 2.4 Isoniazid was reported to react with 1, 2-naphthoquinone-4-sulfonate (NQS) atpH 13 to form a</w:t>
      </w:r>
      <w:r>
        <w:rPr>
          <w:spacing w:val="40"/>
        </w:rPr>
        <w:t> </w:t>
      </w:r>
      <w:r>
        <w:rPr/>
        <w:t>pink-colored</w:t>
      </w:r>
      <w:r>
        <w:rPr>
          <w:spacing w:val="-1"/>
        </w:rPr>
        <w:t> </w:t>
      </w:r>
      <w:r>
        <w:rPr/>
        <w:t>product</w:t>
      </w:r>
      <w:r>
        <w:rPr>
          <w:spacing w:val="1"/>
        </w:rPr>
        <w:t> </w:t>
      </w:r>
      <w:r>
        <w:rPr/>
        <w:t>which</w:t>
      </w:r>
      <w:r>
        <w:rPr>
          <w:spacing w:val="1"/>
        </w:rPr>
        <w:t> </w:t>
      </w:r>
      <w:r>
        <w:rPr/>
        <w:t>was</w:t>
      </w:r>
      <w:r>
        <w:rPr>
          <w:spacing w:val="4"/>
        </w:rPr>
        <w:t> </w:t>
      </w:r>
      <w:r>
        <w:rPr/>
        <w:t>measured</w:t>
      </w:r>
      <w:r>
        <w:rPr>
          <w:spacing w:val="3"/>
        </w:rPr>
        <w:t> </w:t>
      </w:r>
      <w:r>
        <w:rPr/>
        <w:t>at</w:t>
      </w:r>
      <w:r>
        <w:rPr>
          <w:spacing w:val="1"/>
        </w:rPr>
        <w:t> </w:t>
      </w:r>
      <w:r>
        <w:rPr/>
        <w:t>495</w:t>
      </w:r>
      <w:r>
        <w:rPr>
          <w:spacing w:val="3"/>
        </w:rPr>
        <w:t> </w:t>
      </w:r>
      <w:r>
        <w:rPr/>
        <w:t>nm.</w:t>
      </w:r>
      <w:r>
        <w:rPr>
          <w:spacing w:val="2"/>
        </w:rPr>
        <w:t> </w:t>
      </w:r>
      <w:r>
        <w:rPr/>
        <w:t>Beer’s</w:t>
      </w:r>
      <w:r>
        <w:rPr>
          <w:spacing w:val="3"/>
        </w:rPr>
        <w:t> </w:t>
      </w:r>
      <w:r>
        <w:rPr/>
        <w:t>law</w:t>
      </w:r>
      <w:r>
        <w:rPr>
          <w:spacing w:val="2"/>
        </w:rPr>
        <w:t> </w:t>
      </w:r>
      <w:r>
        <w:rPr/>
        <w:t>was</w:t>
      </w:r>
      <w:r>
        <w:rPr>
          <w:spacing w:val="3"/>
        </w:rPr>
        <w:t> </w:t>
      </w:r>
      <w:r>
        <w:rPr/>
        <w:t>obeyed</w:t>
      </w:r>
      <w:r>
        <w:rPr>
          <w:spacing w:val="2"/>
        </w:rPr>
        <w:t> </w:t>
      </w:r>
      <w:r>
        <w:rPr/>
        <w:t>in</w:t>
      </w:r>
      <w:r>
        <w:rPr>
          <w:spacing w:val="1"/>
        </w:rPr>
        <w:t> </w:t>
      </w:r>
      <w:r>
        <w:rPr/>
        <w:t>the</w:t>
      </w:r>
      <w:r>
        <w:rPr>
          <w:spacing w:val="3"/>
        </w:rPr>
        <w:t> </w:t>
      </w:r>
      <w:r>
        <w:rPr/>
        <w:t>range</w:t>
      </w:r>
      <w:r>
        <w:rPr>
          <w:spacing w:val="1"/>
        </w:rPr>
        <w:t> </w:t>
      </w:r>
      <w:r>
        <w:rPr/>
        <w:t>0.5-</w:t>
      </w:r>
      <w:r>
        <w:rPr>
          <w:spacing w:val="-5"/>
        </w:rPr>
        <w:t>30</w:t>
      </w:r>
    </w:p>
    <w:p>
      <w:pPr>
        <w:spacing w:after="0" w:line="480" w:lineRule="auto"/>
        <w:sectPr>
          <w:pgSz w:w="12240" w:h="15840"/>
          <w:pgMar w:header="0" w:footer="1015" w:top="1360" w:bottom="1200" w:left="240" w:right="0"/>
        </w:sectPr>
      </w:pPr>
    </w:p>
    <w:p>
      <w:pPr>
        <w:pStyle w:val="BodyText"/>
        <w:spacing w:line="480" w:lineRule="auto" w:before="72"/>
        <w:ind w:left="1200" w:right="1438"/>
        <w:jc w:val="both"/>
      </w:pPr>
      <w:r>
        <w:rPr/>
        <w:drawing>
          <wp:anchor distT="0" distB="0" distL="0" distR="0" allowOverlap="1" layoutInCell="1" locked="0" behindDoc="0" simplePos="0" relativeHeight="15733248">
            <wp:simplePos x="0" y="0"/>
            <wp:positionH relativeFrom="page">
              <wp:posOffset>1085131</wp:posOffset>
            </wp:positionH>
            <wp:positionV relativeFrom="paragraph">
              <wp:posOffset>755948</wp:posOffset>
            </wp:positionV>
            <wp:extent cx="5756766" cy="1815801"/>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9" cstate="print"/>
                    <a:stretch>
                      <a:fillRect/>
                    </a:stretch>
                  </pic:blipFill>
                  <pic:spPr>
                    <a:xfrm>
                      <a:off x="0" y="0"/>
                      <a:ext cx="5756766" cy="1815801"/>
                    </a:xfrm>
                    <a:prstGeom prst="rect">
                      <a:avLst/>
                    </a:prstGeom>
                  </pic:spPr>
                </pic:pic>
              </a:graphicData>
            </a:graphic>
          </wp:anchor>
        </w:drawing>
      </w:r>
      <w:r>
        <w:rPr/>
        <w:t>µg/mL.(Ravalkashyap</w:t>
      </w:r>
      <w:r>
        <w:rPr>
          <w:i/>
        </w:rPr>
        <w:t>et al., </w:t>
      </w:r>
      <w:r>
        <w:rPr/>
        <w:t>2012).</w:t>
      </w:r>
      <w:r>
        <w:rPr>
          <w:spacing w:val="-3"/>
        </w:rPr>
        <w:t> </w:t>
      </w:r>
      <w:r>
        <w:rPr/>
        <w:t>This methodrequires an expensive reagents that are not readily available.</w:t>
      </w:r>
    </w:p>
    <w:p>
      <w:pPr>
        <w:pStyle w:val="BodyText"/>
      </w:pPr>
    </w:p>
    <w:p>
      <w:pPr>
        <w:pStyle w:val="BodyText"/>
      </w:pPr>
    </w:p>
    <w:p>
      <w:pPr>
        <w:pStyle w:val="BodyText"/>
        <w:spacing w:before="192"/>
      </w:pPr>
    </w:p>
    <w:p>
      <w:pPr>
        <w:spacing w:before="0"/>
        <w:ind w:left="1201" w:right="0" w:firstLine="0"/>
        <w:jc w:val="left"/>
        <w:rPr>
          <w:sz w:val="23"/>
        </w:rPr>
      </w:pPr>
      <w:r>
        <w:rPr>
          <w:spacing w:val="-10"/>
          <w:sz w:val="23"/>
        </w:rPr>
        <w:t>2</w: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21"/>
        <w:rPr>
          <w:sz w:val="23"/>
        </w:rPr>
      </w:pPr>
    </w:p>
    <w:p>
      <w:pPr>
        <w:pStyle w:val="BodyText"/>
        <w:ind w:left="1200"/>
      </w:pPr>
      <w:r>
        <w:rPr/>
        <w:t>……..equation</w:t>
      </w:r>
      <w:r>
        <w:rPr>
          <w:spacing w:val="-2"/>
        </w:rPr>
        <w:t> </w:t>
      </w:r>
      <w:r>
        <w:rPr>
          <w:spacing w:val="-5"/>
        </w:rPr>
        <w:t>2.5</w:t>
      </w:r>
    </w:p>
    <w:p>
      <w:pPr>
        <w:pStyle w:val="BodyText"/>
      </w:pPr>
    </w:p>
    <w:p>
      <w:pPr>
        <w:pStyle w:val="BodyText"/>
      </w:pPr>
    </w:p>
    <w:p>
      <w:pPr>
        <w:pStyle w:val="BodyText"/>
        <w:spacing w:line="480" w:lineRule="auto"/>
        <w:ind w:left="1200" w:right="1436"/>
        <w:jc w:val="both"/>
      </w:pPr>
      <w:r>
        <w:rPr/>
        <w:t>Another</w:t>
      </w:r>
      <w:r>
        <w:rPr>
          <w:spacing w:val="-4"/>
        </w:rPr>
        <w:t> </w:t>
      </w:r>
      <w:r>
        <w:rPr/>
        <w:t>method</w:t>
      </w:r>
      <w:r>
        <w:rPr>
          <w:spacing w:val="-3"/>
        </w:rPr>
        <w:t> </w:t>
      </w:r>
      <w:r>
        <w:rPr/>
        <w:t>with similar problem is the reaction of isoniazid with isatin in acidic (pH 1.4) to formisatin-isonicotinyl hydrazone</w:t>
      </w:r>
      <w:r>
        <w:rPr>
          <w:spacing w:val="-1"/>
        </w:rPr>
        <w:t> </w:t>
      </w:r>
      <w:r>
        <w:rPr/>
        <w:t>(yellow</w:t>
      </w:r>
      <w:r>
        <w:rPr>
          <w:spacing w:val="-1"/>
        </w:rPr>
        <w:t> </w:t>
      </w:r>
      <w:r>
        <w:rPr/>
        <w:t>colored product)</w:t>
      </w:r>
      <w:r>
        <w:rPr>
          <w:spacing w:val="-1"/>
        </w:rPr>
        <w:t> </w:t>
      </w:r>
      <w:r>
        <w:rPr/>
        <w:t>with λmax of</w:t>
      </w:r>
      <w:r>
        <w:rPr>
          <w:spacing w:val="-1"/>
        </w:rPr>
        <w:t> </w:t>
      </w:r>
      <w:r>
        <w:rPr/>
        <w:t>340 nm. Beer’s law</w:t>
      </w:r>
      <w:r>
        <w:rPr>
          <w:spacing w:val="-1"/>
        </w:rPr>
        <w:t> </w:t>
      </w:r>
      <w:r>
        <w:rPr/>
        <w:t>wa s obeyed in the range of 0-32 µg/mL (AbdelHamid</w:t>
      </w:r>
      <w:r>
        <w:rPr>
          <w:i/>
        </w:rPr>
        <w:t>et al.</w:t>
      </w:r>
      <w:r>
        <w:rPr/>
        <w:t>, 1992).</w:t>
      </w:r>
    </w:p>
    <w:p>
      <w:pPr>
        <w:pStyle w:val="BodyText"/>
        <w:spacing w:line="480" w:lineRule="auto" w:before="1"/>
        <w:ind w:left="1200" w:right="1441"/>
      </w:pPr>
      <w:r>
        <w:rPr/>
        <w:t>Isoniazid was also reported to reactwith 2-hydroxy-1,4-napthoquinone (HNQ) at pH 3 in aqueous-methanolic</w:t>
      </w:r>
      <w:r>
        <w:rPr>
          <w:spacing w:val="28"/>
        </w:rPr>
        <w:t> </w:t>
      </w:r>
      <w:r>
        <w:rPr/>
        <w:t>solution</w:t>
      </w:r>
      <w:r>
        <w:rPr>
          <w:spacing w:val="31"/>
        </w:rPr>
        <w:t> </w:t>
      </w:r>
      <w:r>
        <w:rPr/>
        <w:t>to</w:t>
      </w:r>
      <w:r>
        <w:rPr>
          <w:spacing w:val="29"/>
        </w:rPr>
        <w:t> </w:t>
      </w:r>
      <w:r>
        <w:rPr/>
        <w:t>give</w:t>
      </w:r>
      <w:r>
        <w:rPr>
          <w:spacing w:val="29"/>
        </w:rPr>
        <w:t> </w:t>
      </w:r>
      <w:r>
        <w:rPr/>
        <w:t>a</w:t>
      </w:r>
      <w:r>
        <w:rPr>
          <w:spacing w:val="33"/>
        </w:rPr>
        <w:t> </w:t>
      </w:r>
      <w:r>
        <w:rPr/>
        <w:t>yellow</w:t>
      </w:r>
      <w:r>
        <w:rPr>
          <w:spacing w:val="28"/>
        </w:rPr>
        <w:t> </w:t>
      </w:r>
      <w:r>
        <w:rPr/>
        <w:t>colored</w:t>
      </w:r>
      <w:r>
        <w:rPr>
          <w:spacing w:val="29"/>
        </w:rPr>
        <w:t> </w:t>
      </w:r>
      <w:r>
        <w:rPr/>
        <w:t>product</w:t>
      </w:r>
      <w:r>
        <w:rPr>
          <w:spacing w:val="29"/>
        </w:rPr>
        <w:t> </w:t>
      </w:r>
      <w:r>
        <w:rPr/>
        <w:t>having</w:t>
      </w:r>
      <w:r>
        <w:rPr>
          <w:spacing w:val="26"/>
        </w:rPr>
        <w:t> </w:t>
      </w:r>
      <w:r>
        <w:rPr/>
        <w:t>absorption</w:t>
      </w:r>
      <w:r>
        <w:rPr>
          <w:spacing w:val="29"/>
        </w:rPr>
        <w:t> </w:t>
      </w:r>
      <w:r>
        <w:rPr/>
        <w:t>maximum</w:t>
      </w:r>
      <w:r>
        <w:rPr>
          <w:spacing w:val="29"/>
        </w:rPr>
        <w:t> </w:t>
      </w:r>
      <w:r>
        <w:rPr/>
        <w:t>at 365 nm (Rind</w:t>
      </w:r>
      <w:r>
        <w:rPr>
          <w:i/>
        </w:rPr>
        <w:t>et al., </w:t>
      </w:r>
      <w:r>
        <w:rPr/>
        <w:t>2005).</w:t>
      </w:r>
    </w:p>
    <w:p>
      <w:pPr>
        <w:pStyle w:val="BodyText"/>
        <w:spacing w:line="480" w:lineRule="auto"/>
        <w:ind w:left="1200" w:right="1437"/>
        <w:jc w:val="both"/>
      </w:pPr>
      <w:r>
        <w:rPr/>
        <w:drawing>
          <wp:anchor distT="0" distB="0" distL="0" distR="0" allowOverlap="1" layoutInCell="1" locked="0" behindDoc="0" simplePos="0" relativeHeight="15733760">
            <wp:simplePos x="0" y="0"/>
            <wp:positionH relativeFrom="page">
              <wp:posOffset>1091045</wp:posOffset>
            </wp:positionH>
            <wp:positionV relativeFrom="paragraph">
              <wp:posOffset>1064535</wp:posOffset>
            </wp:positionV>
            <wp:extent cx="5759699" cy="1425372"/>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5759699" cy="1425372"/>
                    </a:xfrm>
                    <a:prstGeom prst="rect">
                      <a:avLst/>
                    </a:prstGeom>
                  </pic:spPr>
                </pic:pic>
              </a:graphicData>
            </a:graphic>
          </wp:anchor>
        </w:drawing>
      </w:r>
      <w:r>
        <w:rPr/>
        <w:t>This method in addition to having similar problem is the reaction of</w:t>
      </w:r>
      <w:r>
        <w:rPr>
          <w:spacing w:val="-2"/>
        </w:rPr>
        <w:t> </w:t>
      </w:r>
      <w:r>
        <w:rPr/>
        <w:t>isoniazid</w:t>
      </w:r>
      <w:r>
        <w:rPr>
          <w:spacing w:val="-1"/>
        </w:rPr>
        <w:t> </w:t>
      </w:r>
      <w:r>
        <w:rPr/>
        <w:t>with</w:t>
      </w:r>
      <w:r>
        <w:rPr>
          <w:spacing w:val="-2"/>
        </w:rPr>
        <w:t> </w:t>
      </w:r>
      <w:r>
        <w:rPr/>
        <w:t>6</w:t>
      </w:r>
      <w:r>
        <w:rPr>
          <w:spacing w:val="-2"/>
        </w:rPr>
        <w:t> </w:t>
      </w:r>
      <w:r>
        <w:rPr/>
        <w:t>-methyl-2- pyridinecarboxaldehyde</w:t>
      </w:r>
      <w:r>
        <w:rPr>
          <w:spacing w:val="-1"/>
        </w:rPr>
        <w:t> </w:t>
      </w:r>
      <w:r>
        <w:rPr/>
        <w:t>(MPA)</w:t>
      </w:r>
      <w:r>
        <w:rPr>
          <w:spacing w:val="-4"/>
        </w:rPr>
        <w:t> </w:t>
      </w:r>
      <w:r>
        <w:rPr/>
        <w:t>resulting</w:t>
      </w:r>
      <w:r>
        <w:rPr>
          <w:spacing w:val="-5"/>
        </w:rPr>
        <w:t> </w:t>
      </w:r>
      <w:r>
        <w:rPr/>
        <w:t>in</w:t>
      </w:r>
      <w:r>
        <w:rPr>
          <w:spacing w:val="-1"/>
        </w:rPr>
        <w:t> </w:t>
      </w:r>
      <w:r>
        <w:rPr/>
        <w:t>a</w:t>
      </w:r>
      <w:r>
        <w:rPr>
          <w:spacing w:val="-4"/>
        </w:rPr>
        <w:t> </w:t>
      </w:r>
      <w:r>
        <w:rPr/>
        <w:t>coloured</w:t>
      </w:r>
      <w:r>
        <w:rPr>
          <w:spacing w:val="-3"/>
        </w:rPr>
        <w:t> </w:t>
      </w:r>
      <w:r>
        <w:rPr/>
        <w:t>hydrazine</w:t>
      </w:r>
      <w:r>
        <w:rPr>
          <w:spacing w:val="-3"/>
        </w:rPr>
        <w:t> </w:t>
      </w:r>
      <w:r>
        <w:rPr/>
        <w:t>with</w:t>
      </w:r>
      <w:r>
        <w:rPr>
          <w:spacing w:val="-3"/>
        </w:rPr>
        <w:t> </w:t>
      </w:r>
      <w:r>
        <w:rPr/>
        <w:t>λmax</w:t>
      </w:r>
      <w:r>
        <w:rPr>
          <w:spacing w:val="-1"/>
        </w:rPr>
        <w:t> </w:t>
      </w:r>
      <w:r>
        <w:rPr/>
        <w:t>at</w:t>
      </w:r>
      <w:r>
        <w:rPr>
          <w:spacing w:val="-2"/>
        </w:rPr>
        <w:t> </w:t>
      </w:r>
      <w:r>
        <w:rPr/>
        <w:t>328</w:t>
      </w:r>
      <w:r>
        <w:rPr>
          <w:spacing w:val="-3"/>
        </w:rPr>
        <w:t> </w:t>
      </w:r>
      <w:r>
        <w:rPr/>
        <w:t>nm</w:t>
      </w:r>
      <w:r>
        <w:rPr>
          <w:spacing w:val="-3"/>
        </w:rPr>
        <w:t> </w:t>
      </w:r>
      <w:r>
        <w:rPr/>
        <w:t>obeyed</w:t>
      </w:r>
      <w:r>
        <w:rPr>
          <w:spacing w:val="-1"/>
        </w:rPr>
        <w:t> </w:t>
      </w:r>
      <w:r>
        <w:rPr/>
        <w:t>B eer’s law but detection limit was very high (Khuhawar</w:t>
      </w:r>
      <w:r>
        <w:rPr>
          <w:i/>
        </w:rPr>
        <w:t>et al., </w:t>
      </w:r>
      <w:r>
        <w:rPr/>
        <w:t>1988).</w:t>
      </w:r>
    </w:p>
    <w:p>
      <w:pPr>
        <w:pStyle w:val="BodyText"/>
      </w:pPr>
    </w:p>
    <w:p>
      <w:pPr>
        <w:pStyle w:val="BodyText"/>
      </w:pPr>
    </w:p>
    <w:p>
      <w:pPr>
        <w:pStyle w:val="BodyText"/>
        <w:spacing w:before="254"/>
      </w:pPr>
    </w:p>
    <w:p>
      <w:pPr>
        <w:spacing w:before="0"/>
        <w:ind w:left="1201" w:right="0" w:firstLine="0"/>
        <w:jc w:val="left"/>
        <w:rPr>
          <w:sz w:val="23"/>
        </w:rPr>
      </w:pPr>
      <w:r>
        <w:rPr>
          <w:spacing w:val="-10"/>
          <w:sz w:val="23"/>
        </w:rPr>
        <w:t>2</w:t>
      </w:r>
    </w:p>
    <w:p>
      <w:pPr>
        <w:pStyle w:val="BodyText"/>
        <w:rPr>
          <w:sz w:val="23"/>
        </w:rPr>
      </w:pPr>
    </w:p>
    <w:p>
      <w:pPr>
        <w:pStyle w:val="BodyText"/>
        <w:rPr>
          <w:sz w:val="23"/>
        </w:rPr>
      </w:pPr>
    </w:p>
    <w:p>
      <w:pPr>
        <w:pStyle w:val="BodyText"/>
        <w:spacing w:before="124"/>
        <w:rPr>
          <w:sz w:val="23"/>
        </w:rPr>
      </w:pPr>
    </w:p>
    <w:p>
      <w:pPr>
        <w:pStyle w:val="BodyText"/>
        <w:ind w:left="1260"/>
      </w:pPr>
      <w:r>
        <w:rPr/>
        <w:t>…..equation</w:t>
      </w:r>
      <w:r>
        <w:rPr>
          <w:spacing w:val="-2"/>
        </w:rPr>
        <w:t> </w:t>
      </w:r>
      <w:r>
        <w:rPr>
          <w:spacing w:val="-5"/>
        </w:rPr>
        <w:t>2.6</w:t>
      </w:r>
    </w:p>
    <w:p>
      <w:pPr>
        <w:spacing w:after="0"/>
        <w:sectPr>
          <w:pgSz w:w="12240" w:h="15840"/>
          <w:pgMar w:header="0" w:footer="1015" w:top="1360" w:bottom="1200" w:left="240" w:right="0"/>
        </w:sectPr>
      </w:pPr>
    </w:p>
    <w:p>
      <w:pPr>
        <w:pStyle w:val="BodyText"/>
      </w:pPr>
    </w:p>
    <w:p>
      <w:pPr>
        <w:pStyle w:val="BodyText"/>
      </w:pPr>
    </w:p>
    <w:p>
      <w:pPr>
        <w:pStyle w:val="BodyText"/>
      </w:pPr>
    </w:p>
    <w:p>
      <w:pPr>
        <w:pStyle w:val="BodyText"/>
      </w:pPr>
    </w:p>
    <w:p>
      <w:pPr>
        <w:pStyle w:val="BodyText"/>
        <w:spacing w:before="25"/>
      </w:pPr>
    </w:p>
    <w:p>
      <w:pPr>
        <w:pStyle w:val="BodyText"/>
        <w:ind w:right="1885"/>
        <w:jc w:val="right"/>
      </w:pPr>
      <w:r>
        <w:rPr/>
        <mc:AlternateContent>
          <mc:Choice Requires="wps">
            <w:drawing>
              <wp:anchor distT="0" distB="0" distL="0" distR="0" allowOverlap="1" layoutInCell="1" locked="0" behindDoc="0" simplePos="0" relativeHeight="15734272">
                <wp:simplePos x="0" y="0"/>
                <wp:positionH relativeFrom="page">
                  <wp:posOffset>915161</wp:posOffset>
                </wp:positionH>
                <wp:positionV relativeFrom="paragraph">
                  <wp:posOffset>-782018</wp:posOffset>
                </wp:positionV>
                <wp:extent cx="5368290" cy="139001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5368290" cy="1390015"/>
                          <a:chExt cx="5368290" cy="1390015"/>
                        </a:xfrm>
                      </wpg:grpSpPr>
                      <pic:pic>
                        <pic:nvPicPr>
                          <pic:cNvPr id="22" name="Image 22"/>
                          <pic:cNvPicPr/>
                        </pic:nvPicPr>
                        <pic:blipFill>
                          <a:blip r:embed="rId11" cstate="print"/>
                          <a:stretch>
                            <a:fillRect/>
                          </a:stretch>
                        </pic:blipFill>
                        <pic:spPr>
                          <a:xfrm>
                            <a:off x="0" y="0"/>
                            <a:ext cx="5367798" cy="1389914"/>
                          </a:xfrm>
                          <a:prstGeom prst="rect">
                            <a:avLst/>
                          </a:prstGeom>
                        </pic:spPr>
                      </pic:pic>
                      <wps:wsp>
                        <wps:cNvPr id="23" name="Textbox 23"/>
                        <wps:cNvSpPr txBox="1"/>
                        <wps:spPr>
                          <a:xfrm>
                            <a:off x="4942767" y="835448"/>
                            <a:ext cx="99695" cy="169545"/>
                          </a:xfrm>
                          <a:prstGeom prst="rect">
                            <a:avLst/>
                          </a:prstGeom>
                        </wps:spPr>
                        <wps:txbx>
                          <w:txbxContent>
                            <w:p>
                              <w:pPr>
                                <w:spacing w:line="267" w:lineRule="exact" w:before="0"/>
                                <w:ind w:left="0" w:right="0" w:firstLine="0"/>
                                <w:jc w:val="left"/>
                                <w:rPr>
                                  <w:sz w:val="24"/>
                                </w:rPr>
                              </w:pPr>
                              <w:r>
                                <w:rPr>
                                  <w:spacing w:val="-10"/>
                                  <w:sz w:val="24"/>
                                </w:rPr>
                                <w:t>+</w:t>
                              </w:r>
                            </w:p>
                          </w:txbxContent>
                        </wps:txbx>
                        <wps:bodyPr wrap="square" lIns="0" tIns="0" rIns="0" bIns="0" rtlCol="0">
                          <a:noAutofit/>
                        </wps:bodyPr>
                      </wps:wsp>
                    </wpg:wgp>
                  </a:graphicData>
                </a:graphic>
              </wp:anchor>
            </w:drawing>
          </mc:Choice>
          <mc:Fallback>
            <w:pict>
              <v:group style="position:absolute;margin-left:72.059998pt;margin-top:-61.576221pt;width:422.7pt;height:109.45pt;mso-position-horizontal-relative:page;mso-position-vertical-relative:paragraph;z-index:15734272" id="docshapegroup15" coordorigin="1441,-1232" coordsize="8454,2189">
                <v:shape style="position:absolute;left:1441;top:-1232;width:8454;height:2189" type="#_x0000_t75" id="docshape16" stroked="false">
                  <v:imagedata r:id="rId11" o:title=""/>
                </v:shape>
                <v:shape style="position:absolute;left:9225;top:84;width:157;height:267" type="#_x0000_t202" id="docshape17" filled="false" stroked="false">
                  <v:textbox inset="0,0,0,0">
                    <w:txbxContent>
                      <w:p>
                        <w:pPr>
                          <w:spacing w:line="267" w:lineRule="exact" w:before="0"/>
                          <w:ind w:left="0" w:right="0" w:firstLine="0"/>
                          <w:jc w:val="left"/>
                          <w:rPr>
                            <w:sz w:val="24"/>
                          </w:rPr>
                        </w:pPr>
                        <w:r>
                          <w:rPr>
                            <w:spacing w:val="-10"/>
                            <w:sz w:val="24"/>
                          </w:rPr>
                          <w:t>+</w:t>
                        </w:r>
                      </w:p>
                    </w:txbxContent>
                  </v:textbox>
                  <w10:wrap type="none"/>
                </v:shape>
                <w10:wrap type="none"/>
              </v:group>
            </w:pict>
          </mc:Fallback>
        </mc:AlternateContent>
      </w:r>
      <w:r>
        <w:rPr>
          <w:spacing w:val="-5"/>
        </w:rPr>
        <w:t>H2O</w:t>
      </w:r>
    </w:p>
    <w:p>
      <w:pPr>
        <w:pStyle w:val="BodyText"/>
      </w:pPr>
    </w:p>
    <w:p>
      <w:pPr>
        <w:pStyle w:val="BodyText"/>
      </w:pPr>
    </w:p>
    <w:p>
      <w:pPr>
        <w:pStyle w:val="BodyText"/>
        <w:spacing w:before="120"/>
      </w:pPr>
    </w:p>
    <w:p>
      <w:pPr>
        <w:pStyle w:val="BodyText"/>
        <w:ind w:left="1200"/>
        <w:jc w:val="both"/>
      </w:pPr>
      <w:r>
        <w:rPr/>
        <w:t>……equation</w:t>
      </w:r>
      <w:r>
        <w:rPr>
          <w:spacing w:val="-2"/>
        </w:rPr>
        <w:t> </w:t>
      </w:r>
      <w:r>
        <w:rPr>
          <w:spacing w:val="-5"/>
        </w:rPr>
        <w:t>2.7</w:t>
      </w:r>
    </w:p>
    <w:p>
      <w:pPr>
        <w:pStyle w:val="BodyText"/>
        <w:spacing w:line="480" w:lineRule="auto"/>
        <w:ind w:left="1200" w:right="1438"/>
        <w:jc w:val="both"/>
      </w:pPr>
      <w:r>
        <w:rPr/>
        <w:t>Oxidation oftiron with KIO4 followed by</w:t>
      </w:r>
      <w:r>
        <w:rPr>
          <w:spacing w:val="-1"/>
        </w:rPr>
        <w:t> </w:t>
      </w:r>
      <w:r>
        <w:rPr/>
        <w:t>coupling</w:t>
      </w:r>
      <w:r>
        <w:rPr>
          <w:spacing w:val="-1"/>
        </w:rPr>
        <w:t> </w:t>
      </w:r>
      <w:r>
        <w:rPr/>
        <w:t>with isoniazid in alkaline medium to give red colored product with maximum absorbance at 505 nm obeys Beer’s law in the concentration of 1.5-18 µg/mL(Gowda</w:t>
      </w:r>
      <w:r>
        <w:rPr>
          <w:i/>
        </w:rPr>
        <w:t>et al., </w:t>
      </w:r>
      <w:r>
        <w:rPr/>
        <w:t>2003)</w:t>
      </w:r>
    </w:p>
    <w:p>
      <w:pPr>
        <w:tabs>
          <w:tab w:pos="966" w:val="left" w:leader="none"/>
          <w:tab w:pos="1315" w:val="left" w:leader="none"/>
          <w:tab w:pos="1744" w:val="left" w:leader="none"/>
        </w:tabs>
        <w:spacing w:line="141" w:lineRule="exact" w:before="0"/>
        <w:ind w:left="619" w:right="0" w:firstLine="0"/>
        <w:jc w:val="center"/>
        <w:rPr>
          <w:rFonts w:ascii="Arial MT"/>
          <w:sz w:val="11"/>
        </w:rPr>
      </w:pPr>
      <w:r>
        <w:rPr/>
        <mc:AlternateContent>
          <mc:Choice Requires="wps">
            <w:drawing>
              <wp:anchor distT="0" distB="0" distL="0" distR="0" allowOverlap="1" layoutInCell="1" locked="0" behindDoc="1" simplePos="0" relativeHeight="484995584">
                <wp:simplePos x="0" y="0"/>
                <wp:positionH relativeFrom="page">
                  <wp:posOffset>3794788</wp:posOffset>
                </wp:positionH>
                <wp:positionV relativeFrom="paragraph">
                  <wp:posOffset>34618</wp:posOffset>
                </wp:positionV>
                <wp:extent cx="379730" cy="63246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79730" cy="632460"/>
                        </a:xfrm>
                        <a:custGeom>
                          <a:avLst/>
                          <a:gdLst/>
                          <a:ahLst/>
                          <a:cxnLst/>
                          <a:rect l="l" t="t" r="r" b="b"/>
                          <a:pathLst>
                            <a:path w="379730" h="632460">
                              <a:moveTo>
                                <a:pt x="0" y="326813"/>
                              </a:moveTo>
                              <a:lnTo>
                                <a:pt x="0" y="544534"/>
                              </a:lnTo>
                            </a:path>
                            <a:path w="379730" h="632460">
                              <a:moveTo>
                                <a:pt x="25976" y="342103"/>
                              </a:moveTo>
                              <a:lnTo>
                                <a:pt x="25976" y="529563"/>
                              </a:lnTo>
                            </a:path>
                            <a:path w="379730" h="632460">
                              <a:moveTo>
                                <a:pt x="0" y="544534"/>
                              </a:moveTo>
                              <a:lnTo>
                                <a:pt x="152526" y="632402"/>
                              </a:lnTo>
                            </a:path>
                            <a:path w="379730" h="632460">
                              <a:moveTo>
                                <a:pt x="228590" y="630772"/>
                              </a:moveTo>
                              <a:lnTo>
                                <a:pt x="379385" y="544534"/>
                              </a:lnTo>
                            </a:path>
                            <a:path w="379730" h="632460">
                              <a:moveTo>
                                <a:pt x="214869" y="608329"/>
                              </a:moveTo>
                              <a:lnTo>
                                <a:pt x="353542" y="529563"/>
                              </a:lnTo>
                            </a:path>
                            <a:path w="379730" h="632460">
                              <a:moveTo>
                                <a:pt x="379385" y="544534"/>
                              </a:moveTo>
                              <a:lnTo>
                                <a:pt x="379385" y="326813"/>
                              </a:lnTo>
                            </a:path>
                            <a:path w="379730" h="632460">
                              <a:moveTo>
                                <a:pt x="379385" y="326813"/>
                              </a:moveTo>
                              <a:lnTo>
                                <a:pt x="190492" y="218105"/>
                              </a:lnTo>
                            </a:path>
                            <a:path w="379730" h="632460">
                              <a:moveTo>
                                <a:pt x="353542" y="342103"/>
                              </a:moveTo>
                              <a:lnTo>
                                <a:pt x="188893" y="248048"/>
                              </a:lnTo>
                            </a:path>
                            <a:path w="379730" h="632460">
                              <a:moveTo>
                                <a:pt x="190492" y="218105"/>
                              </a:moveTo>
                              <a:lnTo>
                                <a:pt x="0" y="326813"/>
                              </a:lnTo>
                            </a:path>
                            <a:path w="379730" h="632460">
                              <a:moveTo>
                                <a:pt x="190492" y="218105"/>
                              </a:moveTo>
                              <a:lnTo>
                                <a:pt x="190492" y="42396"/>
                              </a:lnTo>
                            </a:path>
                            <a:path w="379730" h="632460">
                              <a:moveTo>
                                <a:pt x="226991" y="0"/>
                              </a:moveTo>
                              <a:lnTo>
                                <a:pt x="374856" y="0"/>
                              </a:lnTo>
                            </a:path>
                            <a:path w="379730" h="632460">
                              <a:moveTo>
                                <a:pt x="150928" y="0"/>
                              </a:moveTo>
                              <a:lnTo>
                                <a:pt x="7593" y="0"/>
                              </a:lnTo>
                            </a:path>
                          </a:pathLst>
                        </a:custGeom>
                        <a:ln w="75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8.802246pt;margin-top:2.725865pt;width:29.9pt;height:49.8pt;mso-position-horizontal-relative:page;mso-position-vertical-relative:paragraph;z-index:-18320896" id="docshape18" coordorigin="5976,55" coordsize="598,996" path="m5976,569l5976,912m6017,593l6017,888m5976,912l6216,1050m6336,1048l6574,912m6314,1013l6533,888m6574,912l6574,569m6574,569l6276,398m6533,593l6274,445m6276,398l5976,569m6276,398l6276,121m6334,55l6566,55m6214,55l5988,55e" filled="false" stroked="true" strokeweight=".592242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4996096">
                <wp:simplePos x="0" y="0"/>
                <wp:positionH relativeFrom="page">
                  <wp:posOffset>4291665</wp:posOffset>
                </wp:positionH>
                <wp:positionV relativeFrom="paragraph">
                  <wp:posOffset>33426</wp:posOffset>
                </wp:positionV>
                <wp:extent cx="15113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51130" cy="1270"/>
                        </a:xfrm>
                        <a:custGeom>
                          <a:avLst/>
                          <a:gdLst/>
                          <a:ahLst/>
                          <a:cxnLst/>
                          <a:rect l="l" t="t" r="r" b="b"/>
                          <a:pathLst>
                            <a:path w="151130" h="1270">
                              <a:moveTo>
                                <a:pt x="0" y="0"/>
                              </a:moveTo>
                              <a:lnTo>
                                <a:pt x="150795" y="1192"/>
                              </a:lnTo>
                            </a:path>
                          </a:pathLst>
                        </a:custGeom>
                        <a:ln w="750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20384" from="337.926453pt,2.631974pt" to="349.80008pt,2.725865pt" stroked="true" strokeweight=".590636pt" strokecolor="#000000">
                <v:stroke dashstyle="solid"/>
                <w10:wrap type="none"/>
              </v:line>
            </w:pict>
          </mc:Fallback>
        </mc:AlternateContent>
      </w:r>
      <w:r>
        <w:rPr>
          <w:rFonts w:ascii="Arial MT"/>
          <w:spacing w:val="3"/>
          <w:w w:val="105"/>
          <w:position w:val="-1"/>
          <w:sz w:val="11"/>
        </w:rPr>
        <w:t>O</w:t>
      </w:r>
      <w:r>
        <w:rPr>
          <w:rFonts w:ascii="Arial MT"/>
          <w:position w:val="-1"/>
          <w:sz w:val="11"/>
          <w:u w:val="single"/>
        </w:rPr>
        <w:tab/>
      </w:r>
      <w:r>
        <w:rPr>
          <w:rFonts w:ascii="Arial MT"/>
          <w:spacing w:val="-10"/>
          <w:w w:val="105"/>
          <w:sz w:val="11"/>
        </w:rPr>
        <w:t>C</w:t>
      </w:r>
      <w:r>
        <w:rPr>
          <w:rFonts w:ascii="Arial MT"/>
          <w:sz w:val="11"/>
        </w:rPr>
        <w:tab/>
      </w:r>
      <w:r>
        <w:rPr>
          <w:rFonts w:ascii="Arial MT"/>
          <w:spacing w:val="-7"/>
          <w:w w:val="105"/>
          <w:sz w:val="11"/>
        </w:rPr>
        <w:t>NH</w:t>
      </w:r>
      <w:r>
        <w:rPr>
          <w:rFonts w:ascii="Arial MT"/>
          <w:sz w:val="11"/>
        </w:rPr>
        <w:tab/>
      </w:r>
      <w:r>
        <w:rPr>
          <w:rFonts w:ascii="Arial MT"/>
          <w:spacing w:val="-5"/>
          <w:w w:val="105"/>
          <w:sz w:val="11"/>
        </w:rPr>
        <w:t>NH</w:t>
      </w:r>
      <w:r>
        <w:rPr>
          <w:rFonts w:ascii="Arial MT"/>
          <w:spacing w:val="-5"/>
          <w:w w:val="105"/>
          <w:sz w:val="11"/>
          <w:vertAlign w:val="subscript"/>
        </w:rPr>
        <w:t>2</w:t>
      </w:r>
    </w:p>
    <w:p>
      <w:pPr>
        <w:pStyle w:val="BodyText"/>
        <w:rPr>
          <w:rFonts w:ascii="Arial MT"/>
          <w:sz w:val="12"/>
        </w:rPr>
      </w:pPr>
    </w:p>
    <w:p>
      <w:pPr>
        <w:spacing w:after="0"/>
        <w:rPr>
          <w:rFonts w:ascii="Arial MT"/>
          <w:sz w:val="12"/>
        </w:rPr>
        <w:sectPr>
          <w:pgSz w:w="12240" w:h="15840"/>
          <w:pgMar w:header="0" w:footer="1015" w:top="1820" w:bottom="1200" w:left="240" w:right="0"/>
        </w:sectPr>
      </w:pPr>
    </w:p>
    <w:p>
      <w:pPr>
        <w:pStyle w:val="BodyText"/>
        <w:spacing w:before="51"/>
        <w:rPr>
          <w:rFonts w:ascii="Arial MT"/>
          <w:sz w:val="11"/>
        </w:rPr>
      </w:pPr>
    </w:p>
    <w:p>
      <w:pPr>
        <w:spacing w:before="0"/>
        <w:ind w:left="1923" w:right="0" w:firstLine="0"/>
        <w:jc w:val="left"/>
        <w:rPr>
          <w:rFonts w:ascii="Arial MT"/>
          <w:sz w:val="11"/>
        </w:rPr>
      </w:pPr>
      <w:r>
        <w:rPr/>
        <mc:AlternateContent>
          <mc:Choice Requires="wps">
            <w:drawing>
              <wp:anchor distT="0" distB="0" distL="0" distR="0" allowOverlap="1" layoutInCell="1" locked="0" behindDoc="1" simplePos="0" relativeHeight="484993536">
                <wp:simplePos x="0" y="0"/>
                <wp:positionH relativeFrom="page">
                  <wp:posOffset>1033863</wp:posOffset>
                </wp:positionH>
                <wp:positionV relativeFrom="paragraph">
                  <wp:posOffset>80673</wp:posOffset>
                </wp:positionV>
                <wp:extent cx="737870" cy="78994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37870" cy="789940"/>
                        </a:xfrm>
                        <a:custGeom>
                          <a:avLst/>
                          <a:gdLst/>
                          <a:ahLst/>
                          <a:cxnLst/>
                          <a:rect l="l" t="t" r="r" b="b"/>
                          <a:pathLst>
                            <a:path w="737870" h="789940">
                              <a:moveTo>
                                <a:pt x="173789" y="284430"/>
                              </a:moveTo>
                              <a:lnTo>
                                <a:pt x="173789" y="502164"/>
                              </a:lnTo>
                            </a:path>
                            <a:path w="737870" h="789940">
                              <a:moveTo>
                                <a:pt x="199699" y="299401"/>
                              </a:moveTo>
                              <a:lnTo>
                                <a:pt x="199699" y="486861"/>
                              </a:lnTo>
                            </a:path>
                            <a:path w="737870" h="789940">
                              <a:moveTo>
                                <a:pt x="173789" y="502164"/>
                              </a:moveTo>
                              <a:lnTo>
                                <a:pt x="364308" y="611190"/>
                              </a:lnTo>
                            </a:path>
                            <a:path w="737870" h="789940">
                              <a:moveTo>
                                <a:pt x="364308" y="611190"/>
                              </a:moveTo>
                              <a:lnTo>
                                <a:pt x="553175" y="502164"/>
                              </a:lnTo>
                            </a:path>
                            <a:path w="737870" h="789940">
                              <a:moveTo>
                                <a:pt x="364308" y="580916"/>
                              </a:moveTo>
                              <a:lnTo>
                                <a:pt x="527279" y="486861"/>
                              </a:lnTo>
                            </a:path>
                            <a:path w="737870" h="789940">
                              <a:moveTo>
                                <a:pt x="553175" y="502164"/>
                              </a:moveTo>
                              <a:lnTo>
                                <a:pt x="553175" y="284430"/>
                              </a:lnTo>
                            </a:path>
                            <a:path w="737870" h="789940">
                              <a:moveTo>
                                <a:pt x="553175" y="284430"/>
                              </a:moveTo>
                              <a:lnTo>
                                <a:pt x="364308" y="175417"/>
                              </a:lnTo>
                            </a:path>
                            <a:path w="737870" h="789940">
                              <a:moveTo>
                                <a:pt x="527279" y="299401"/>
                              </a:moveTo>
                              <a:lnTo>
                                <a:pt x="364308" y="205677"/>
                              </a:lnTo>
                            </a:path>
                            <a:path w="737870" h="789940">
                              <a:moveTo>
                                <a:pt x="364308" y="175417"/>
                              </a:moveTo>
                              <a:lnTo>
                                <a:pt x="173789" y="284430"/>
                              </a:lnTo>
                            </a:path>
                            <a:path w="737870" h="789940">
                              <a:moveTo>
                                <a:pt x="364308" y="611190"/>
                              </a:moveTo>
                              <a:lnTo>
                                <a:pt x="364308" y="789535"/>
                              </a:lnTo>
                            </a:path>
                            <a:path w="737870" h="789940">
                              <a:moveTo>
                                <a:pt x="173789" y="502164"/>
                              </a:moveTo>
                              <a:lnTo>
                                <a:pt x="0" y="547396"/>
                              </a:lnTo>
                            </a:path>
                            <a:path w="737870" h="789940">
                              <a:moveTo>
                                <a:pt x="553175" y="502164"/>
                              </a:moveTo>
                              <a:lnTo>
                                <a:pt x="737459" y="502164"/>
                              </a:lnTo>
                            </a:path>
                            <a:path w="737870" h="789940">
                              <a:moveTo>
                                <a:pt x="364308" y="175417"/>
                              </a:moveTo>
                              <a:lnTo>
                                <a:pt x="364308" y="0"/>
                              </a:lnTo>
                            </a:path>
                          </a:pathLst>
                        </a:custGeom>
                        <a:ln w="75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406601pt;margin-top:6.352222pt;width:58.1pt;height:62.2pt;mso-position-horizontal-relative:page;mso-position-vertical-relative:paragraph;z-index:-18322944" id="docshape19" coordorigin="1628,127" coordsize="1162,1244" path="m1902,575l1902,918m1943,599l1943,894m1902,918l2202,1090m2202,1090l2499,918m2202,1042l2458,894m2499,918l2499,575m2499,575l2202,403m2458,599l2202,451m2202,403l1902,575m2202,1090l2202,1370m1902,918l1628,989m2499,918l2789,918m2202,403l2202,127e" filled="false" stroked="true" strokeweight=".592242pt" strokecolor="#000000">
                <v:path arrowok="t"/>
                <v:stroke dashstyle="solid"/>
                <w10:wrap type="none"/>
              </v:shape>
            </w:pict>
          </mc:Fallback>
        </mc:AlternateContent>
      </w:r>
      <w:r>
        <w:rPr>
          <w:rFonts w:ascii="Arial MT"/>
          <w:spacing w:val="-4"/>
          <w:w w:val="105"/>
          <w:sz w:val="11"/>
        </w:rPr>
        <w:t>SO</w:t>
      </w:r>
      <w:r>
        <w:rPr>
          <w:rFonts w:ascii="Arial MT"/>
          <w:spacing w:val="-4"/>
          <w:w w:val="105"/>
          <w:position w:val="-2"/>
          <w:sz w:val="7"/>
        </w:rPr>
        <w:t>3</w:t>
      </w:r>
      <w:r>
        <w:rPr>
          <w:rFonts w:ascii="Arial MT"/>
          <w:spacing w:val="-4"/>
          <w:w w:val="105"/>
          <w:sz w:val="11"/>
        </w:rPr>
        <w:t>Na</w:t>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77"/>
        <w:rPr>
          <w:rFonts w:ascii="Arial MT"/>
          <w:sz w:val="11"/>
        </w:rPr>
      </w:pPr>
    </w:p>
    <w:p>
      <w:pPr>
        <w:tabs>
          <w:tab w:pos="2569" w:val="left" w:leader="none"/>
        </w:tabs>
        <w:spacing w:before="0"/>
        <w:ind w:left="1201" w:right="0" w:firstLine="0"/>
        <w:jc w:val="left"/>
        <w:rPr>
          <w:rFonts w:ascii="Arial MT"/>
          <w:sz w:val="11"/>
        </w:rPr>
      </w:pPr>
      <w:r>
        <w:rPr/>
        <mc:AlternateContent>
          <mc:Choice Requires="wps">
            <w:drawing>
              <wp:anchor distT="0" distB="0" distL="0" distR="0" allowOverlap="1" layoutInCell="1" locked="0" behindDoc="0" simplePos="0" relativeHeight="15735296">
                <wp:simplePos x="0" y="0"/>
                <wp:positionH relativeFrom="page">
                  <wp:posOffset>1955941</wp:posOffset>
                </wp:positionH>
                <wp:positionV relativeFrom="paragraph">
                  <wp:posOffset>-129580</wp:posOffset>
                </wp:positionV>
                <wp:extent cx="772795" cy="3937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72795" cy="39370"/>
                          <a:chExt cx="772795" cy="39370"/>
                        </a:xfrm>
                      </wpg:grpSpPr>
                      <wps:wsp>
                        <wps:cNvPr id="28" name="Graphic 28"/>
                        <wps:cNvSpPr/>
                        <wps:spPr>
                          <a:xfrm>
                            <a:off x="697760" y="0"/>
                            <a:ext cx="74930" cy="39370"/>
                          </a:xfrm>
                          <a:custGeom>
                            <a:avLst/>
                            <a:gdLst/>
                            <a:ahLst/>
                            <a:cxnLst/>
                            <a:rect l="l" t="t" r="r" b="b"/>
                            <a:pathLst>
                              <a:path w="74930" h="39370">
                                <a:moveTo>
                                  <a:pt x="0" y="0"/>
                                </a:moveTo>
                                <a:lnTo>
                                  <a:pt x="9191" y="21145"/>
                                </a:lnTo>
                                <a:lnTo>
                                  <a:pt x="0" y="39376"/>
                                </a:lnTo>
                                <a:lnTo>
                                  <a:pt x="74465" y="21145"/>
                                </a:lnTo>
                                <a:lnTo>
                                  <a:pt x="0"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7699" y="24245"/>
                            <a:ext cx="701040" cy="1270"/>
                          </a:xfrm>
                          <a:custGeom>
                            <a:avLst/>
                            <a:gdLst/>
                            <a:ahLst/>
                            <a:cxnLst/>
                            <a:rect l="l" t="t" r="r" b="b"/>
                            <a:pathLst>
                              <a:path w="701040" h="0">
                                <a:moveTo>
                                  <a:pt x="700717" y="0"/>
                                </a:moveTo>
                                <a:lnTo>
                                  <a:pt x="0" y="0"/>
                                </a:lnTo>
                              </a:path>
                            </a:pathLst>
                          </a:custGeom>
                          <a:ln w="1854">
                            <a:solidFill>
                              <a:srgbClr val="000000"/>
                            </a:solidFill>
                            <a:prstDash val="solid"/>
                          </a:ln>
                        </wps:spPr>
                        <wps:bodyPr wrap="square" lIns="0" tIns="0" rIns="0" bIns="0" rtlCol="0">
                          <a:prstTxWarp prst="textNoShape">
                            <a:avLst/>
                          </a:prstTxWarp>
                          <a:noAutofit/>
                        </wps:bodyPr>
                      </wps:wsp>
                      <wps:wsp>
                        <wps:cNvPr id="30" name="Graphic 30"/>
                        <wps:cNvSpPr/>
                        <wps:spPr>
                          <a:xfrm>
                            <a:off x="0" y="16588"/>
                            <a:ext cx="707390" cy="7620"/>
                          </a:xfrm>
                          <a:custGeom>
                            <a:avLst/>
                            <a:gdLst/>
                            <a:ahLst/>
                            <a:cxnLst/>
                            <a:rect l="l" t="t" r="r" b="b"/>
                            <a:pathLst>
                              <a:path w="707390" h="7620">
                                <a:moveTo>
                                  <a:pt x="706965" y="0"/>
                                </a:moveTo>
                                <a:lnTo>
                                  <a:pt x="0" y="0"/>
                                </a:lnTo>
                                <a:lnTo>
                                  <a:pt x="0" y="7485"/>
                                </a:lnTo>
                                <a:lnTo>
                                  <a:pt x="706965" y="7485"/>
                                </a:lnTo>
                                <a:lnTo>
                                  <a:pt x="7069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4.011108pt;margin-top:-10.203153pt;width:60.85pt;height:3.1pt;mso-position-horizontal-relative:page;mso-position-vertical-relative:paragraph;z-index:15735296" id="docshapegroup20" coordorigin="3080,-204" coordsize="1217,62">
                <v:shape style="position:absolute;left:4179;top:-205;width:118;height:62" id="docshape21" coordorigin="4179,-204" coordsize="118,62" path="m4179,-204l4194,-171,4179,-142,4296,-171,4179,-204xe" filled="true" fillcolor="#000000" stroked="false">
                  <v:path arrowok="t"/>
                  <v:fill type="solid"/>
                </v:shape>
                <v:line style="position:absolute" from="4196,-166" to="3092,-166" stroked="true" strokeweight=".146052pt" strokecolor="#000000">
                  <v:stroke dashstyle="solid"/>
                </v:line>
                <v:rect style="position:absolute;left:3080;top:-178;width:1114;height:12" id="docshape22" filled="true" fillcolor="#000000" stroked="false">
                  <v:fill type="solid"/>
                </v:rect>
                <w10:wrap type="none"/>
              </v:group>
            </w:pict>
          </mc:Fallback>
        </mc:AlternateContent>
      </w:r>
      <w:r>
        <w:rPr>
          <w:rFonts w:ascii="Arial MT"/>
          <w:spacing w:val="-5"/>
          <w:w w:val="105"/>
          <w:position w:val="-8"/>
          <w:sz w:val="11"/>
        </w:rPr>
        <w:t>HO</w:t>
      </w:r>
      <w:r>
        <w:rPr>
          <w:rFonts w:ascii="Arial MT"/>
          <w:position w:val="-8"/>
          <w:sz w:val="11"/>
        </w:rPr>
        <w:tab/>
      </w:r>
      <w:r>
        <w:rPr>
          <w:rFonts w:ascii="Arial MT"/>
          <w:spacing w:val="-4"/>
          <w:w w:val="105"/>
          <w:sz w:val="11"/>
        </w:rPr>
        <w:t>SO</w:t>
      </w:r>
      <w:r>
        <w:rPr>
          <w:rFonts w:ascii="Arial MT"/>
          <w:spacing w:val="-4"/>
          <w:w w:val="105"/>
          <w:position w:val="-2"/>
          <w:sz w:val="7"/>
        </w:rPr>
        <w:t>3</w:t>
      </w:r>
      <w:r>
        <w:rPr>
          <w:rFonts w:ascii="Arial MT"/>
          <w:spacing w:val="-4"/>
          <w:w w:val="105"/>
          <w:sz w:val="11"/>
        </w:rPr>
        <w:t>Na</w:t>
      </w:r>
    </w:p>
    <w:p>
      <w:pPr>
        <w:pStyle w:val="BodyText"/>
        <w:rPr>
          <w:rFonts w:ascii="Arial MT"/>
          <w:sz w:val="11"/>
        </w:rPr>
      </w:pPr>
    </w:p>
    <w:p>
      <w:pPr>
        <w:pStyle w:val="BodyText"/>
        <w:spacing w:before="47"/>
        <w:rPr>
          <w:rFonts w:ascii="Arial MT"/>
          <w:sz w:val="11"/>
        </w:rPr>
      </w:pPr>
    </w:p>
    <w:p>
      <w:pPr>
        <w:spacing w:before="0"/>
        <w:ind w:left="1916" w:right="0" w:firstLine="0"/>
        <w:jc w:val="left"/>
        <w:rPr>
          <w:rFonts w:ascii="Arial MT"/>
          <w:sz w:val="11"/>
        </w:rPr>
      </w:pPr>
      <w:r>
        <w:rPr>
          <w:rFonts w:ascii="Arial MT"/>
          <w:spacing w:val="-5"/>
          <w:w w:val="105"/>
          <w:sz w:val="11"/>
        </w:rPr>
        <w:t>OH</w:t>
      </w:r>
    </w:p>
    <w:p>
      <w:pPr>
        <w:spacing w:line="240" w:lineRule="auto" w:before="0"/>
        <w:rPr>
          <w:rFonts w:ascii="Arial MT"/>
          <w:sz w:val="13"/>
        </w:rPr>
      </w:pPr>
      <w:r>
        <w:rPr/>
        <w:br w:type="column"/>
      </w:r>
      <w:r>
        <w:rPr>
          <w:rFonts w:ascii="Arial MT"/>
          <w:sz w:val="13"/>
        </w:rPr>
      </w:r>
    </w:p>
    <w:p>
      <w:pPr>
        <w:pStyle w:val="BodyText"/>
        <w:rPr>
          <w:rFonts w:ascii="Arial MT"/>
          <w:sz w:val="13"/>
        </w:rPr>
      </w:pPr>
    </w:p>
    <w:p>
      <w:pPr>
        <w:pStyle w:val="BodyText"/>
        <w:rPr>
          <w:rFonts w:ascii="Arial MT"/>
          <w:sz w:val="13"/>
        </w:rPr>
      </w:pPr>
    </w:p>
    <w:p>
      <w:pPr>
        <w:pStyle w:val="BodyText"/>
        <w:spacing w:before="23"/>
        <w:rPr>
          <w:rFonts w:ascii="Arial MT"/>
          <w:sz w:val="13"/>
        </w:rPr>
      </w:pPr>
    </w:p>
    <w:p>
      <w:pPr>
        <w:spacing w:before="0"/>
        <w:ind w:left="59" w:right="0" w:firstLine="0"/>
        <w:jc w:val="left"/>
        <w:rPr>
          <w:sz w:val="13"/>
        </w:rPr>
      </w:pPr>
      <w:r>
        <w:rPr>
          <w:spacing w:val="-4"/>
          <w:w w:val="105"/>
          <w:sz w:val="13"/>
        </w:rPr>
        <w:t>KIO4</w:t>
      </w:r>
    </w:p>
    <w:p>
      <w:pPr>
        <w:pStyle w:val="BodyText"/>
        <w:rPr>
          <w:sz w:val="13"/>
        </w:rPr>
      </w:pPr>
    </w:p>
    <w:p>
      <w:pPr>
        <w:pStyle w:val="BodyText"/>
        <w:spacing w:before="53"/>
        <w:rPr>
          <w:sz w:val="13"/>
        </w:rPr>
      </w:pPr>
    </w:p>
    <w:p>
      <w:pPr>
        <w:spacing w:before="1"/>
        <w:ind w:left="0" w:right="0" w:firstLine="0"/>
        <w:jc w:val="right"/>
        <w:rPr>
          <w:rFonts w:ascii="Arial MT"/>
          <w:sz w:val="11"/>
        </w:rPr>
      </w:pPr>
      <w:r>
        <w:rPr>
          <w:rFonts w:ascii="Arial MT"/>
          <w:spacing w:val="-10"/>
          <w:w w:val="105"/>
          <w:sz w:val="11"/>
        </w:rPr>
        <w:t>O</w:t>
      </w:r>
    </w:p>
    <w:p>
      <w:pPr>
        <w:spacing w:line="240" w:lineRule="auto" w:before="51"/>
        <w:rPr>
          <w:rFonts w:ascii="Arial MT"/>
          <w:sz w:val="11"/>
        </w:rPr>
      </w:pPr>
      <w:r>
        <w:rPr/>
        <w:br w:type="column"/>
      </w:r>
      <w:r>
        <w:rPr>
          <w:rFonts w:ascii="Arial MT"/>
          <w:sz w:val="11"/>
        </w:rPr>
      </w:r>
    </w:p>
    <w:p>
      <w:pPr>
        <w:spacing w:before="0"/>
        <w:ind w:left="510" w:right="0" w:firstLine="0"/>
        <w:jc w:val="left"/>
        <w:rPr>
          <w:rFonts w:ascii="Arial MT"/>
          <w:sz w:val="11"/>
        </w:rPr>
      </w:pPr>
      <w:r>
        <w:rPr>
          <w:rFonts w:ascii="Arial MT"/>
          <w:spacing w:val="-4"/>
          <w:w w:val="105"/>
          <w:sz w:val="11"/>
        </w:rPr>
        <w:t>SO</w:t>
      </w:r>
      <w:r>
        <w:rPr>
          <w:rFonts w:ascii="Arial MT"/>
          <w:spacing w:val="-4"/>
          <w:w w:val="105"/>
          <w:sz w:val="11"/>
          <w:vertAlign w:val="subscript"/>
        </w:rPr>
        <w:t>3</w:t>
      </w:r>
      <w:r>
        <w:rPr>
          <w:rFonts w:ascii="Arial MT"/>
          <w:spacing w:val="-4"/>
          <w:w w:val="105"/>
          <w:sz w:val="11"/>
          <w:vertAlign w:val="baseline"/>
        </w:rPr>
        <w:t>Na</w:t>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06"/>
        <w:rPr>
          <w:rFonts w:ascii="Arial MT"/>
          <w:sz w:val="11"/>
        </w:rPr>
      </w:pPr>
    </w:p>
    <w:p>
      <w:pPr>
        <w:spacing w:before="1"/>
        <w:ind w:left="503" w:right="0" w:firstLine="0"/>
        <w:jc w:val="left"/>
        <w:rPr>
          <w:rFonts w:ascii="Arial MT"/>
          <w:sz w:val="11"/>
        </w:rPr>
      </w:pPr>
      <w:r>
        <w:rPr/>
        <mc:AlternateContent>
          <mc:Choice Requires="wps">
            <w:drawing>
              <wp:anchor distT="0" distB="0" distL="0" distR="0" allowOverlap="1" layoutInCell="1" locked="0" behindDoc="0" simplePos="0" relativeHeight="15735808">
                <wp:simplePos x="0" y="0"/>
                <wp:positionH relativeFrom="page">
                  <wp:posOffset>2664224</wp:posOffset>
                </wp:positionH>
                <wp:positionV relativeFrom="paragraph">
                  <wp:posOffset>-789843</wp:posOffset>
                </wp:positionV>
                <wp:extent cx="742315" cy="78803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742315" cy="788035"/>
                        </a:xfrm>
                        <a:custGeom>
                          <a:avLst/>
                          <a:gdLst/>
                          <a:ahLst/>
                          <a:cxnLst/>
                          <a:rect l="l" t="t" r="r" b="b"/>
                          <a:pathLst>
                            <a:path w="742315" h="788035">
                              <a:moveTo>
                                <a:pt x="178369" y="282813"/>
                              </a:moveTo>
                              <a:lnTo>
                                <a:pt x="178369" y="502164"/>
                              </a:lnTo>
                            </a:path>
                            <a:path w="742315" h="788035">
                              <a:moveTo>
                                <a:pt x="178369" y="502164"/>
                              </a:moveTo>
                              <a:lnTo>
                                <a:pt x="368861" y="611190"/>
                              </a:lnTo>
                            </a:path>
                            <a:path w="742315" h="788035">
                              <a:moveTo>
                                <a:pt x="368861" y="611190"/>
                              </a:moveTo>
                              <a:lnTo>
                                <a:pt x="557755" y="502164"/>
                              </a:lnTo>
                            </a:path>
                            <a:path w="742315" h="788035">
                              <a:moveTo>
                                <a:pt x="557755" y="502164"/>
                              </a:moveTo>
                              <a:lnTo>
                                <a:pt x="557755" y="281184"/>
                              </a:lnTo>
                            </a:path>
                            <a:path w="742315" h="788035">
                              <a:moveTo>
                                <a:pt x="531912" y="486861"/>
                              </a:moveTo>
                              <a:lnTo>
                                <a:pt x="531912" y="296473"/>
                              </a:lnTo>
                            </a:path>
                            <a:path w="742315" h="788035">
                              <a:moveTo>
                                <a:pt x="368861" y="173787"/>
                              </a:moveTo>
                              <a:lnTo>
                                <a:pt x="178369" y="282813"/>
                              </a:lnTo>
                            </a:path>
                            <a:path w="742315" h="788035">
                              <a:moveTo>
                                <a:pt x="367263" y="204048"/>
                              </a:moveTo>
                              <a:lnTo>
                                <a:pt x="204212" y="298103"/>
                              </a:lnTo>
                            </a:path>
                            <a:path w="742315" h="788035">
                              <a:moveTo>
                                <a:pt x="380984" y="603373"/>
                              </a:moveTo>
                              <a:lnTo>
                                <a:pt x="380984" y="787906"/>
                              </a:lnTo>
                            </a:path>
                            <a:path w="742315" h="788035">
                              <a:moveTo>
                                <a:pt x="355141" y="603373"/>
                              </a:moveTo>
                              <a:lnTo>
                                <a:pt x="355141" y="787906"/>
                              </a:lnTo>
                            </a:path>
                            <a:path w="742315" h="788035">
                              <a:moveTo>
                                <a:pt x="193422" y="511266"/>
                              </a:moveTo>
                              <a:lnTo>
                                <a:pt x="6260" y="561069"/>
                              </a:lnTo>
                            </a:path>
                            <a:path w="742315" h="788035">
                              <a:moveTo>
                                <a:pt x="178369" y="488491"/>
                              </a:moveTo>
                              <a:lnTo>
                                <a:pt x="0" y="535353"/>
                              </a:lnTo>
                            </a:path>
                            <a:path w="742315" h="788035">
                              <a:moveTo>
                                <a:pt x="368861" y="173787"/>
                              </a:moveTo>
                              <a:lnTo>
                                <a:pt x="368861" y="0"/>
                              </a:lnTo>
                            </a:path>
                            <a:path w="742315" h="788035">
                              <a:moveTo>
                                <a:pt x="557755" y="502164"/>
                              </a:moveTo>
                              <a:lnTo>
                                <a:pt x="741986" y="502164"/>
                              </a:lnTo>
                            </a:path>
                            <a:path w="742315" h="788035">
                              <a:moveTo>
                                <a:pt x="368861" y="173787"/>
                              </a:moveTo>
                              <a:lnTo>
                                <a:pt x="557755" y="282813"/>
                              </a:lnTo>
                            </a:path>
                          </a:pathLst>
                        </a:custGeom>
                        <a:ln w="75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09.781494pt;margin-top:-62.192406pt;width:58.45pt;height:62.05pt;mso-position-horizontal-relative:page;mso-position-vertical-relative:paragraph;z-index:15735808" id="docshape23" coordorigin="4196,-1244" coordsize="1169,1241" path="m4477,-798l4477,-453m4477,-453l4777,-281m4777,-281l5074,-453m5074,-453l5074,-801m5033,-477l5033,-777m4777,-970l4477,-798m4774,-923l4517,-774m4796,-294l4796,-3m4755,-294l4755,-3m4500,-439l4205,-360m4477,-475l4196,-401m4777,-970l4777,-1244m5074,-453l5364,-453m4777,-970l5074,-798e" filled="false" stroked="true" strokeweight=".592242pt" strokecolor="#000000">
                <v:path arrowok="t"/>
                <v:stroke dashstyle="solid"/>
                <w10:wrap type="none"/>
              </v:shape>
            </w:pict>
          </mc:Fallback>
        </mc:AlternateContent>
      </w:r>
      <w:r>
        <w:rPr>
          <w:rFonts w:ascii="Arial MT"/>
          <w:spacing w:val="-10"/>
          <w:w w:val="105"/>
          <w:sz w:val="11"/>
        </w:rPr>
        <w:t>O</w:t>
      </w:r>
    </w:p>
    <w:p>
      <w:pPr>
        <w:spacing w:line="240" w:lineRule="auto" w:before="0"/>
        <w:rPr>
          <w:rFonts w:ascii="Arial MT"/>
          <w:sz w:val="11"/>
        </w:rPr>
      </w:pPr>
      <w:r>
        <w:rPr/>
        <w:br w:type="column"/>
      </w:r>
      <w:r>
        <w:rPr>
          <w:rFonts w:ascii="Arial MT"/>
          <w:sz w:val="11"/>
        </w:rPr>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12"/>
        <w:rPr>
          <w:rFonts w:ascii="Arial MT"/>
          <w:sz w:val="11"/>
        </w:rPr>
      </w:pPr>
    </w:p>
    <w:p>
      <w:pPr>
        <w:spacing w:before="0"/>
        <w:ind w:left="1105" w:right="0" w:firstLine="0"/>
        <w:jc w:val="left"/>
        <w:rPr>
          <w:rFonts w:ascii="Arial MT"/>
          <w:sz w:val="11"/>
        </w:rPr>
      </w:pPr>
      <w:r>
        <w:rPr>
          <w:rFonts w:ascii="Arial MT"/>
          <w:spacing w:val="-10"/>
          <w:w w:val="105"/>
          <w:sz w:val="11"/>
        </w:rPr>
        <w:t>N</w:t>
      </w:r>
    </w:p>
    <w:p>
      <w:pPr>
        <w:pStyle w:val="BodyText"/>
        <w:spacing w:before="37"/>
        <w:rPr>
          <w:rFonts w:ascii="Arial MT"/>
          <w:sz w:val="11"/>
        </w:rPr>
      </w:pPr>
    </w:p>
    <w:p>
      <w:pPr>
        <w:tabs>
          <w:tab w:pos="1731" w:val="left" w:leader="none"/>
        </w:tabs>
        <w:spacing w:before="0"/>
        <w:ind w:left="253" w:right="0" w:firstLine="0"/>
        <w:jc w:val="left"/>
        <w:rPr>
          <w:rFonts w:ascii="Arial MT"/>
          <w:sz w:val="11"/>
        </w:rPr>
      </w:pPr>
      <w:r>
        <w:rPr>
          <w:rFonts w:ascii="Arial MT"/>
          <w:w w:val="105"/>
          <w:sz w:val="11"/>
        </w:rPr>
        <w:t>SO</w:t>
      </w:r>
      <w:r>
        <w:rPr>
          <w:rFonts w:ascii="Arial MT"/>
          <w:w w:val="105"/>
          <w:position w:val="-2"/>
          <w:sz w:val="7"/>
        </w:rPr>
        <w:t>3</w:t>
      </w:r>
      <w:r>
        <w:rPr>
          <w:rFonts w:ascii="Arial MT"/>
          <w:w w:val="105"/>
          <w:sz w:val="11"/>
        </w:rPr>
        <w:t>Na</w:t>
      </w:r>
      <w:r>
        <w:rPr>
          <w:rFonts w:ascii="Arial MT"/>
          <w:spacing w:val="163"/>
          <w:w w:val="105"/>
          <w:sz w:val="11"/>
        </w:rPr>
        <w:t> </w:t>
      </w:r>
      <w:r>
        <w:rPr>
          <w:rFonts w:ascii="Arial MT"/>
          <w:sz w:val="11"/>
          <w:u w:val="single"/>
        </w:rPr>
        <w:tab/>
      </w:r>
    </w:p>
    <w:p>
      <w:pPr>
        <w:spacing w:before="34"/>
        <w:ind w:left="1009" w:right="0" w:firstLine="0"/>
        <w:jc w:val="left"/>
        <w:rPr>
          <w:sz w:val="13"/>
        </w:rPr>
      </w:pPr>
      <w:r>
        <w:rPr>
          <w:spacing w:val="-4"/>
          <w:w w:val="105"/>
          <w:sz w:val="13"/>
        </w:rPr>
        <w:t>NaOH</w:t>
      </w:r>
    </w:p>
    <w:p>
      <w:pPr>
        <w:spacing w:before="101"/>
        <w:ind w:left="908" w:right="2079" w:firstLine="0"/>
        <w:jc w:val="center"/>
        <w:rPr>
          <w:rFonts w:ascii="Arial MT"/>
          <w:sz w:val="11"/>
        </w:rPr>
      </w:pPr>
      <w:r>
        <w:rPr/>
        <w:br w:type="column"/>
      </w:r>
      <w:r>
        <w:rPr>
          <w:rFonts w:ascii="Arial MT"/>
          <w:spacing w:val="-10"/>
          <w:w w:val="105"/>
          <w:sz w:val="11"/>
        </w:rPr>
        <w:t>O</w:t>
      </w:r>
    </w:p>
    <w:p>
      <w:pPr>
        <w:pStyle w:val="BodyText"/>
        <w:spacing w:before="90"/>
        <w:rPr>
          <w:rFonts w:ascii="Arial MT"/>
          <w:sz w:val="11"/>
        </w:rPr>
      </w:pPr>
    </w:p>
    <w:p>
      <w:pPr>
        <w:spacing w:before="0"/>
        <w:ind w:left="908" w:right="0" w:firstLine="0"/>
        <w:jc w:val="center"/>
        <w:rPr>
          <w:rFonts w:ascii="Arial MT"/>
          <w:sz w:val="11"/>
        </w:rPr>
      </w:pPr>
      <w:r>
        <w:rPr/>
        <mc:AlternateContent>
          <mc:Choice Requires="wps">
            <w:drawing>
              <wp:anchor distT="0" distB="0" distL="0" distR="0" allowOverlap="1" layoutInCell="1" locked="0" behindDoc="0" simplePos="0" relativeHeight="15737856">
                <wp:simplePos x="0" y="0"/>
                <wp:positionH relativeFrom="page">
                  <wp:posOffset>4854457</wp:posOffset>
                </wp:positionH>
                <wp:positionV relativeFrom="paragraph">
                  <wp:posOffset>-154477</wp:posOffset>
                </wp:positionV>
                <wp:extent cx="1490345" cy="102489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490345" cy="1024890"/>
                          <a:chExt cx="1490345" cy="1024890"/>
                        </a:xfrm>
                      </wpg:grpSpPr>
                      <wps:wsp>
                        <wps:cNvPr id="33" name="Graphic 33"/>
                        <wps:cNvSpPr/>
                        <wps:spPr>
                          <a:xfrm>
                            <a:off x="3755" y="3765"/>
                            <a:ext cx="1482725" cy="1021080"/>
                          </a:xfrm>
                          <a:custGeom>
                            <a:avLst/>
                            <a:gdLst/>
                            <a:ahLst/>
                            <a:cxnLst/>
                            <a:rect l="l" t="t" r="r" b="b"/>
                            <a:pathLst>
                              <a:path w="1482725" h="1021080">
                                <a:moveTo>
                                  <a:pt x="164649" y="515837"/>
                                </a:moveTo>
                                <a:lnTo>
                                  <a:pt x="164649" y="733558"/>
                                </a:lnTo>
                              </a:path>
                              <a:path w="1482725" h="1021080">
                                <a:moveTo>
                                  <a:pt x="190492" y="531126"/>
                                </a:moveTo>
                                <a:lnTo>
                                  <a:pt x="190492" y="718587"/>
                                </a:lnTo>
                              </a:path>
                              <a:path w="1482725" h="1021080">
                                <a:moveTo>
                                  <a:pt x="164649" y="733558"/>
                                </a:moveTo>
                                <a:lnTo>
                                  <a:pt x="355141" y="842585"/>
                                </a:lnTo>
                              </a:path>
                              <a:path w="1482725" h="1021080">
                                <a:moveTo>
                                  <a:pt x="355141" y="842585"/>
                                </a:moveTo>
                                <a:lnTo>
                                  <a:pt x="545633" y="733558"/>
                                </a:lnTo>
                              </a:path>
                              <a:path w="1482725" h="1021080">
                                <a:moveTo>
                                  <a:pt x="545633" y="733558"/>
                                </a:moveTo>
                                <a:lnTo>
                                  <a:pt x="545633" y="515837"/>
                                </a:lnTo>
                              </a:path>
                              <a:path w="1482725" h="1021080">
                                <a:moveTo>
                                  <a:pt x="518058" y="718587"/>
                                </a:moveTo>
                                <a:lnTo>
                                  <a:pt x="518058" y="531126"/>
                                </a:lnTo>
                              </a:path>
                              <a:path w="1482725" h="1021080">
                                <a:moveTo>
                                  <a:pt x="545633" y="515837"/>
                                </a:moveTo>
                                <a:lnTo>
                                  <a:pt x="355141" y="407129"/>
                                </a:lnTo>
                              </a:path>
                              <a:path w="1482725" h="1021080">
                                <a:moveTo>
                                  <a:pt x="355141" y="407129"/>
                                </a:moveTo>
                                <a:lnTo>
                                  <a:pt x="164649" y="515837"/>
                                </a:lnTo>
                              </a:path>
                              <a:path w="1482725" h="1021080">
                                <a:moveTo>
                                  <a:pt x="367263" y="835099"/>
                                </a:moveTo>
                                <a:lnTo>
                                  <a:pt x="367263" y="1020930"/>
                                </a:lnTo>
                              </a:path>
                              <a:path w="1482725" h="1021080">
                                <a:moveTo>
                                  <a:pt x="341420" y="835099"/>
                                </a:moveTo>
                                <a:lnTo>
                                  <a:pt x="341420" y="1020930"/>
                                </a:lnTo>
                              </a:path>
                              <a:path w="1482725" h="1021080">
                                <a:moveTo>
                                  <a:pt x="355141" y="407129"/>
                                </a:moveTo>
                                <a:lnTo>
                                  <a:pt x="355141" y="230095"/>
                                </a:lnTo>
                              </a:path>
                              <a:path w="1482725" h="1021080">
                                <a:moveTo>
                                  <a:pt x="380984" y="391839"/>
                                </a:moveTo>
                                <a:lnTo>
                                  <a:pt x="380984" y="230095"/>
                                </a:lnTo>
                              </a:path>
                              <a:path w="1482725" h="1021080">
                                <a:moveTo>
                                  <a:pt x="164649" y="733558"/>
                                </a:moveTo>
                                <a:lnTo>
                                  <a:pt x="0" y="828912"/>
                                </a:lnTo>
                              </a:path>
                              <a:path w="1482725" h="1021080">
                                <a:moveTo>
                                  <a:pt x="545633" y="733558"/>
                                </a:moveTo>
                                <a:lnTo>
                                  <a:pt x="670585" y="859186"/>
                                </a:lnTo>
                              </a:path>
                              <a:path w="1482725" h="1021080">
                                <a:moveTo>
                                  <a:pt x="390175" y="189090"/>
                                </a:moveTo>
                                <a:lnTo>
                                  <a:pt x="539372" y="189090"/>
                                </a:lnTo>
                              </a:path>
                              <a:path w="1482725" h="1021080">
                                <a:moveTo>
                                  <a:pt x="662725" y="189090"/>
                                </a:moveTo>
                                <a:lnTo>
                                  <a:pt x="809258" y="189090"/>
                                </a:lnTo>
                              </a:path>
                              <a:path w="1482725" h="1021080">
                                <a:moveTo>
                                  <a:pt x="833502" y="148402"/>
                                </a:moveTo>
                                <a:lnTo>
                                  <a:pt x="833502" y="13672"/>
                                </a:lnTo>
                              </a:path>
                              <a:path w="1482725" h="1021080">
                                <a:moveTo>
                                  <a:pt x="861077" y="148402"/>
                                </a:moveTo>
                                <a:lnTo>
                                  <a:pt x="861077" y="13672"/>
                                </a:lnTo>
                              </a:path>
                              <a:path w="1482725" h="1021080">
                                <a:moveTo>
                                  <a:pt x="883723" y="189090"/>
                                </a:moveTo>
                                <a:lnTo>
                                  <a:pt x="1066755" y="189090"/>
                                </a:lnTo>
                              </a:path>
                              <a:path w="1482725" h="1021080">
                                <a:moveTo>
                                  <a:pt x="1066755" y="189090"/>
                                </a:moveTo>
                                <a:lnTo>
                                  <a:pt x="1176254" y="378166"/>
                                </a:lnTo>
                              </a:path>
                              <a:path w="1482725" h="1021080">
                                <a:moveTo>
                                  <a:pt x="1097127" y="189090"/>
                                </a:moveTo>
                                <a:lnTo>
                                  <a:pt x="1191574" y="351152"/>
                                </a:lnTo>
                              </a:path>
                              <a:path w="1482725" h="1021080">
                                <a:moveTo>
                                  <a:pt x="1176254" y="378166"/>
                                </a:moveTo>
                                <a:lnTo>
                                  <a:pt x="1395520" y="378166"/>
                                </a:lnTo>
                              </a:path>
                              <a:path w="1482725" h="1021080">
                                <a:moveTo>
                                  <a:pt x="1395520" y="378166"/>
                                </a:moveTo>
                                <a:lnTo>
                                  <a:pt x="1482507" y="230095"/>
                                </a:lnTo>
                              </a:path>
                              <a:path w="1482725" h="1021080">
                                <a:moveTo>
                                  <a:pt x="1380467" y="351152"/>
                                </a:moveTo>
                                <a:lnTo>
                                  <a:pt x="1459861" y="216422"/>
                                </a:lnTo>
                              </a:path>
                              <a:path w="1482725" h="1021080">
                                <a:moveTo>
                                  <a:pt x="1482507" y="150031"/>
                                </a:moveTo>
                                <a:lnTo>
                                  <a:pt x="1395520" y="0"/>
                                </a:lnTo>
                              </a:path>
                              <a:path w="1482725" h="1021080">
                                <a:moveTo>
                                  <a:pt x="1395520" y="0"/>
                                </a:moveTo>
                                <a:lnTo>
                                  <a:pt x="1176254" y="0"/>
                                </a:lnTo>
                              </a:path>
                              <a:path w="1482725" h="1021080">
                                <a:moveTo>
                                  <a:pt x="1380467" y="25703"/>
                                </a:moveTo>
                                <a:lnTo>
                                  <a:pt x="1191574" y="25703"/>
                                </a:lnTo>
                              </a:path>
                              <a:path w="1482725" h="1021080">
                                <a:moveTo>
                                  <a:pt x="1176254" y="0"/>
                                </a:moveTo>
                                <a:lnTo>
                                  <a:pt x="1066755" y="189090"/>
                                </a:lnTo>
                              </a:path>
                            </a:pathLst>
                          </a:custGeom>
                          <a:ln w="7521">
                            <a:solidFill>
                              <a:srgbClr val="000000"/>
                            </a:solidFill>
                            <a:prstDash val="solid"/>
                          </a:ln>
                        </wps:spPr>
                        <wps:bodyPr wrap="square" lIns="0" tIns="0" rIns="0" bIns="0" rtlCol="0">
                          <a:prstTxWarp prst="textNoShape">
                            <a:avLst/>
                          </a:prstTxWarp>
                          <a:noAutofit/>
                        </wps:bodyPr>
                      </wps:wsp>
                      <wps:wsp>
                        <wps:cNvPr id="34" name="Textbox 34"/>
                        <wps:cNvSpPr txBox="1"/>
                        <wps:spPr>
                          <a:xfrm>
                            <a:off x="333053" y="154350"/>
                            <a:ext cx="558165" cy="81280"/>
                          </a:xfrm>
                          <a:prstGeom prst="rect">
                            <a:avLst/>
                          </a:prstGeom>
                        </wps:spPr>
                        <wps:txbx>
                          <w:txbxContent>
                            <w:p>
                              <w:pPr>
                                <w:tabs>
                                  <w:tab w:pos="345" w:val="left" w:leader="none"/>
                                  <w:tab w:pos="774" w:val="left" w:leader="none"/>
                                </w:tabs>
                                <w:spacing w:before="0"/>
                                <w:ind w:left="0" w:right="0" w:firstLine="0"/>
                                <w:jc w:val="left"/>
                                <w:rPr>
                                  <w:rFonts w:ascii="Arial MT"/>
                                  <w:sz w:val="11"/>
                                </w:rPr>
                              </w:pPr>
                              <w:r>
                                <w:rPr>
                                  <w:rFonts w:ascii="Arial MT"/>
                                  <w:spacing w:val="-10"/>
                                  <w:w w:val="105"/>
                                  <w:sz w:val="11"/>
                                </w:rPr>
                                <w:t>N</w:t>
                              </w:r>
                              <w:r>
                                <w:rPr>
                                  <w:rFonts w:ascii="Arial MT"/>
                                  <w:sz w:val="11"/>
                                </w:rPr>
                                <w:tab/>
                              </w:r>
                              <w:r>
                                <w:rPr>
                                  <w:rFonts w:ascii="Arial MT"/>
                                  <w:spacing w:val="-5"/>
                                  <w:w w:val="105"/>
                                  <w:sz w:val="11"/>
                                </w:rPr>
                                <w:t>NH</w:t>
                              </w:r>
                              <w:r>
                                <w:rPr>
                                  <w:rFonts w:ascii="Arial MT"/>
                                  <w:sz w:val="11"/>
                                </w:rPr>
                                <w:tab/>
                              </w:r>
                              <w:r>
                                <w:rPr>
                                  <w:rFonts w:ascii="Arial MT"/>
                                  <w:spacing w:val="-10"/>
                                  <w:w w:val="105"/>
                                  <w:sz w:val="11"/>
                                </w:rPr>
                                <w:t>C</w:t>
                              </w:r>
                            </w:p>
                          </w:txbxContent>
                        </wps:txbx>
                        <wps:bodyPr wrap="square" lIns="0" tIns="0" rIns="0" bIns="0" rtlCol="0">
                          <a:noAutofit/>
                        </wps:bodyPr>
                      </wps:wsp>
                      <wps:wsp>
                        <wps:cNvPr id="35" name="Textbox 35"/>
                        <wps:cNvSpPr txBox="1"/>
                        <wps:spPr>
                          <a:xfrm>
                            <a:off x="680202" y="853090"/>
                            <a:ext cx="236854" cy="92075"/>
                          </a:xfrm>
                          <a:prstGeom prst="rect">
                            <a:avLst/>
                          </a:prstGeom>
                        </wps:spPr>
                        <wps:txbx>
                          <w:txbxContent>
                            <w:p>
                              <w:pPr>
                                <w:spacing w:line="144" w:lineRule="exact" w:before="0"/>
                                <w:ind w:left="0" w:right="0" w:firstLine="0"/>
                                <w:jc w:val="left"/>
                                <w:rPr>
                                  <w:rFonts w:ascii="Arial MT"/>
                                  <w:sz w:val="11"/>
                                </w:rPr>
                              </w:pPr>
                              <w:r>
                                <w:rPr>
                                  <w:rFonts w:ascii="Arial MT"/>
                                  <w:spacing w:val="-4"/>
                                  <w:w w:val="105"/>
                                  <w:sz w:val="11"/>
                                </w:rPr>
                                <w:t>SO</w:t>
                              </w:r>
                              <w:r>
                                <w:rPr>
                                  <w:rFonts w:ascii="Arial MT"/>
                                  <w:spacing w:val="-4"/>
                                  <w:w w:val="105"/>
                                  <w:position w:val="-2"/>
                                  <w:sz w:val="7"/>
                                </w:rPr>
                                <w:t>3</w:t>
                              </w:r>
                              <w:r>
                                <w:rPr>
                                  <w:rFonts w:ascii="Arial MT"/>
                                  <w:spacing w:val="-4"/>
                                  <w:w w:val="105"/>
                                  <w:sz w:val="11"/>
                                </w:rPr>
                                <w:t>Na</w:t>
                              </w:r>
                            </w:p>
                          </w:txbxContent>
                        </wps:txbx>
                        <wps:bodyPr wrap="square" lIns="0" tIns="0" rIns="0" bIns="0" rtlCol="0">
                          <a:noAutofit/>
                        </wps:bodyPr>
                      </wps:wsp>
                    </wpg:wgp>
                  </a:graphicData>
                </a:graphic>
              </wp:anchor>
            </w:drawing>
          </mc:Choice>
          <mc:Fallback>
            <w:pict>
              <v:group style="position:absolute;margin-left:382.240753pt;margin-top:-12.163602pt;width:117.35pt;height:80.7pt;mso-position-horizontal-relative:page;mso-position-vertical-relative:paragraph;z-index:15737856" id="docshapegroup24" coordorigin="7645,-243" coordsize="2347,1614">
                <v:shape style="position:absolute;left:7650;top:-238;width:2335;height:1608" id="docshape25" coordorigin="7651,-237" coordsize="2335,1608" path="m7910,575l7910,918m7951,599l7951,894m7910,918l8210,1090m8210,1090l8510,918m8510,918l8510,575m8467,894l8467,599m8510,575l8210,404m8210,404l7910,575m8229,1078l8229,1370m8188,1078l8188,1370m8210,404l8210,125m8251,380l8251,125m7910,918l7651,1068m8510,918l8707,1116m8265,60l8500,60m8694,60l8925,60m8963,-4l8963,-216m9007,-4l9007,-216m9042,60l9331,60m9331,60l9503,358m9378,60l9527,316m9503,358l9848,358m9848,358l9985,125m9825,316l9950,103m9985,-1l9848,-237m9848,-237l9503,-237m9825,-197l9527,-197m9503,-237l9331,60e" filled="false" stroked="true" strokeweight=".592242pt" strokecolor="#000000">
                  <v:path arrowok="t"/>
                  <v:stroke dashstyle="solid"/>
                </v:shape>
                <v:shape style="position:absolute;left:8169;top:-1;width:879;height:128" type="#_x0000_t202" id="docshape26" filled="false" stroked="false">
                  <v:textbox inset="0,0,0,0">
                    <w:txbxContent>
                      <w:p>
                        <w:pPr>
                          <w:tabs>
                            <w:tab w:pos="345" w:val="left" w:leader="none"/>
                            <w:tab w:pos="774" w:val="left" w:leader="none"/>
                          </w:tabs>
                          <w:spacing w:before="0"/>
                          <w:ind w:left="0" w:right="0" w:firstLine="0"/>
                          <w:jc w:val="left"/>
                          <w:rPr>
                            <w:rFonts w:ascii="Arial MT"/>
                            <w:sz w:val="11"/>
                          </w:rPr>
                        </w:pPr>
                        <w:r>
                          <w:rPr>
                            <w:rFonts w:ascii="Arial MT"/>
                            <w:spacing w:val="-10"/>
                            <w:w w:val="105"/>
                            <w:sz w:val="11"/>
                          </w:rPr>
                          <w:t>N</w:t>
                        </w:r>
                        <w:r>
                          <w:rPr>
                            <w:rFonts w:ascii="Arial MT"/>
                            <w:sz w:val="11"/>
                          </w:rPr>
                          <w:tab/>
                        </w:r>
                        <w:r>
                          <w:rPr>
                            <w:rFonts w:ascii="Arial MT"/>
                            <w:spacing w:val="-5"/>
                            <w:w w:val="105"/>
                            <w:sz w:val="11"/>
                          </w:rPr>
                          <w:t>NH</w:t>
                        </w:r>
                        <w:r>
                          <w:rPr>
                            <w:rFonts w:ascii="Arial MT"/>
                            <w:sz w:val="11"/>
                          </w:rPr>
                          <w:tab/>
                        </w:r>
                        <w:r>
                          <w:rPr>
                            <w:rFonts w:ascii="Arial MT"/>
                            <w:spacing w:val="-10"/>
                            <w:w w:val="105"/>
                            <w:sz w:val="11"/>
                          </w:rPr>
                          <w:t>C</w:t>
                        </w:r>
                      </w:p>
                    </w:txbxContent>
                  </v:textbox>
                  <w10:wrap type="none"/>
                </v:shape>
                <v:shape style="position:absolute;left:8716;top:1100;width:373;height:145" type="#_x0000_t202" id="docshape27" filled="false" stroked="false">
                  <v:textbox inset="0,0,0,0">
                    <w:txbxContent>
                      <w:p>
                        <w:pPr>
                          <w:spacing w:line="144" w:lineRule="exact" w:before="0"/>
                          <w:ind w:left="0" w:right="0" w:firstLine="0"/>
                          <w:jc w:val="left"/>
                          <w:rPr>
                            <w:rFonts w:ascii="Arial MT"/>
                            <w:sz w:val="11"/>
                          </w:rPr>
                        </w:pPr>
                        <w:r>
                          <w:rPr>
                            <w:rFonts w:ascii="Arial MT"/>
                            <w:spacing w:val="-4"/>
                            <w:w w:val="105"/>
                            <w:sz w:val="11"/>
                          </w:rPr>
                          <w:t>SO</w:t>
                        </w:r>
                        <w:r>
                          <w:rPr>
                            <w:rFonts w:ascii="Arial MT"/>
                            <w:spacing w:val="-4"/>
                            <w:w w:val="105"/>
                            <w:position w:val="-2"/>
                            <w:sz w:val="7"/>
                          </w:rPr>
                          <w:t>3</w:t>
                        </w:r>
                        <w:r>
                          <w:rPr>
                            <w:rFonts w:ascii="Arial MT"/>
                            <w:spacing w:val="-4"/>
                            <w:w w:val="105"/>
                            <w:sz w:val="11"/>
                          </w:rPr>
                          <w:t>Na</w:t>
                        </w:r>
                      </w:p>
                    </w:txbxContent>
                  </v:textbox>
                  <w10:wrap type="none"/>
                </v:shape>
                <w10:wrap type="none"/>
              </v:group>
            </w:pict>
          </mc:Fallback>
        </mc:AlternateContent>
      </w:r>
      <w:r>
        <w:rPr>
          <w:rFonts w:ascii="Arial MT"/>
          <w:spacing w:val="-10"/>
          <w:w w:val="105"/>
          <w:sz w:val="11"/>
        </w:rPr>
        <w:t>N</w:t>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9"/>
        <w:rPr>
          <w:rFonts w:ascii="Arial MT"/>
          <w:sz w:val="11"/>
        </w:rPr>
      </w:pPr>
    </w:p>
    <w:p>
      <w:pPr>
        <w:spacing w:before="0"/>
        <w:ind w:left="504" w:right="0" w:firstLine="0"/>
        <w:jc w:val="left"/>
        <w:rPr>
          <w:rFonts w:ascii="Arial MT"/>
          <w:sz w:val="11"/>
        </w:rPr>
      </w:pPr>
      <w:r>
        <w:rPr/>
        <mc:AlternateContent>
          <mc:Choice Requires="wps">
            <w:drawing>
              <wp:anchor distT="0" distB="0" distL="0" distR="0" allowOverlap="1" layoutInCell="1" locked="0" behindDoc="1" simplePos="0" relativeHeight="484995072">
                <wp:simplePos x="0" y="0"/>
                <wp:positionH relativeFrom="page">
                  <wp:posOffset>4329631</wp:posOffset>
                </wp:positionH>
                <wp:positionV relativeFrom="paragraph">
                  <wp:posOffset>-247200</wp:posOffset>
                </wp:positionV>
                <wp:extent cx="74930" cy="3810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74930" cy="38100"/>
                        </a:xfrm>
                        <a:custGeom>
                          <a:avLst/>
                          <a:gdLst/>
                          <a:ahLst/>
                          <a:cxnLst/>
                          <a:rect l="l" t="t" r="r" b="b"/>
                          <a:pathLst>
                            <a:path w="74930" h="38100">
                              <a:moveTo>
                                <a:pt x="0" y="0"/>
                              </a:moveTo>
                              <a:lnTo>
                                <a:pt x="9191" y="19847"/>
                              </a:lnTo>
                              <a:lnTo>
                                <a:pt x="0" y="38077"/>
                              </a:lnTo>
                              <a:lnTo>
                                <a:pt x="74731" y="19847"/>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0.915863pt;margin-top:-19.464613pt;width:5.9pt;height:3pt;mso-position-horizontal-relative:page;mso-position-vertical-relative:paragraph;z-index:-18321408" id="docshape28" coordorigin="6818,-389" coordsize="118,60" path="m6818,-389l6833,-358,6818,-329,6936,-358,6818,-389xe" filled="true" fillcolor="#000000" stroked="false">
                <v:path arrowok="t"/>
                <v:fill type="solid"/>
                <w10:wrap type="none"/>
              </v:shape>
            </w:pict>
          </mc:Fallback>
        </mc:AlternateContent>
      </w:r>
      <w:r>
        <w:rPr>
          <w:rFonts w:ascii="Arial MT"/>
          <w:spacing w:val="-5"/>
          <w:w w:val="105"/>
          <w:sz w:val="11"/>
        </w:rPr>
        <w:t>ONa</w:t>
      </w:r>
    </w:p>
    <w:p>
      <w:pPr>
        <w:spacing w:after="0"/>
        <w:jc w:val="left"/>
        <w:rPr>
          <w:rFonts w:ascii="Arial MT"/>
          <w:sz w:val="11"/>
        </w:rPr>
        <w:sectPr>
          <w:type w:val="continuous"/>
          <w:pgSz w:w="12240" w:h="15840"/>
          <w:pgMar w:header="0" w:footer="1015" w:top="1360" w:bottom="1200" w:left="240" w:right="0"/>
          <w:cols w:num="5" w:equalWidth="0">
            <w:col w:w="2921" w:space="40"/>
            <w:col w:w="987" w:space="39"/>
            <w:col w:w="863" w:space="40"/>
            <w:col w:w="1732" w:space="39"/>
            <w:col w:w="5339"/>
          </w:cols>
        </w:sectPr>
      </w:pPr>
    </w:p>
    <w:p>
      <w:pPr>
        <w:pStyle w:val="BodyText"/>
        <w:spacing w:before="14"/>
        <w:rPr>
          <w:rFonts w:ascii="Arial MT"/>
          <w:sz w:val="11"/>
        </w:rPr>
      </w:pPr>
    </w:p>
    <w:p>
      <w:pPr>
        <w:spacing w:before="0"/>
        <w:ind w:left="7924" w:right="0" w:firstLine="0"/>
        <w:jc w:val="left"/>
        <w:rPr>
          <w:rFonts w:ascii="Arial MT"/>
          <w:sz w:val="11"/>
        </w:rPr>
      </w:pPr>
      <w:r>
        <w:rPr>
          <w:rFonts w:ascii="Arial MT"/>
          <w:spacing w:val="-10"/>
          <w:w w:val="105"/>
          <w:sz w:val="11"/>
        </w:rPr>
        <w:t>O</w:t>
      </w:r>
    </w:p>
    <w:p>
      <w:pPr>
        <w:spacing w:before="91"/>
        <w:ind w:left="7518" w:right="0" w:firstLine="0"/>
        <w:jc w:val="left"/>
        <w:rPr>
          <w:sz w:val="13"/>
        </w:rPr>
      </w:pPr>
      <w:r>
        <w:rPr>
          <w:w w:val="105"/>
          <w:sz w:val="13"/>
        </w:rPr>
        <w:t>Red </w:t>
      </w:r>
      <w:r>
        <w:rPr>
          <w:spacing w:val="-2"/>
          <w:w w:val="105"/>
          <w:sz w:val="13"/>
        </w:rPr>
        <w:t>Colour</w:t>
      </w:r>
    </w:p>
    <w:p>
      <w:pPr>
        <w:pStyle w:val="BodyText"/>
        <w:spacing w:before="11"/>
      </w:pPr>
    </w:p>
    <w:p>
      <w:pPr>
        <w:pStyle w:val="BodyText"/>
        <w:ind w:left="1260"/>
        <w:jc w:val="both"/>
      </w:pPr>
      <w:r>
        <w:rPr/>
        <w:t>……….equation</w:t>
      </w:r>
      <w:r>
        <w:rPr>
          <w:spacing w:val="-2"/>
        </w:rPr>
        <w:t> </w:t>
      </w:r>
      <w:r>
        <w:rPr>
          <w:spacing w:val="-5"/>
        </w:rPr>
        <w:t>2.8</w:t>
      </w:r>
    </w:p>
    <w:p>
      <w:pPr>
        <w:pStyle w:val="BodyText"/>
        <w:spacing w:line="480" w:lineRule="auto" w:before="269"/>
        <w:ind w:left="1200" w:right="1433"/>
        <w:jc w:val="both"/>
      </w:pPr>
      <w:r>
        <w:rPr/>
        <w:t>The same authors developed another method based on same reaction but NaIO4 was used as oxidizing agent and absorbance of the coupled product was measured at 507 nm (Naidu </w:t>
      </w:r>
      <w:r>
        <w:rPr>
          <w:i/>
        </w:rPr>
        <w:t>et al., </w:t>
      </w:r>
      <w:r>
        <w:rPr/>
        <w:t>2005).This method obeys Beer’s law in the concentration of 1.5-18 µg/mL but it was tedious.</w:t>
      </w:r>
    </w:p>
    <w:p>
      <w:pPr>
        <w:tabs>
          <w:tab w:pos="966" w:val="left" w:leader="none"/>
          <w:tab w:pos="1315" w:val="left" w:leader="none"/>
          <w:tab w:pos="1744" w:val="left" w:leader="none"/>
        </w:tabs>
        <w:spacing w:before="0"/>
        <w:ind w:left="619" w:right="0" w:firstLine="0"/>
        <w:jc w:val="center"/>
        <w:rPr>
          <w:rFonts w:ascii="Arial MT"/>
          <w:sz w:val="11"/>
        </w:rPr>
      </w:pPr>
      <w:r>
        <w:rPr/>
        <mc:AlternateContent>
          <mc:Choice Requires="wps">
            <w:drawing>
              <wp:anchor distT="0" distB="0" distL="0" distR="0" allowOverlap="1" layoutInCell="1" locked="0" behindDoc="1" simplePos="0" relativeHeight="484999168">
                <wp:simplePos x="0" y="0"/>
                <wp:positionH relativeFrom="page">
                  <wp:posOffset>3794788</wp:posOffset>
                </wp:positionH>
                <wp:positionV relativeFrom="paragraph">
                  <wp:posOffset>38404</wp:posOffset>
                </wp:positionV>
                <wp:extent cx="379730" cy="63309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379730" cy="633095"/>
                        </a:xfrm>
                        <a:custGeom>
                          <a:avLst/>
                          <a:gdLst/>
                          <a:ahLst/>
                          <a:cxnLst/>
                          <a:rect l="l" t="t" r="r" b="b"/>
                          <a:pathLst>
                            <a:path w="379730" h="633095">
                              <a:moveTo>
                                <a:pt x="0" y="326927"/>
                              </a:moveTo>
                              <a:lnTo>
                                <a:pt x="0" y="544725"/>
                              </a:lnTo>
                            </a:path>
                            <a:path w="379730" h="633095">
                              <a:moveTo>
                                <a:pt x="25976" y="342222"/>
                              </a:moveTo>
                              <a:lnTo>
                                <a:pt x="25976" y="529748"/>
                              </a:lnTo>
                            </a:path>
                            <a:path w="379730" h="633095">
                              <a:moveTo>
                                <a:pt x="0" y="544725"/>
                              </a:moveTo>
                              <a:lnTo>
                                <a:pt x="152526" y="632623"/>
                              </a:lnTo>
                            </a:path>
                            <a:path w="379730" h="633095">
                              <a:moveTo>
                                <a:pt x="228590" y="630993"/>
                              </a:moveTo>
                              <a:lnTo>
                                <a:pt x="379385" y="544725"/>
                              </a:lnTo>
                            </a:path>
                            <a:path w="379730" h="633095">
                              <a:moveTo>
                                <a:pt x="214869" y="608541"/>
                              </a:moveTo>
                              <a:lnTo>
                                <a:pt x="353542" y="529748"/>
                              </a:lnTo>
                            </a:path>
                            <a:path w="379730" h="633095">
                              <a:moveTo>
                                <a:pt x="379385" y="544725"/>
                              </a:moveTo>
                              <a:lnTo>
                                <a:pt x="379385" y="326927"/>
                              </a:lnTo>
                            </a:path>
                            <a:path w="379730" h="633095">
                              <a:moveTo>
                                <a:pt x="379385" y="326927"/>
                              </a:moveTo>
                              <a:lnTo>
                                <a:pt x="190492" y="218181"/>
                              </a:lnTo>
                            </a:path>
                            <a:path w="379730" h="633095">
                              <a:moveTo>
                                <a:pt x="353542" y="342222"/>
                              </a:moveTo>
                              <a:lnTo>
                                <a:pt x="188893" y="248134"/>
                              </a:lnTo>
                            </a:path>
                            <a:path w="379730" h="633095">
                              <a:moveTo>
                                <a:pt x="190492" y="218181"/>
                              </a:moveTo>
                              <a:lnTo>
                                <a:pt x="0" y="326927"/>
                              </a:lnTo>
                            </a:path>
                            <a:path w="379730" h="633095">
                              <a:moveTo>
                                <a:pt x="190492" y="218181"/>
                              </a:moveTo>
                              <a:lnTo>
                                <a:pt x="190492" y="42411"/>
                              </a:lnTo>
                            </a:path>
                            <a:path w="379730" h="633095">
                              <a:moveTo>
                                <a:pt x="226991" y="0"/>
                              </a:moveTo>
                              <a:lnTo>
                                <a:pt x="374856" y="0"/>
                              </a:lnTo>
                            </a:path>
                            <a:path w="379730" h="633095">
                              <a:moveTo>
                                <a:pt x="150928" y="0"/>
                              </a:moveTo>
                              <a:lnTo>
                                <a:pt x="7593" y="0"/>
                              </a:lnTo>
                            </a:path>
                          </a:pathLst>
                        </a:custGeom>
                        <a:ln w="752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98.802246pt;margin-top:3.023986pt;width:29.9pt;height:49.85pt;mso-position-horizontal-relative:page;mso-position-vertical-relative:paragraph;z-index:-18317312" id="docshape29" coordorigin="5976,60" coordsize="598,997" path="m5976,575l5976,918m6017,599l6017,895m5976,918l6216,1057m6336,1054l6574,918m6314,1019l6533,895m6574,918l6574,575m6574,575l6276,404m6533,599l6274,451m6276,404l5976,575m6276,404l6276,127m6334,60l6566,60m6214,60l5988,60e" filled="false" stroked="true" strokeweight=".592345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4999680">
                <wp:simplePos x="0" y="0"/>
                <wp:positionH relativeFrom="page">
                  <wp:posOffset>4291665</wp:posOffset>
                </wp:positionH>
                <wp:positionV relativeFrom="paragraph">
                  <wp:posOffset>37211</wp:posOffset>
                </wp:positionV>
                <wp:extent cx="15113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51130" cy="1270"/>
                        </a:xfrm>
                        <a:custGeom>
                          <a:avLst/>
                          <a:gdLst/>
                          <a:ahLst/>
                          <a:cxnLst/>
                          <a:rect l="l" t="t" r="r" b="b"/>
                          <a:pathLst>
                            <a:path w="151130" h="1270">
                              <a:moveTo>
                                <a:pt x="0" y="0"/>
                              </a:moveTo>
                              <a:lnTo>
                                <a:pt x="150795" y="1192"/>
                              </a:lnTo>
                            </a:path>
                          </a:pathLst>
                        </a:custGeom>
                        <a:ln w="75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16800" from="337.926453pt,2.930063pt" to="349.80008pt,3.023986pt" stroked="true" strokeweight=".590842pt" strokecolor="#000000">
                <v:stroke dashstyle="solid"/>
                <w10:wrap type="none"/>
              </v:line>
            </w:pict>
          </mc:Fallback>
        </mc:AlternateContent>
      </w:r>
      <w:r>
        <w:rPr>
          <w:rFonts w:ascii="Arial MT"/>
          <w:spacing w:val="3"/>
          <w:w w:val="105"/>
          <w:position w:val="-1"/>
          <w:sz w:val="11"/>
        </w:rPr>
        <w:t>O</w:t>
      </w:r>
      <w:r>
        <w:rPr>
          <w:rFonts w:ascii="Arial MT"/>
          <w:position w:val="-1"/>
          <w:sz w:val="11"/>
          <w:u w:val="single"/>
        </w:rPr>
        <w:tab/>
      </w:r>
      <w:r>
        <w:rPr>
          <w:rFonts w:ascii="Arial MT"/>
          <w:spacing w:val="-10"/>
          <w:w w:val="105"/>
          <w:sz w:val="11"/>
        </w:rPr>
        <w:t>C</w:t>
      </w:r>
      <w:r>
        <w:rPr>
          <w:rFonts w:ascii="Arial MT"/>
          <w:sz w:val="11"/>
        </w:rPr>
        <w:tab/>
      </w:r>
      <w:r>
        <w:rPr>
          <w:rFonts w:ascii="Arial MT"/>
          <w:spacing w:val="-7"/>
          <w:w w:val="105"/>
          <w:sz w:val="11"/>
        </w:rPr>
        <w:t>NH</w:t>
      </w:r>
      <w:r>
        <w:rPr>
          <w:rFonts w:ascii="Arial MT"/>
          <w:sz w:val="11"/>
        </w:rPr>
        <w:tab/>
      </w:r>
      <w:r>
        <w:rPr>
          <w:rFonts w:ascii="Arial MT"/>
          <w:spacing w:val="-5"/>
          <w:w w:val="105"/>
          <w:sz w:val="11"/>
        </w:rPr>
        <w:t>NH</w:t>
      </w:r>
      <w:r>
        <w:rPr>
          <w:rFonts w:ascii="Arial MT"/>
          <w:spacing w:val="-5"/>
          <w:w w:val="105"/>
          <w:sz w:val="11"/>
          <w:vertAlign w:val="subscript"/>
        </w:rPr>
        <w:t>2</w:t>
      </w:r>
    </w:p>
    <w:p>
      <w:pPr>
        <w:pStyle w:val="BodyText"/>
        <w:spacing w:before="1"/>
        <w:rPr>
          <w:rFonts w:ascii="Arial MT"/>
          <w:sz w:val="12"/>
        </w:rPr>
      </w:pPr>
    </w:p>
    <w:p>
      <w:pPr>
        <w:spacing w:after="0"/>
        <w:rPr>
          <w:rFonts w:ascii="Arial MT"/>
          <w:sz w:val="12"/>
        </w:rPr>
        <w:sectPr>
          <w:type w:val="continuous"/>
          <w:pgSz w:w="12240" w:h="15840"/>
          <w:pgMar w:header="0" w:footer="1015" w:top="1360" w:bottom="1200" w:left="240" w:right="0"/>
        </w:sectPr>
      </w:pPr>
    </w:p>
    <w:p>
      <w:pPr>
        <w:pStyle w:val="BodyText"/>
        <w:spacing w:before="50"/>
        <w:rPr>
          <w:rFonts w:ascii="Arial MT"/>
          <w:sz w:val="11"/>
        </w:rPr>
      </w:pPr>
    </w:p>
    <w:p>
      <w:pPr>
        <w:spacing w:before="1"/>
        <w:ind w:left="1923" w:right="0" w:firstLine="0"/>
        <w:jc w:val="left"/>
        <w:rPr>
          <w:rFonts w:ascii="Arial MT"/>
          <w:sz w:val="11"/>
        </w:rPr>
      </w:pPr>
      <w:r>
        <w:rPr/>
        <mc:AlternateContent>
          <mc:Choice Requires="wps">
            <w:drawing>
              <wp:anchor distT="0" distB="0" distL="0" distR="0" allowOverlap="1" layoutInCell="1" locked="0" behindDoc="1" simplePos="0" relativeHeight="484997120">
                <wp:simplePos x="0" y="0"/>
                <wp:positionH relativeFrom="page">
                  <wp:posOffset>1033863</wp:posOffset>
                </wp:positionH>
                <wp:positionV relativeFrom="paragraph">
                  <wp:posOffset>81102</wp:posOffset>
                </wp:positionV>
                <wp:extent cx="737870" cy="78994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737870" cy="789940"/>
                        </a:xfrm>
                        <a:custGeom>
                          <a:avLst/>
                          <a:gdLst/>
                          <a:ahLst/>
                          <a:cxnLst/>
                          <a:rect l="l" t="t" r="r" b="b"/>
                          <a:pathLst>
                            <a:path w="737870" h="789940">
                              <a:moveTo>
                                <a:pt x="173789" y="284529"/>
                              </a:moveTo>
                              <a:lnTo>
                                <a:pt x="173789" y="502339"/>
                              </a:lnTo>
                            </a:path>
                            <a:path w="737870" h="789940">
                              <a:moveTo>
                                <a:pt x="199699" y="299506"/>
                              </a:moveTo>
                              <a:lnTo>
                                <a:pt x="199699" y="487031"/>
                              </a:lnTo>
                            </a:path>
                            <a:path w="737870" h="789940">
                              <a:moveTo>
                                <a:pt x="173789" y="502339"/>
                              </a:moveTo>
                              <a:lnTo>
                                <a:pt x="364308" y="611404"/>
                              </a:lnTo>
                            </a:path>
                            <a:path w="737870" h="789940">
                              <a:moveTo>
                                <a:pt x="364308" y="611404"/>
                              </a:moveTo>
                              <a:lnTo>
                                <a:pt x="553175" y="502339"/>
                              </a:lnTo>
                            </a:path>
                            <a:path w="737870" h="789940">
                              <a:moveTo>
                                <a:pt x="364308" y="581119"/>
                              </a:moveTo>
                              <a:lnTo>
                                <a:pt x="527279" y="487031"/>
                              </a:lnTo>
                            </a:path>
                            <a:path w="737870" h="789940">
                              <a:moveTo>
                                <a:pt x="553175" y="502339"/>
                              </a:moveTo>
                              <a:lnTo>
                                <a:pt x="553175" y="284529"/>
                              </a:lnTo>
                            </a:path>
                            <a:path w="737870" h="789940">
                              <a:moveTo>
                                <a:pt x="553175" y="284529"/>
                              </a:moveTo>
                              <a:lnTo>
                                <a:pt x="364308" y="175478"/>
                              </a:lnTo>
                            </a:path>
                            <a:path w="737870" h="789940">
                              <a:moveTo>
                                <a:pt x="527279" y="299506"/>
                              </a:moveTo>
                              <a:lnTo>
                                <a:pt x="364308" y="205749"/>
                              </a:lnTo>
                            </a:path>
                            <a:path w="737870" h="789940">
                              <a:moveTo>
                                <a:pt x="364308" y="175478"/>
                              </a:moveTo>
                              <a:lnTo>
                                <a:pt x="173789" y="284529"/>
                              </a:lnTo>
                            </a:path>
                            <a:path w="737870" h="789940">
                              <a:moveTo>
                                <a:pt x="364308" y="611404"/>
                              </a:moveTo>
                              <a:lnTo>
                                <a:pt x="364308" y="789811"/>
                              </a:lnTo>
                            </a:path>
                            <a:path w="737870" h="789940">
                              <a:moveTo>
                                <a:pt x="173789" y="502339"/>
                              </a:moveTo>
                              <a:lnTo>
                                <a:pt x="0" y="547587"/>
                              </a:lnTo>
                            </a:path>
                            <a:path w="737870" h="789940">
                              <a:moveTo>
                                <a:pt x="553175" y="502339"/>
                              </a:moveTo>
                              <a:lnTo>
                                <a:pt x="737459" y="502339"/>
                              </a:lnTo>
                            </a:path>
                            <a:path w="737870" h="789940">
                              <a:moveTo>
                                <a:pt x="364308" y="175478"/>
                              </a:moveTo>
                              <a:lnTo>
                                <a:pt x="364308" y="0"/>
                              </a:lnTo>
                            </a:path>
                          </a:pathLst>
                        </a:custGeom>
                        <a:ln w="752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1.406601pt;margin-top:6.385991pt;width:58.1pt;height:62.2pt;mso-position-horizontal-relative:page;mso-position-vertical-relative:paragraph;z-index:-18319360" id="docshape30" coordorigin="1628,128" coordsize="1162,1244" path="m1902,576l1902,919m1943,599l1943,895m1902,919l2202,1091m2202,1091l2499,919m2202,1043l2458,895m2499,919l2499,576m2499,576l2202,404m2458,599l2202,452m2202,404l1902,576m2202,1091l2202,1372m1902,919l1628,990m2499,919l2789,919m2202,404l2202,128e" filled="false" stroked="true" strokeweight=".592345pt" strokecolor="#000000">
                <v:path arrowok="t"/>
                <v:stroke dashstyle="solid"/>
                <w10:wrap type="none"/>
              </v:shape>
            </w:pict>
          </mc:Fallback>
        </mc:AlternateContent>
      </w:r>
      <w:r>
        <w:rPr>
          <w:rFonts w:ascii="Arial MT"/>
          <w:spacing w:val="-4"/>
          <w:w w:val="105"/>
          <w:sz w:val="11"/>
        </w:rPr>
        <w:t>SO</w:t>
      </w:r>
      <w:r>
        <w:rPr>
          <w:rFonts w:ascii="Arial MT"/>
          <w:spacing w:val="-4"/>
          <w:w w:val="105"/>
          <w:position w:val="-2"/>
          <w:sz w:val="7"/>
        </w:rPr>
        <w:t>3</w:t>
      </w:r>
      <w:r>
        <w:rPr>
          <w:rFonts w:ascii="Arial MT"/>
          <w:spacing w:val="-4"/>
          <w:w w:val="105"/>
          <w:sz w:val="11"/>
        </w:rPr>
        <w:t>Na</w:t>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77"/>
        <w:rPr>
          <w:rFonts w:ascii="Arial MT"/>
          <w:sz w:val="11"/>
        </w:rPr>
      </w:pPr>
    </w:p>
    <w:p>
      <w:pPr>
        <w:tabs>
          <w:tab w:pos="2569" w:val="left" w:leader="none"/>
        </w:tabs>
        <w:spacing w:before="0"/>
        <w:ind w:left="1201" w:right="0" w:firstLine="0"/>
        <w:jc w:val="left"/>
        <w:rPr>
          <w:rFonts w:ascii="Arial MT"/>
          <w:sz w:val="11"/>
        </w:rPr>
      </w:pPr>
      <w:r>
        <w:rPr/>
        <mc:AlternateContent>
          <mc:Choice Requires="wps">
            <w:drawing>
              <wp:anchor distT="0" distB="0" distL="0" distR="0" allowOverlap="1" layoutInCell="1" locked="0" behindDoc="0" simplePos="0" relativeHeight="15738880">
                <wp:simplePos x="0" y="0"/>
                <wp:positionH relativeFrom="page">
                  <wp:posOffset>1955941</wp:posOffset>
                </wp:positionH>
                <wp:positionV relativeFrom="paragraph">
                  <wp:posOffset>-129669</wp:posOffset>
                </wp:positionV>
                <wp:extent cx="772795" cy="4000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72795" cy="40005"/>
                          <a:chExt cx="772795" cy="40005"/>
                        </a:xfrm>
                      </wpg:grpSpPr>
                      <wps:wsp>
                        <wps:cNvPr id="41" name="Graphic 41"/>
                        <wps:cNvSpPr/>
                        <wps:spPr>
                          <a:xfrm>
                            <a:off x="697760" y="0"/>
                            <a:ext cx="74930" cy="40005"/>
                          </a:xfrm>
                          <a:custGeom>
                            <a:avLst/>
                            <a:gdLst/>
                            <a:ahLst/>
                            <a:cxnLst/>
                            <a:rect l="l" t="t" r="r" b="b"/>
                            <a:pathLst>
                              <a:path w="74930" h="40005">
                                <a:moveTo>
                                  <a:pt x="0" y="0"/>
                                </a:moveTo>
                                <a:lnTo>
                                  <a:pt x="9191" y="21152"/>
                                </a:lnTo>
                                <a:lnTo>
                                  <a:pt x="0" y="39389"/>
                                </a:lnTo>
                                <a:lnTo>
                                  <a:pt x="74465" y="21152"/>
                                </a:lnTo>
                                <a:lnTo>
                                  <a:pt x="0"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7699" y="24254"/>
                            <a:ext cx="701040" cy="1270"/>
                          </a:xfrm>
                          <a:custGeom>
                            <a:avLst/>
                            <a:gdLst/>
                            <a:ahLst/>
                            <a:cxnLst/>
                            <a:rect l="l" t="t" r="r" b="b"/>
                            <a:pathLst>
                              <a:path w="701040" h="0">
                                <a:moveTo>
                                  <a:pt x="700717" y="0"/>
                                </a:moveTo>
                                <a:lnTo>
                                  <a:pt x="0" y="0"/>
                                </a:lnTo>
                              </a:path>
                            </a:pathLst>
                          </a:custGeom>
                          <a:ln w="1855">
                            <a:solidFill>
                              <a:srgbClr val="000000"/>
                            </a:solidFill>
                            <a:prstDash val="solid"/>
                          </a:ln>
                        </wps:spPr>
                        <wps:bodyPr wrap="square" lIns="0" tIns="0" rIns="0" bIns="0" rtlCol="0">
                          <a:prstTxWarp prst="textNoShape">
                            <a:avLst/>
                          </a:prstTxWarp>
                          <a:noAutofit/>
                        </wps:bodyPr>
                      </wps:wsp>
                      <wps:wsp>
                        <wps:cNvPr id="43" name="Graphic 43"/>
                        <wps:cNvSpPr/>
                        <wps:spPr>
                          <a:xfrm>
                            <a:off x="0" y="16593"/>
                            <a:ext cx="707390" cy="7620"/>
                          </a:xfrm>
                          <a:custGeom>
                            <a:avLst/>
                            <a:gdLst/>
                            <a:ahLst/>
                            <a:cxnLst/>
                            <a:rect l="l" t="t" r="r" b="b"/>
                            <a:pathLst>
                              <a:path w="707390" h="7620">
                                <a:moveTo>
                                  <a:pt x="706965" y="0"/>
                                </a:moveTo>
                                <a:lnTo>
                                  <a:pt x="0" y="0"/>
                                </a:lnTo>
                                <a:lnTo>
                                  <a:pt x="0" y="7487"/>
                                </a:lnTo>
                                <a:lnTo>
                                  <a:pt x="706965" y="7487"/>
                                </a:lnTo>
                                <a:lnTo>
                                  <a:pt x="7069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4.011108pt;margin-top:-10.210195pt;width:60.85pt;height:3.15pt;mso-position-horizontal-relative:page;mso-position-vertical-relative:paragraph;z-index:15738880" id="docshapegroup31" coordorigin="3080,-204" coordsize="1217,63">
                <v:shape style="position:absolute;left:4179;top:-205;width:118;height:63" id="docshape32" coordorigin="4179,-204" coordsize="118,63" path="m4179,-204l4194,-171,4179,-142,4296,-171,4179,-204xe" filled="true" fillcolor="#000000" stroked="false">
                  <v:path arrowok="t"/>
                  <v:fill type="solid"/>
                </v:shape>
                <v:line style="position:absolute" from="4196,-166" to="3092,-166" stroked="true" strokeweight=".146103pt" strokecolor="#000000">
                  <v:stroke dashstyle="solid"/>
                </v:line>
                <v:rect style="position:absolute;left:3080;top:-179;width:1114;height:12" id="docshape33" filled="true" fillcolor="#000000" stroked="false">
                  <v:fill type="solid"/>
                </v:rect>
                <w10:wrap type="none"/>
              </v:group>
            </w:pict>
          </mc:Fallback>
        </mc:AlternateContent>
      </w:r>
      <w:r>
        <w:rPr>
          <w:rFonts w:ascii="Arial MT"/>
          <w:spacing w:val="-5"/>
          <w:w w:val="105"/>
          <w:position w:val="-8"/>
          <w:sz w:val="11"/>
        </w:rPr>
        <w:t>HO</w:t>
      </w:r>
      <w:r>
        <w:rPr>
          <w:rFonts w:ascii="Arial MT"/>
          <w:position w:val="-8"/>
          <w:sz w:val="11"/>
        </w:rPr>
        <w:tab/>
      </w:r>
      <w:r>
        <w:rPr>
          <w:rFonts w:ascii="Arial MT"/>
          <w:spacing w:val="-4"/>
          <w:w w:val="105"/>
          <w:sz w:val="11"/>
        </w:rPr>
        <w:t>SO</w:t>
      </w:r>
      <w:r>
        <w:rPr>
          <w:rFonts w:ascii="Arial MT"/>
          <w:spacing w:val="-4"/>
          <w:w w:val="105"/>
          <w:position w:val="-2"/>
          <w:sz w:val="7"/>
        </w:rPr>
        <w:t>3</w:t>
      </w:r>
      <w:r>
        <w:rPr>
          <w:rFonts w:ascii="Arial MT"/>
          <w:spacing w:val="-4"/>
          <w:w w:val="105"/>
          <w:sz w:val="11"/>
        </w:rPr>
        <w:t>Na</w:t>
      </w:r>
    </w:p>
    <w:p>
      <w:pPr>
        <w:pStyle w:val="BodyText"/>
        <w:rPr>
          <w:rFonts w:ascii="Arial MT"/>
          <w:sz w:val="11"/>
        </w:rPr>
      </w:pPr>
    </w:p>
    <w:p>
      <w:pPr>
        <w:pStyle w:val="BodyText"/>
        <w:spacing w:before="47"/>
        <w:rPr>
          <w:rFonts w:ascii="Arial MT"/>
          <w:sz w:val="11"/>
        </w:rPr>
      </w:pPr>
    </w:p>
    <w:p>
      <w:pPr>
        <w:spacing w:before="0"/>
        <w:ind w:left="1916" w:right="0" w:firstLine="0"/>
        <w:jc w:val="left"/>
        <w:rPr>
          <w:rFonts w:ascii="Arial MT"/>
          <w:sz w:val="11"/>
        </w:rPr>
      </w:pPr>
      <w:r>
        <w:rPr>
          <w:rFonts w:ascii="Arial MT"/>
          <w:spacing w:val="-5"/>
          <w:w w:val="105"/>
          <w:sz w:val="11"/>
        </w:rPr>
        <w:t>OH</w:t>
      </w:r>
    </w:p>
    <w:p>
      <w:pPr>
        <w:spacing w:line="240" w:lineRule="auto" w:before="0"/>
        <w:rPr>
          <w:rFonts w:ascii="Arial MT"/>
          <w:sz w:val="11"/>
        </w:rPr>
      </w:pPr>
      <w:r>
        <w:rPr/>
        <w:br w:type="column"/>
      </w:r>
      <w:r>
        <w:rPr>
          <w:rFonts w:ascii="Arial MT"/>
          <w:sz w:val="11"/>
        </w:rPr>
      </w:r>
    </w:p>
    <w:p>
      <w:pPr>
        <w:pStyle w:val="BodyText"/>
        <w:rPr>
          <w:rFonts w:ascii="Arial MT"/>
          <w:sz w:val="11"/>
        </w:rPr>
      </w:pPr>
    </w:p>
    <w:p>
      <w:pPr>
        <w:pStyle w:val="BodyText"/>
        <w:rPr>
          <w:rFonts w:ascii="Arial MT"/>
          <w:sz w:val="11"/>
        </w:rPr>
      </w:pPr>
    </w:p>
    <w:p>
      <w:pPr>
        <w:pStyle w:val="BodyText"/>
        <w:spacing w:before="126"/>
        <w:rPr>
          <w:rFonts w:ascii="Arial MT"/>
          <w:sz w:val="11"/>
        </w:rPr>
      </w:pPr>
    </w:p>
    <w:p>
      <w:pPr>
        <w:spacing w:before="0"/>
        <w:ind w:left="71" w:right="0" w:firstLine="0"/>
        <w:jc w:val="left"/>
        <w:rPr>
          <w:rFonts w:ascii="Arial MT"/>
          <w:sz w:val="7"/>
        </w:rPr>
      </w:pPr>
      <w:r>
        <w:rPr>
          <w:rFonts w:ascii="Arial MT"/>
          <w:spacing w:val="-4"/>
          <w:w w:val="105"/>
          <w:sz w:val="11"/>
        </w:rPr>
        <w:t>NaIO</w:t>
      </w:r>
      <w:r>
        <w:rPr>
          <w:rFonts w:ascii="Arial MT"/>
          <w:spacing w:val="-4"/>
          <w:w w:val="105"/>
          <w:position w:val="-2"/>
          <w:sz w:val="7"/>
        </w:rPr>
        <w:t>4</w:t>
      </w:r>
    </w:p>
    <w:p>
      <w:pPr>
        <w:pStyle w:val="BodyText"/>
        <w:rPr>
          <w:rFonts w:ascii="Arial MT"/>
          <w:sz w:val="11"/>
        </w:rPr>
      </w:pPr>
    </w:p>
    <w:p>
      <w:pPr>
        <w:pStyle w:val="BodyText"/>
        <w:spacing w:before="90"/>
        <w:rPr>
          <w:rFonts w:ascii="Arial MT"/>
          <w:sz w:val="11"/>
        </w:rPr>
      </w:pPr>
    </w:p>
    <w:p>
      <w:pPr>
        <w:spacing w:before="0"/>
        <w:ind w:left="0" w:right="0" w:firstLine="0"/>
        <w:jc w:val="right"/>
        <w:rPr>
          <w:rFonts w:ascii="Arial MT"/>
          <w:sz w:val="11"/>
        </w:rPr>
      </w:pPr>
      <w:r>
        <w:rPr>
          <w:rFonts w:ascii="Arial MT"/>
          <w:spacing w:val="-10"/>
          <w:w w:val="105"/>
          <w:sz w:val="11"/>
        </w:rPr>
        <w:t>O</w:t>
      </w:r>
    </w:p>
    <w:p>
      <w:pPr>
        <w:spacing w:line="240" w:lineRule="auto" w:before="50"/>
        <w:rPr>
          <w:rFonts w:ascii="Arial MT"/>
          <w:sz w:val="11"/>
        </w:rPr>
      </w:pPr>
      <w:r>
        <w:rPr/>
        <w:br w:type="column"/>
      </w:r>
      <w:r>
        <w:rPr>
          <w:rFonts w:ascii="Arial MT"/>
          <w:sz w:val="11"/>
        </w:rPr>
      </w:r>
    </w:p>
    <w:p>
      <w:pPr>
        <w:spacing w:before="1"/>
        <w:ind w:left="510" w:right="0" w:firstLine="0"/>
        <w:jc w:val="left"/>
        <w:rPr>
          <w:rFonts w:ascii="Arial MT"/>
          <w:sz w:val="11"/>
        </w:rPr>
      </w:pPr>
      <w:r>
        <w:rPr>
          <w:rFonts w:ascii="Arial MT"/>
          <w:spacing w:val="-4"/>
          <w:w w:val="105"/>
          <w:sz w:val="11"/>
        </w:rPr>
        <w:t>SO</w:t>
      </w:r>
      <w:r>
        <w:rPr>
          <w:rFonts w:ascii="Arial MT"/>
          <w:spacing w:val="-4"/>
          <w:w w:val="105"/>
          <w:sz w:val="11"/>
          <w:vertAlign w:val="subscript"/>
        </w:rPr>
        <w:t>3</w:t>
      </w:r>
      <w:r>
        <w:rPr>
          <w:rFonts w:ascii="Arial MT"/>
          <w:spacing w:val="-4"/>
          <w:w w:val="105"/>
          <w:sz w:val="11"/>
          <w:vertAlign w:val="baseline"/>
        </w:rPr>
        <w:t>Na</w:t>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07"/>
        <w:rPr>
          <w:rFonts w:ascii="Arial MT"/>
          <w:sz w:val="11"/>
        </w:rPr>
      </w:pPr>
    </w:p>
    <w:p>
      <w:pPr>
        <w:spacing w:before="0"/>
        <w:ind w:left="503" w:right="0" w:firstLine="0"/>
        <w:jc w:val="left"/>
        <w:rPr>
          <w:rFonts w:ascii="Arial MT"/>
          <w:sz w:val="11"/>
        </w:rPr>
      </w:pPr>
      <w:r>
        <w:rPr/>
        <mc:AlternateContent>
          <mc:Choice Requires="wps">
            <w:drawing>
              <wp:anchor distT="0" distB="0" distL="0" distR="0" allowOverlap="1" layoutInCell="1" locked="0" behindDoc="0" simplePos="0" relativeHeight="15739392">
                <wp:simplePos x="0" y="0"/>
                <wp:positionH relativeFrom="page">
                  <wp:posOffset>2664224</wp:posOffset>
                </wp:positionH>
                <wp:positionV relativeFrom="paragraph">
                  <wp:posOffset>-790684</wp:posOffset>
                </wp:positionV>
                <wp:extent cx="742315" cy="7886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742315" cy="788670"/>
                        </a:xfrm>
                        <a:custGeom>
                          <a:avLst/>
                          <a:gdLst/>
                          <a:ahLst/>
                          <a:cxnLst/>
                          <a:rect l="l" t="t" r="r" b="b"/>
                          <a:pathLst>
                            <a:path w="742315" h="788670">
                              <a:moveTo>
                                <a:pt x="178369" y="282912"/>
                              </a:moveTo>
                              <a:lnTo>
                                <a:pt x="178369" y="502339"/>
                              </a:lnTo>
                            </a:path>
                            <a:path w="742315" h="788670">
                              <a:moveTo>
                                <a:pt x="178369" y="502339"/>
                              </a:moveTo>
                              <a:lnTo>
                                <a:pt x="368861" y="611404"/>
                              </a:lnTo>
                            </a:path>
                            <a:path w="742315" h="788670">
                              <a:moveTo>
                                <a:pt x="368861" y="611404"/>
                              </a:moveTo>
                              <a:lnTo>
                                <a:pt x="557755" y="502339"/>
                              </a:lnTo>
                            </a:path>
                            <a:path w="742315" h="788670">
                              <a:moveTo>
                                <a:pt x="557755" y="502339"/>
                              </a:moveTo>
                              <a:lnTo>
                                <a:pt x="557755" y="281282"/>
                              </a:lnTo>
                            </a:path>
                            <a:path w="742315" h="788670">
                              <a:moveTo>
                                <a:pt x="531912" y="487031"/>
                              </a:moveTo>
                              <a:lnTo>
                                <a:pt x="531912" y="296576"/>
                              </a:lnTo>
                            </a:path>
                            <a:path w="742315" h="788670">
                              <a:moveTo>
                                <a:pt x="368861" y="173848"/>
                              </a:moveTo>
                              <a:lnTo>
                                <a:pt x="178369" y="282912"/>
                              </a:lnTo>
                            </a:path>
                            <a:path w="742315" h="788670">
                              <a:moveTo>
                                <a:pt x="367263" y="204119"/>
                              </a:moveTo>
                              <a:lnTo>
                                <a:pt x="204212" y="298207"/>
                              </a:lnTo>
                            </a:path>
                            <a:path w="742315" h="788670">
                              <a:moveTo>
                                <a:pt x="380984" y="603584"/>
                              </a:moveTo>
                              <a:lnTo>
                                <a:pt x="380984" y="788181"/>
                              </a:lnTo>
                            </a:path>
                            <a:path w="742315" h="788670">
                              <a:moveTo>
                                <a:pt x="355141" y="603584"/>
                              </a:moveTo>
                              <a:lnTo>
                                <a:pt x="355141" y="788181"/>
                              </a:lnTo>
                            </a:path>
                            <a:path w="742315" h="788670">
                              <a:moveTo>
                                <a:pt x="193422" y="511445"/>
                              </a:moveTo>
                              <a:lnTo>
                                <a:pt x="6260" y="561265"/>
                              </a:lnTo>
                            </a:path>
                            <a:path w="742315" h="788670">
                              <a:moveTo>
                                <a:pt x="178369" y="488662"/>
                              </a:moveTo>
                              <a:lnTo>
                                <a:pt x="0" y="535540"/>
                              </a:lnTo>
                            </a:path>
                            <a:path w="742315" h="788670">
                              <a:moveTo>
                                <a:pt x="368861" y="173848"/>
                              </a:moveTo>
                              <a:lnTo>
                                <a:pt x="368861" y="0"/>
                              </a:lnTo>
                            </a:path>
                            <a:path w="742315" h="788670">
                              <a:moveTo>
                                <a:pt x="557755" y="502339"/>
                              </a:moveTo>
                              <a:lnTo>
                                <a:pt x="741986" y="502339"/>
                              </a:lnTo>
                            </a:path>
                            <a:path w="742315" h="788670">
                              <a:moveTo>
                                <a:pt x="368861" y="173848"/>
                              </a:moveTo>
                              <a:lnTo>
                                <a:pt x="557755" y="282912"/>
                              </a:lnTo>
                            </a:path>
                          </a:pathLst>
                        </a:custGeom>
                        <a:ln w="752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09.781494pt;margin-top:-62.258636pt;width:58.45pt;height:62.1pt;mso-position-horizontal-relative:page;mso-position-vertical-relative:paragraph;z-index:15739392" id="docshape34" coordorigin="4196,-1245" coordsize="1169,1242" path="m4477,-800l4477,-454m4477,-454l4777,-282m4777,-282l5074,-454m5074,-454l5074,-802m5033,-478l5033,-778m4777,-971l4477,-800m4774,-924l4517,-776m4796,-295l4796,-4m4755,-295l4755,-4m4500,-440l4205,-361m4477,-476l4196,-402m4777,-971l4777,-1245m5074,-454l5364,-454m4777,-971l5074,-800e" filled="false" stroked="true" strokeweight=".592345pt" strokecolor="#000000">
                <v:path arrowok="t"/>
                <v:stroke dashstyle="solid"/>
                <w10:wrap type="none"/>
              </v:shape>
            </w:pict>
          </mc:Fallback>
        </mc:AlternateContent>
      </w:r>
      <w:r>
        <w:rPr>
          <w:rFonts w:ascii="Arial MT"/>
          <w:spacing w:val="-10"/>
          <w:w w:val="105"/>
          <w:sz w:val="11"/>
        </w:rPr>
        <w:t>O</w:t>
      </w:r>
    </w:p>
    <w:p>
      <w:pPr>
        <w:spacing w:line="240" w:lineRule="auto" w:before="0"/>
        <w:rPr>
          <w:rFonts w:ascii="Arial MT"/>
          <w:sz w:val="11"/>
        </w:rPr>
      </w:pPr>
      <w:r>
        <w:rPr/>
        <w:br w:type="column"/>
      </w:r>
      <w:r>
        <w:rPr>
          <w:rFonts w:ascii="Arial MT"/>
          <w:sz w:val="11"/>
        </w:rPr>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12"/>
        <w:rPr>
          <w:rFonts w:ascii="Arial MT"/>
          <w:sz w:val="11"/>
        </w:rPr>
      </w:pPr>
    </w:p>
    <w:p>
      <w:pPr>
        <w:spacing w:before="0"/>
        <w:ind w:left="1105" w:right="0" w:firstLine="0"/>
        <w:jc w:val="left"/>
        <w:rPr>
          <w:rFonts w:ascii="Arial MT"/>
          <w:sz w:val="11"/>
        </w:rPr>
      </w:pPr>
      <w:r>
        <w:rPr>
          <w:rFonts w:ascii="Arial MT"/>
          <w:spacing w:val="-10"/>
          <w:w w:val="105"/>
          <w:sz w:val="11"/>
        </w:rPr>
        <w:t>N</w:t>
      </w:r>
    </w:p>
    <w:p>
      <w:pPr>
        <w:pStyle w:val="BodyText"/>
        <w:spacing w:before="37"/>
        <w:rPr>
          <w:rFonts w:ascii="Arial MT"/>
          <w:sz w:val="11"/>
        </w:rPr>
      </w:pPr>
    </w:p>
    <w:p>
      <w:pPr>
        <w:tabs>
          <w:tab w:pos="1731" w:val="left" w:leader="none"/>
        </w:tabs>
        <w:spacing w:before="0"/>
        <w:ind w:left="253" w:right="0" w:firstLine="0"/>
        <w:jc w:val="left"/>
        <w:rPr>
          <w:rFonts w:ascii="Arial MT"/>
          <w:sz w:val="11"/>
        </w:rPr>
      </w:pPr>
      <w:r>
        <w:rPr>
          <w:rFonts w:ascii="Arial MT"/>
          <w:w w:val="105"/>
          <w:sz w:val="11"/>
        </w:rPr>
        <w:t>SO</w:t>
      </w:r>
      <w:r>
        <w:rPr>
          <w:rFonts w:ascii="Arial MT"/>
          <w:w w:val="105"/>
          <w:position w:val="-2"/>
          <w:sz w:val="7"/>
        </w:rPr>
        <w:t>3</w:t>
      </w:r>
      <w:r>
        <w:rPr>
          <w:rFonts w:ascii="Arial MT"/>
          <w:w w:val="105"/>
          <w:sz w:val="11"/>
        </w:rPr>
        <w:t>Na</w:t>
      </w:r>
      <w:r>
        <w:rPr>
          <w:rFonts w:ascii="Arial MT"/>
          <w:spacing w:val="163"/>
          <w:w w:val="105"/>
          <w:sz w:val="11"/>
        </w:rPr>
        <w:t> </w:t>
      </w:r>
      <w:r>
        <w:rPr>
          <w:rFonts w:ascii="Arial MT"/>
          <w:sz w:val="11"/>
          <w:u w:val="single"/>
        </w:rPr>
        <w:tab/>
      </w:r>
    </w:p>
    <w:p>
      <w:pPr>
        <w:spacing w:before="34"/>
        <w:ind w:left="1009" w:right="0" w:firstLine="0"/>
        <w:jc w:val="left"/>
        <w:rPr>
          <w:sz w:val="13"/>
        </w:rPr>
      </w:pPr>
      <w:r>
        <w:rPr>
          <w:spacing w:val="-4"/>
          <w:w w:val="105"/>
          <w:sz w:val="13"/>
        </w:rPr>
        <w:t>NaOH</w:t>
      </w:r>
    </w:p>
    <w:p>
      <w:pPr>
        <w:spacing w:before="101"/>
        <w:ind w:left="908" w:right="2079" w:firstLine="0"/>
        <w:jc w:val="center"/>
        <w:rPr>
          <w:rFonts w:ascii="Arial MT"/>
          <w:sz w:val="11"/>
        </w:rPr>
      </w:pPr>
      <w:r>
        <w:rPr/>
        <w:br w:type="column"/>
      </w:r>
      <w:r>
        <w:rPr>
          <w:rFonts w:ascii="Arial MT"/>
          <w:spacing w:val="-10"/>
          <w:w w:val="105"/>
          <w:sz w:val="11"/>
        </w:rPr>
        <w:t>O</w:t>
      </w:r>
    </w:p>
    <w:p>
      <w:pPr>
        <w:pStyle w:val="BodyText"/>
        <w:spacing w:before="90"/>
        <w:rPr>
          <w:rFonts w:ascii="Arial MT"/>
          <w:sz w:val="11"/>
        </w:rPr>
      </w:pPr>
    </w:p>
    <w:p>
      <w:pPr>
        <w:spacing w:before="0"/>
        <w:ind w:left="908" w:right="0" w:firstLine="0"/>
        <w:jc w:val="center"/>
        <w:rPr>
          <w:rFonts w:ascii="Arial MT"/>
          <w:sz w:val="11"/>
        </w:rPr>
      </w:pPr>
      <w:r>
        <w:rPr/>
        <mc:AlternateContent>
          <mc:Choice Requires="wps">
            <w:drawing>
              <wp:anchor distT="0" distB="0" distL="0" distR="0" allowOverlap="1" layoutInCell="1" locked="0" behindDoc="0" simplePos="0" relativeHeight="15741440">
                <wp:simplePos x="0" y="0"/>
                <wp:positionH relativeFrom="page">
                  <wp:posOffset>4854456</wp:posOffset>
                </wp:positionH>
                <wp:positionV relativeFrom="paragraph">
                  <wp:posOffset>-154705</wp:posOffset>
                </wp:positionV>
                <wp:extent cx="1490345" cy="102552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490345" cy="1025525"/>
                          <a:chExt cx="1490345" cy="1025525"/>
                        </a:xfrm>
                      </wpg:grpSpPr>
                      <wps:wsp>
                        <wps:cNvPr id="46" name="Graphic 46"/>
                        <wps:cNvSpPr/>
                        <wps:spPr>
                          <a:xfrm>
                            <a:off x="3756" y="3766"/>
                            <a:ext cx="1482725" cy="1021715"/>
                          </a:xfrm>
                          <a:custGeom>
                            <a:avLst/>
                            <a:gdLst/>
                            <a:ahLst/>
                            <a:cxnLst/>
                            <a:rect l="l" t="t" r="r" b="b"/>
                            <a:pathLst>
                              <a:path w="1482725" h="1021715">
                                <a:moveTo>
                                  <a:pt x="164649" y="516017"/>
                                </a:moveTo>
                                <a:lnTo>
                                  <a:pt x="164649" y="733815"/>
                                </a:lnTo>
                              </a:path>
                              <a:path w="1482725" h="1021715">
                                <a:moveTo>
                                  <a:pt x="190492" y="531312"/>
                                </a:moveTo>
                                <a:lnTo>
                                  <a:pt x="190492" y="718838"/>
                                </a:lnTo>
                              </a:path>
                              <a:path w="1482725" h="1021715">
                                <a:moveTo>
                                  <a:pt x="164649" y="733815"/>
                                </a:moveTo>
                                <a:lnTo>
                                  <a:pt x="355141" y="842879"/>
                                </a:lnTo>
                              </a:path>
                              <a:path w="1482725" h="1021715">
                                <a:moveTo>
                                  <a:pt x="355141" y="842879"/>
                                </a:moveTo>
                                <a:lnTo>
                                  <a:pt x="545633" y="733815"/>
                                </a:lnTo>
                              </a:path>
                              <a:path w="1482725" h="1021715">
                                <a:moveTo>
                                  <a:pt x="545633" y="733815"/>
                                </a:moveTo>
                                <a:lnTo>
                                  <a:pt x="545633" y="516017"/>
                                </a:lnTo>
                              </a:path>
                              <a:path w="1482725" h="1021715">
                                <a:moveTo>
                                  <a:pt x="518058" y="718838"/>
                                </a:moveTo>
                                <a:lnTo>
                                  <a:pt x="518058" y="531312"/>
                                </a:lnTo>
                              </a:path>
                              <a:path w="1482725" h="1021715">
                                <a:moveTo>
                                  <a:pt x="545633" y="516017"/>
                                </a:moveTo>
                                <a:lnTo>
                                  <a:pt x="355141" y="407271"/>
                                </a:lnTo>
                              </a:path>
                              <a:path w="1482725" h="1021715">
                                <a:moveTo>
                                  <a:pt x="355141" y="407271"/>
                                </a:moveTo>
                                <a:lnTo>
                                  <a:pt x="164649" y="516017"/>
                                </a:lnTo>
                              </a:path>
                              <a:path w="1482725" h="1021715">
                                <a:moveTo>
                                  <a:pt x="367263" y="835390"/>
                                </a:moveTo>
                                <a:lnTo>
                                  <a:pt x="367263" y="1021286"/>
                                </a:lnTo>
                              </a:path>
                              <a:path w="1482725" h="1021715">
                                <a:moveTo>
                                  <a:pt x="341420" y="835390"/>
                                </a:moveTo>
                                <a:lnTo>
                                  <a:pt x="341420" y="1021286"/>
                                </a:lnTo>
                              </a:path>
                              <a:path w="1482725" h="1021715">
                                <a:moveTo>
                                  <a:pt x="355141" y="407271"/>
                                </a:moveTo>
                                <a:lnTo>
                                  <a:pt x="355141" y="230176"/>
                                </a:lnTo>
                              </a:path>
                              <a:path w="1482725" h="1021715">
                                <a:moveTo>
                                  <a:pt x="380984" y="391976"/>
                                </a:moveTo>
                                <a:lnTo>
                                  <a:pt x="380984" y="230176"/>
                                </a:lnTo>
                              </a:path>
                              <a:path w="1482725" h="1021715">
                                <a:moveTo>
                                  <a:pt x="164649" y="733815"/>
                                </a:moveTo>
                                <a:lnTo>
                                  <a:pt x="0" y="829201"/>
                                </a:lnTo>
                              </a:path>
                              <a:path w="1482725" h="1021715">
                                <a:moveTo>
                                  <a:pt x="545633" y="733815"/>
                                </a:moveTo>
                                <a:lnTo>
                                  <a:pt x="670585" y="859486"/>
                                </a:lnTo>
                              </a:path>
                              <a:path w="1482725" h="1021715">
                                <a:moveTo>
                                  <a:pt x="390175" y="189156"/>
                                </a:moveTo>
                                <a:lnTo>
                                  <a:pt x="539372" y="189156"/>
                                </a:lnTo>
                              </a:path>
                              <a:path w="1482725" h="1021715">
                                <a:moveTo>
                                  <a:pt x="662725" y="189156"/>
                                </a:moveTo>
                                <a:lnTo>
                                  <a:pt x="809258" y="189156"/>
                                </a:lnTo>
                              </a:path>
                              <a:path w="1482725" h="1021715">
                                <a:moveTo>
                                  <a:pt x="833502" y="148454"/>
                                </a:moveTo>
                                <a:lnTo>
                                  <a:pt x="833502" y="13677"/>
                                </a:lnTo>
                              </a:path>
                              <a:path w="1482725" h="1021715">
                                <a:moveTo>
                                  <a:pt x="861077" y="148454"/>
                                </a:moveTo>
                                <a:lnTo>
                                  <a:pt x="861077" y="13677"/>
                                </a:lnTo>
                              </a:path>
                              <a:path w="1482725" h="1021715">
                                <a:moveTo>
                                  <a:pt x="883723" y="189156"/>
                                </a:moveTo>
                                <a:lnTo>
                                  <a:pt x="1066755" y="189156"/>
                                </a:lnTo>
                              </a:path>
                              <a:path w="1482725" h="1021715">
                                <a:moveTo>
                                  <a:pt x="1066755" y="189156"/>
                                </a:moveTo>
                                <a:lnTo>
                                  <a:pt x="1176254" y="378299"/>
                                </a:lnTo>
                              </a:path>
                              <a:path w="1482725" h="1021715">
                                <a:moveTo>
                                  <a:pt x="1097127" y="189156"/>
                                </a:moveTo>
                                <a:lnTo>
                                  <a:pt x="1191574" y="351274"/>
                                </a:lnTo>
                              </a:path>
                              <a:path w="1482725" h="1021715">
                                <a:moveTo>
                                  <a:pt x="1176254" y="378299"/>
                                </a:moveTo>
                                <a:lnTo>
                                  <a:pt x="1395520" y="378299"/>
                                </a:lnTo>
                              </a:path>
                              <a:path w="1482725" h="1021715">
                                <a:moveTo>
                                  <a:pt x="1395520" y="378299"/>
                                </a:moveTo>
                                <a:lnTo>
                                  <a:pt x="1482507" y="230176"/>
                                </a:lnTo>
                              </a:path>
                              <a:path w="1482725" h="1021715">
                                <a:moveTo>
                                  <a:pt x="1380467" y="351274"/>
                                </a:moveTo>
                                <a:lnTo>
                                  <a:pt x="1459861" y="216498"/>
                                </a:lnTo>
                              </a:path>
                              <a:path w="1482725" h="1021715">
                                <a:moveTo>
                                  <a:pt x="1482507" y="150084"/>
                                </a:moveTo>
                                <a:lnTo>
                                  <a:pt x="1395520" y="0"/>
                                </a:lnTo>
                              </a:path>
                              <a:path w="1482725" h="1021715">
                                <a:moveTo>
                                  <a:pt x="1395520" y="0"/>
                                </a:moveTo>
                                <a:lnTo>
                                  <a:pt x="1176254" y="0"/>
                                </a:lnTo>
                              </a:path>
                              <a:path w="1482725" h="1021715">
                                <a:moveTo>
                                  <a:pt x="1380467" y="25712"/>
                                </a:moveTo>
                                <a:lnTo>
                                  <a:pt x="1191574" y="25712"/>
                                </a:lnTo>
                              </a:path>
                              <a:path w="1482725" h="1021715">
                                <a:moveTo>
                                  <a:pt x="1176254" y="0"/>
                                </a:moveTo>
                                <a:lnTo>
                                  <a:pt x="1066755" y="189156"/>
                                </a:lnTo>
                              </a:path>
                            </a:pathLst>
                          </a:custGeom>
                          <a:ln w="7522">
                            <a:solidFill>
                              <a:srgbClr val="000000"/>
                            </a:solidFill>
                            <a:prstDash val="solid"/>
                          </a:ln>
                        </wps:spPr>
                        <wps:bodyPr wrap="square" lIns="0" tIns="0" rIns="0" bIns="0" rtlCol="0">
                          <a:prstTxWarp prst="textNoShape">
                            <a:avLst/>
                          </a:prstTxWarp>
                          <a:noAutofit/>
                        </wps:bodyPr>
                      </wps:wsp>
                      <wps:wsp>
                        <wps:cNvPr id="47" name="Textbox 47"/>
                        <wps:cNvSpPr txBox="1"/>
                        <wps:spPr>
                          <a:xfrm>
                            <a:off x="333054" y="154403"/>
                            <a:ext cx="558165" cy="81280"/>
                          </a:xfrm>
                          <a:prstGeom prst="rect">
                            <a:avLst/>
                          </a:prstGeom>
                        </wps:spPr>
                        <wps:txbx>
                          <w:txbxContent>
                            <w:p>
                              <w:pPr>
                                <w:tabs>
                                  <w:tab w:pos="345" w:val="left" w:leader="none"/>
                                  <w:tab w:pos="774" w:val="left" w:leader="none"/>
                                </w:tabs>
                                <w:spacing w:before="0"/>
                                <w:ind w:left="0" w:right="0" w:firstLine="0"/>
                                <w:jc w:val="left"/>
                                <w:rPr>
                                  <w:rFonts w:ascii="Arial MT"/>
                                  <w:sz w:val="11"/>
                                </w:rPr>
                              </w:pPr>
                              <w:r>
                                <w:rPr>
                                  <w:rFonts w:ascii="Arial MT"/>
                                  <w:spacing w:val="-10"/>
                                  <w:w w:val="105"/>
                                  <w:sz w:val="11"/>
                                </w:rPr>
                                <w:t>N</w:t>
                              </w:r>
                              <w:r>
                                <w:rPr>
                                  <w:rFonts w:ascii="Arial MT"/>
                                  <w:sz w:val="11"/>
                                </w:rPr>
                                <w:tab/>
                              </w:r>
                              <w:r>
                                <w:rPr>
                                  <w:rFonts w:ascii="Arial MT"/>
                                  <w:spacing w:val="-5"/>
                                  <w:w w:val="105"/>
                                  <w:sz w:val="11"/>
                                </w:rPr>
                                <w:t>NH</w:t>
                              </w:r>
                              <w:r>
                                <w:rPr>
                                  <w:rFonts w:ascii="Arial MT"/>
                                  <w:sz w:val="11"/>
                                </w:rPr>
                                <w:tab/>
                              </w:r>
                              <w:r>
                                <w:rPr>
                                  <w:rFonts w:ascii="Arial MT"/>
                                  <w:spacing w:val="-10"/>
                                  <w:w w:val="105"/>
                                  <w:sz w:val="11"/>
                                </w:rPr>
                                <w:t>C</w:t>
                              </w:r>
                            </w:p>
                          </w:txbxContent>
                        </wps:txbx>
                        <wps:bodyPr wrap="square" lIns="0" tIns="0" rIns="0" bIns="0" rtlCol="0">
                          <a:noAutofit/>
                        </wps:bodyPr>
                      </wps:wsp>
                      <wps:wsp>
                        <wps:cNvPr id="48" name="Textbox 48"/>
                        <wps:cNvSpPr txBox="1"/>
                        <wps:spPr>
                          <a:xfrm>
                            <a:off x="680203" y="853387"/>
                            <a:ext cx="236854" cy="92075"/>
                          </a:xfrm>
                          <a:prstGeom prst="rect">
                            <a:avLst/>
                          </a:prstGeom>
                        </wps:spPr>
                        <wps:txbx>
                          <w:txbxContent>
                            <w:p>
                              <w:pPr>
                                <w:spacing w:line="144" w:lineRule="exact" w:before="0"/>
                                <w:ind w:left="0" w:right="0" w:firstLine="0"/>
                                <w:jc w:val="left"/>
                                <w:rPr>
                                  <w:rFonts w:ascii="Arial MT"/>
                                  <w:sz w:val="11"/>
                                </w:rPr>
                              </w:pPr>
                              <w:r>
                                <w:rPr>
                                  <w:rFonts w:ascii="Arial MT"/>
                                  <w:spacing w:val="-4"/>
                                  <w:w w:val="105"/>
                                  <w:sz w:val="11"/>
                                </w:rPr>
                                <w:t>SO</w:t>
                              </w:r>
                              <w:r>
                                <w:rPr>
                                  <w:rFonts w:ascii="Arial MT"/>
                                  <w:spacing w:val="-4"/>
                                  <w:w w:val="105"/>
                                  <w:position w:val="-2"/>
                                  <w:sz w:val="7"/>
                                </w:rPr>
                                <w:t>3</w:t>
                              </w:r>
                              <w:r>
                                <w:rPr>
                                  <w:rFonts w:ascii="Arial MT"/>
                                  <w:spacing w:val="-4"/>
                                  <w:w w:val="105"/>
                                  <w:sz w:val="11"/>
                                </w:rPr>
                                <w:t>Na</w:t>
                              </w:r>
                            </w:p>
                          </w:txbxContent>
                        </wps:txbx>
                        <wps:bodyPr wrap="square" lIns="0" tIns="0" rIns="0" bIns="0" rtlCol="0">
                          <a:noAutofit/>
                        </wps:bodyPr>
                      </wps:wsp>
                    </wpg:wgp>
                  </a:graphicData>
                </a:graphic>
              </wp:anchor>
            </w:drawing>
          </mc:Choice>
          <mc:Fallback>
            <w:pict>
              <v:group style="position:absolute;margin-left:382.240692pt;margin-top:-12.181569pt;width:117.35pt;height:80.75pt;mso-position-horizontal-relative:page;mso-position-vertical-relative:paragraph;z-index:15741440" id="docshapegroup35" coordorigin="7645,-244" coordsize="2347,1615">
                <v:shape style="position:absolute;left:7650;top:-238;width:2335;height:1609" id="docshape36" coordorigin="7651,-238" coordsize="2335,1609" path="m7910,575l7910,918m7951,599l7951,894m7910,918l8210,1090m8210,1090l8510,918m8510,918l8510,575m8467,894l8467,599m8510,575l8210,404m8210,404l7910,575m8229,1078l8229,1371m8188,1078l8188,1371m8210,404l8210,125m8251,380l8251,125m7910,918l7651,1068m8510,918l8707,1116m8265,60l8500,60m8694,60l8925,60m8963,-4l8963,-216m9007,-4l9007,-216m9042,60l9331,60m9331,60l9503,358m9378,60l9527,315m9503,358l9848,358m9848,358l9985,125m9825,315l9950,103m9985,-1l9848,-238m9848,-238l9503,-238m9825,-197l9527,-197m9503,-238l9331,60e" filled="false" stroked="true" strokeweight=".592345pt" strokecolor="#000000">
                  <v:path arrowok="t"/>
                  <v:stroke dashstyle="solid"/>
                </v:shape>
                <v:shape style="position:absolute;left:8169;top:-1;width:879;height:128" type="#_x0000_t202" id="docshape37" filled="false" stroked="false">
                  <v:textbox inset="0,0,0,0">
                    <w:txbxContent>
                      <w:p>
                        <w:pPr>
                          <w:tabs>
                            <w:tab w:pos="345" w:val="left" w:leader="none"/>
                            <w:tab w:pos="774" w:val="left" w:leader="none"/>
                          </w:tabs>
                          <w:spacing w:before="0"/>
                          <w:ind w:left="0" w:right="0" w:firstLine="0"/>
                          <w:jc w:val="left"/>
                          <w:rPr>
                            <w:rFonts w:ascii="Arial MT"/>
                            <w:sz w:val="11"/>
                          </w:rPr>
                        </w:pPr>
                        <w:r>
                          <w:rPr>
                            <w:rFonts w:ascii="Arial MT"/>
                            <w:spacing w:val="-10"/>
                            <w:w w:val="105"/>
                            <w:sz w:val="11"/>
                          </w:rPr>
                          <w:t>N</w:t>
                        </w:r>
                        <w:r>
                          <w:rPr>
                            <w:rFonts w:ascii="Arial MT"/>
                            <w:sz w:val="11"/>
                          </w:rPr>
                          <w:tab/>
                        </w:r>
                        <w:r>
                          <w:rPr>
                            <w:rFonts w:ascii="Arial MT"/>
                            <w:spacing w:val="-5"/>
                            <w:w w:val="105"/>
                            <w:sz w:val="11"/>
                          </w:rPr>
                          <w:t>NH</w:t>
                        </w:r>
                        <w:r>
                          <w:rPr>
                            <w:rFonts w:ascii="Arial MT"/>
                            <w:sz w:val="11"/>
                          </w:rPr>
                          <w:tab/>
                        </w:r>
                        <w:r>
                          <w:rPr>
                            <w:rFonts w:ascii="Arial MT"/>
                            <w:spacing w:val="-10"/>
                            <w:w w:val="105"/>
                            <w:sz w:val="11"/>
                          </w:rPr>
                          <w:t>C</w:t>
                        </w:r>
                      </w:p>
                    </w:txbxContent>
                  </v:textbox>
                  <w10:wrap type="none"/>
                </v:shape>
                <v:shape style="position:absolute;left:8716;top:1100;width:373;height:145" type="#_x0000_t202" id="docshape38" filled="false" stroked="false">
                  <v:textbox inset="0,0,0,0">
                    <w:txbxContent>
                      <w:p>
                        <w:pPr>
                          <w:spacing w:line="144" w:lineRule="exact" w:before="0"/>
                          <w:ind w:left="0" w:right="0" w:firstLine="0"/>
                          <w:jc w:val="left"/>
                          <w:rPr>
                            <w:rFonts w:ascii="Arial MT"/>
                            <w:sz w:val="11"/>
                          </w:rPr>
                        </w:pPr>
                        <w:r>
                          <w:rPr>
                            <w:rFonts w:ascii="Arial MT"/>
                            <w:spacing w:val="-4"/>
                            <w:w w:val="105"/>
                            <w:sz w:val="11"/>
                          </w:rPr>
                          <w:t>SO</w:t>
                        </w:r>
                        <w:r>
                          <w:rPr>
                            <w:rFonts w:ascii="Arial MT"/>
                            <w:spacing w:val="-4"/>
                            <w:w w:val="105"/>
                            <w:position w:val="-2"/>
                            <w:sz w:val="7"/>
                          </w:rPr>
                          <w:t>3</w:t>
                        </w:r>
                        <w:r>
                          <w:rPr>
                            <w:rFonts w:ascii="Arial MT"/>
                            <w:spacing w:val="-4"/>
                            <w:w w:val="105"/>
                            <w:sz w:val="11"/>
                          </w:rPr>
                          <w:t>Na</w:t>
                        </w:r>
                      </w:p>
                    </w:txbxContent>
                  </v:textbox>
                  <w10:wrap type="none"/>
                </v:shape>
                <w10:wrap type="none"/>
              </v:group>
            </w:pict>
          </mc:Fallback>
        </mc:AlternateContent>
      </w:r>
      <w:r>
        <w:rPr>
          <w:rFonts w:ascii="Arial MT"/>
          <w:spacing w:val="-10"/>
          <w:w w:val="105"/>
          <w:sz w:val="11"/>
        </w:rPr>
        <w:t>N</w:t>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9"/>
        <w:rPr>
          <w:rFonts w:ascii="Arial MT"/>
          <w:sz w:val="11"/>
        </w:rPr>
      </w:pPr>
    </w:p>
    <w:p>
      <w:pPr>
        <w:spacing w:before="0"/>
        <w:ind w:left="504" w:right="0" w:firstLine="0"/>
        <w:jc w:val="left"/>
        <w:rPr>
          <w:rFonts w:ascii="Arial MT"/>
          <w:sz w:val="11"/>
        </w:rPr>
      </w:pPr>
      <w:r>
        <w:rPr/>
        <mc:AlternateContent>
          <mc:Choice Requires="wps">
            <w:drawing>
              <wp:anchor distT="0" distB="0" distL="0" distR="0" allowOverlap="1" layoutInCell="1" locked="0" behindDoc="1" simplePos="0" relativeHeight="484998656">
                <wp:simplePos x="0" y="0"/>
                <wp:positionH relativeFrom="page">
                  <wp:posOffset>4329631</wp:posOffset>
                </wp:positionH>
                <wp:positionV relativeFrom="paragraph">
                  <wp:posOffset>-247233</wp:posOffset>
                </wp:positionV>
                <wp:extent cx="74930" cy="3810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74930" cy="38100"/>
                        </a:xfrm>
                        <a:custGeom>
                          <a:avLst/>
                          <a:gdLst/>
                          <a:ahLst/>
                          <a:cxnLst/>
                          <a:rect l="l" t="t" r="r" b="b"/>
                          <a:pathLst>
                            <a:path w="74930" h="38100">
                              <a:moveTo>
                                <a:pt x="0" y="0"/>
                              </a:moveTo>
                              <a:lnTo>
                                <a:pt x="9191" y="19853"/>
                              </a:lnTo>
                              <a:lnTo>
                                <a:pt x="0" y="38090"/>
                              </a:lnTo>
                              <a:lnTo>
                                <a:pt x="74731" y="19853"/>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0.915863pt;margin-top:-19.467207pt;width:5.9pt;height:3pt;mso-position-horizontal-relative:page;mso-position-vertical-relative:paragraph;z-index:-18317824" id="docshape39" coordorigin="6818,-389" coordsize="118,60" path="m6818,-389l6833,-358,6818,-329,6936,-358,6818,-389xe" filled="true" fillcolor="#000000" stroked="false">
                <v:path arrowok="t"/>
                <v:fill type="solid"/>
                <w10:wrap type="none"/>
              </v:shape>
            </w:pict>
          </mc:Fallback>
        </mc:AlternateContent>
      </w:r>
      <w:r>
        <w:rPr>
          <w:rFonts w:ascii="Arial MT"/>
          <w:spacing w:val="-5"/>
          <w:w w:val="105"/>
          <w:sz w:val="11"/>
        </w:rPr>
        <w:t>ONa</w:t>
      </w:r>
    </w:p>
    <w:p>
      <w:pPr>
        <w:spacing w:after="0"/>
        <w:jc w:val="left"/>
        <w:rPr>
          <w:rFonts w:ascii="Arial MT"/>
          <w:sz w:val="11"/>
        </w:rPr>
        <w:sectPr>
          <w:type w:val="continuous"/>
          <w:pgSz w:w="12240" w:h="15840"/>
          <w:pgMar w:header="0" w:footer="1015" w:top="1360" w:bottom="1200" w:left="240" w:right="0"/>
          <w:cols w:num="5" w:equalWidth="0">
            <w:col w:w="2921" w:space="40"/>
            <w:col w:w="987" w:space="39"/>
            <w:col w:w="863" w:space="40"/>
            <w:col w:w="1732" w:space="39"/>
            <w:col w:w="5339"/>
          </w:cols>
        </w:sectPr>
      </w:pPr>
    </w:p>
    <w:p>
      <w:pPr>
        <w:pStyle w:val="BodyText"/>
        <w:spacing w:before="14"/>
        <w:rPr>
          <w:rFonts w:ascii="Arial MT"/>
          <w:sz w:val="11"/>
        </w:rPr>
      </w:pPr>
    </w:p>
    <w:p>
      <w:pPr>
        <w:spacing w:before="0"/>
        <w:ind w:left="7924" w:right="0" w:firstLine="0"/>
        <w:jc w:val="left"/>
        <w:rPr>
          <w:rFonts w:ascii="Arial MT"/>
          <w:sz w:val="11"/>
        </w:rPr>
      </w:pPr>
      <w:r>
        <w:rPr>
          <w:rFonts w:ascii="Arial MT"/>
          <w:spacing w:val="-10"/>
          <w:w w:val="105"/>
          <w:sz w:val="11"/>
        </w:rPr>
        <w:t>O</w:t>
      </w:r>
    </w:p>
    <w:p>
      <w:pPr>
        <w:spacing w:before="92"/>
        <w:ind w:left="7518" w:right="0" w:firstLine="0"/>
        <w:jc w:val="left"/>
        <w:rPr>
          <w:sz w:val="13"/>
        </w:rPr>
      </w:pPr>
      <w:r>
        <w:rPr>
          <w:w w:val="105"/>
          <w:sz w:val="13"/>
        </w:rPr>
        <w:t>Red </w:t>
      </w:r>
      <w:r>
        <w:rPr>
          <w:spacing w:val="-2"/>
          <w:w w:val="105"/>
          <w:sz w:val="13"/>
        </w:rPr>
        <w:t>Colour</w:t>
      </w:r>
    </w:p>
    <w:p>
      <w:pPr>
        <w:pStyle w:val="BodyText"/>
        <w:spacing w:before="10"/>
      </w:pPr>
    </w:p>
    <w:p>
      <w:pPr>
        <w:pStyle w:val="BodyText"/>
        <w:spacing w:before="1"/>
        <w:ind w:left="1200"/>
      </w:pPr>
      <w:r>
        <w:rPr/>
        <w:t>…equation</w:t>
      </w:r>
      <w:r>
        <w:rPr>
          <w:spacing w:val="-2"/>
        </w:rPr>
        <w:t> </w:t>
      </w:r>
      <w:r>
        <w:rPr>
          <w:spacing w:val="-5"/>
        </w:rPr>
        <w:t>2.9</w:t>
      </w:r>
    </w:p>
    <w:p>
      <w:pPr>
        <w:spacing w:after="0"/>
        <w:sectPr>
          <w:type w:val="continuous"/>
          <w:pgSz w:w="12240" w:h="15840"/>
          <w:pgMar w:header="0" w:footer="1015" w:top="1360" w:bottom="1200" w:left="240" w:right="0"/>
        </w:sectPr>
      </w:pPr>
    </w:p>
    <w:p>
      <w:pPr>
        <w:pStyle w:val="BodyText"/>
        <w:spacing w:line="480" w:lineRule="auto" w:before="65"/>
        <w:ind w:left="1200" w:right="1436" w:firstLine="60"/>
        <w:jc w:val="both"/>
      </w:pPr>
      <w:r>
        <w:rPr/>
        <w:t>Method developed fairly sensitivebased on diazotization of 4, 4-methylene-bis-m-nitroaniline followed by the coupling with isoniazid in HCl medium to give purple-colored chromogen having λmax at 495 nm obeyed</w:t>
      </w:r>
      <w:r>
        <w:rPr>
          <w:spacing w:val="40"/>
        </w:rPr>
        <w:t> </w:t>
      </w:r>
      <w:r>
        <w:rPr/>
        <w:t>in the range 0.1-15 µg/mL.This method is indirect and less </w:t>
      </w:r>
      <w:r>
        <w:rPr>
          <w:spacing w:val="-2"/>
        </w:rPr>
        <w:t>sensitive</w:t>
      </w:r>
    </w:p>
    <w:p>
      <w:pPr>
        <w:spacing w:before="2"/>
        <w:ind w:left="0" w:right="2059" w:firstLine="0"/>
        <w:jc w:val="right"/>
        <w:rPr>
          <w:rFonts w:ascii="Arial MT"/>
          <w:sz w:val="11"/>
        </w:rPr>
      </w:pPr>
      <w:r>
        <w:rPr/>
        <mc:AlternateContent>
          <mc:Choice Requires="wps">
            <w:drawing>
              <wp:anchor distT="0" distB="0" distL="0" distR="0" allowOverlap="1" layoutInCell="1" locked="0" behindDoc="0" simplePos="0" relativeHeight="15748608">
                <wp:simplePos x="0" y="0"/>
                <wp:positionH relativeFrom="page">
                  <wp:posOffset>6245945</wp:posOffset>
                </wp:positionH>
                <wp:positionV relativeFrom="paragraph">
                  <wp:posOffset>61407</wp:posOffset>
                </wp:positionV>
                <wp:extent cx="381000" cy="59753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381000" cy="597535"/>
                        </a:xfrm>
                        <a:custGeom>
                          <a:avLst/>
                          <a:gdLst/>
                          <a:ahLst/>
                          <a:cxnLst/>
                          <a:rect l="l" t="t" r="r" b="b"/>
                          <a:pathLst>
                            <a:path w="381000" h="597535">
                              <a:moveTo>
                                <a:pt x="191038" y="597223"/>
                              </a:moveTo>
                              <a:lnTo>
                                <a:pt x="191038" y="416498"/>
                              </a:lnTo>
                            </a:path>
                            <a:path w="381000" h="597535">
                              <a:moveTo>
                                <a:pt x="191038" y="416498"/>
                              </a:moveTo>
                              <a:lnTo>
                                <a:pt x="380469" y="306354"/>
                              </a:lnTo>
                            </a:path>
                            <a:path w="381000" h="597535">
                              <a:moveTo>
                                <a:pt x="191038" y="385257"/>
                              </a:moveTo>
                              <a:lnTo>
                                <a:pt x="355121" y="290919"/>
                              </a:lnTo>
                            </a:path>
                            <a:path w="381000" h="597535">
                              <a:moveTo>
                                <a:pt x="380469" y="306354"/>
                              </a:moveTo>
                              <a:lnTo>
                                <a:pt x="380469" y="87300"/>
                              </a:lnTo>
                            </a:path>
                            <a:path w="381000" h="597535">
                              <a:moveTo>
                                <a:pt x="380469" y="87300"/>
                              </a:moveTo>
                              <a:lnTo>
                                <a:pt x="230606" y="0"/>
                              </a:lnTo>
                            </a:path>
                            <a:path w="381000" h="597535">
                              <a:moveTo>
                                <a:pt x="355121" y="101624"/>
                              </a:moveTo>
                              <a:lnTo>
                                <a:pt x="216386" y="22473"/>
                              </a:lnTo>
                            </a:path>
                            <a:path w="381000" h="597535">
                              <a:moveTo>
                                <a:pt x="151470" y="0"/>
                              </a:moveTo>
                              <a:lnTo>
                                <a:pt x="0" y="87300"/>
                              </a:lnTo>
                            </a:path>
                            <a:path w="381000" h="597535">
                              <a:moveTo>
                                <a:pt x="0" y="87300"/>
                              </a:moveTo>
                              <a:lnTo>
                                <a:pt x="0" y="306354"/>
                              </a:lnTo>
                            </a:path>
                            <a:path w="381000" h="597535">
                              <a:moveTo>
                                <a:pt x="27079" y="101624"/>
                              </a:moveTo>
                              <a:lnTo>
                                <a:pt x="27079" y="290919"/>
                              </a:lnTo>
                            </a:path>
                            <a:path w="381000" h="597535">
                              <a:moveTo>
                                <a:pt x="0" y="306354"/>
                              </a:moveTo>
                              <a:lnTo>
                                <a:pt x="191038" y="416498"/>
                              </a:lnTo>
                            </a:path>
                          </a:pathLst>
                        </a:custGeom>
                        <a:ln w="699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1.806732pt;margin-top:4.835270pt;width:30pt;height:47.05pt;mso-position-horizontal-relative:page;mso-position-vertical-relative:paragraph;z-index:15748608" id="docshape40" coordorigin="9836,97" coordsize="600,941" path="m10137,1037l10137,753m10137,753l10435,579m10137,703l10395,555m10435,579l10435,234m10435,234l10199,97m10395,257l10177,132m10075,97l9836,234m9836,234l9836,579m9879,257l9879,555m9836,579l10137,753e" filled="false" stroked="true" strokeweight=".550846pt" strokecolor="#000000">
                <v:path arrowok="t"/>
                <v:stroke dashstyle="solid"/>
                <w10:wrap type="none"/>
              </v:shape>
            </w:pict>
          </mc:Fallback>
        </mc:AlternateContent>
      </w:r>
      <w:r>
        <w:rPr>
          <w:rFonts w:ascii="Arial MT"/>
          <w:spacing w:val="-10"/>
          <w:w w:val="105"/>
          <w:sz w:val="11"/>
        </w:rPr>
        <w:t>N</w:t>
      </w:r>
    </w:p>
    <w:p>
      <w:pPr>
        <w:pStyle w:val="BodyText"/>
        <w:spacing w:before="193"/>
        <w:rPr>
          <w:rFonts w:ascii="Arial MT"/>
          <w:sz w:val="20"/>
        </w:rPr>
      </w:pPr>
    </w:p>
    <w:p>
      <w:pPr>
        <w:spacing w:after="0"/>
        <w:rPr>
          <w:rFonts w:ascii="Arial MT"/>
          <w:sz w:val="20"/>
        </w:rPr>
        <w:sectPr>
          <w:pgSz w:w="12240" w:h="15840"/>
          <w:pgMar w:header="0" w:footer="1015" w:top="1360" w:bottom="1200" w:left="240" w:right="0"/>
        </w:sectPr>
      </w:pPr>
    </w:p>
    <w:p>
      <w:pPr>
        <w:spacing w:before="102"/>
        <w:ind w:left="1922" w:right="0" w:firstLine="0"/>
        <w:jc w:val="left"/>
        <w:rPr>
          <w:rFonts w:ascii="Arial MT"/>
          <w:sz w:val="11"/>
        </w:rPr>
      </w:pPr>
      <w:r>
        <w:rPr>
          <w:rFonts w:ascii="Arial MT"/>
          <w:spacing w:val="-5"/>
          <w:w w:val="105"/>
          <w:sz w:val="11"/>
        </w:rPr>
        <w:t>NH</w:t>
      </w:r>
      <w:r>
        <w:rPr>
          <w:rFonts w:ascii="Arial MT"/>
          <w:spacing w:val="-5"/>
          <w:w w:val="105"/>
          <w:sz w:val="11"/>
          <w:vertAlign w:val="subscript"/>
        </w:rPr>
        <w:t>2</w:t>
      </w:r>
    </w:p>
    <w:p>
      <w:pPr>
        <w:pStyle w:val="BodyText"/>
        <w:spacing w:line="220" w:lineRule="exact"/>
        <w:ind w:left="1964"/>
        <w:rPr>
          <w:rFonts w:ascii="Arial MT"/>
          <w:sz w:val="20"/>
        </w:rPr>
      </w:pPr>
      <w:r>
        <w:rPr>
          <w:rFonts w:ascii="Arial MT"/>
          <w:position w:val="-3"/>
          <w:sz w:val="20"/>
        </w:rPr>
        <mc:AlternateContent>
          <mc:Choice Requires="wps">
            <w:drawing>
              <wp:inline distT="0" distB="0" distL="0" distR="0">
                <wp:extent cx="7620" cy="140335"/>
                <wp:effectExtent l="9525" t="0" r="0" b="12064"/>
                <wp:docPr id="51" name="Group 51"/>
                <wp:cNvGraphicFramePr>
                  <a:graphicFrameLocks/>
                </wp:cNvGraphicFramePr>
                <a:graphic>
                  <a:graphicData uri="http://schemas.microsoft.com/office/word/2010/wordprocessingGroup">
                    <wpg:wgp>
                      <wpg:cNvPr id="51" name="Group 51"/>
                      <wpg:cNvGrpSpPr/>
                      <wpg:grpSpPr>
                        <a:xfrm>
                          <a:off x="0" y="0"/>
                          <a:ext cx="7620" cy="140335"/>
                          <a:chExt cx="7620" cy="140335"/>
                        </a:xfrm>
                      </wpg:grpSpPr>
                      <wps:wsp>
                        <wps:cNvPr id="52" name="Graphic 52"/>
                        <wps:cNvSpPr/>
                        <wps:spPr>
                          <a:xfrm>
                            <a:off x="3500" y="0"/>
                            <a:ext cx="1270" cy="140335"/>
                          </a:xfrm>
                          <a:custGeom>
                            <a:avLst/>
                            <a:gdLst/>
                            <a:ahLst/>
                            <a:cxnLst/>
                            <a:rect l="l" t="t" r="r" b="b"/>
                            <a:pathLst>
                              <a:path w="0" h="140335">
                                <a:moveTo>
                                  <a:pt x="0" y="139779"/>
                                </a:moveTo>
                                <a:lnTo>
                                  <a:pt x="0" y="0"/>
                                </a:lnTo>
                              </a:path>
                            </a:pathLst>
                          </a:custGeom>
                          <a:ln w="70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pt;height:11.05pt;mso-position-horizontal-relative:char;mso-position-vertical-relative:line" id="docshapegroup41" coordorigin="0,0" coordsize="12,221">
                <v:line style="position:absolute" from="6,220" to="6,0" stroked="true" strokeweight=".551224pt" strokecolor="#000000">
                  <v:stroke dashstyle="solid"/>
                </v:line>
              </v:group>
            </w:pict>
          </mc:Fallback>
        </mc:AlternateContent>
      </w:r>
      <w:r>
        <w:rPr>
          <w:rFonts w:ascii="Arial MT"/>
          <w:position w:val="-3"/>
          <w:sz w:val="20"/>
        </w:rPr>
      </w:r>
    </w:p>
    <w:p>
      <w:pPr>
        <w:spacing w:before="0"/>
        <w:ind w:left="1922" w:right="0" w:firstLine="0"/>
        <w:jc w:val="left"/>
        <w:rPr>
          <w:rFonts w:ascii="Arial MT"/>
          <w:sz w:val="11"/>
        </w:rPr>
      </w:pPr>
      <w:r>
        <w:rPr/>
        <mc:AlternateContent>
          <mc:Choice Requires="wps">
            <w:drawing>
              <wp:anchor distT="0" distB="0" distL="0" distR="0" allowOverlap="1" layoutInCell="1" locked="0" behindDoc="0" simplePos="0" relativeHeight="15743488">
                <wp:simplePos x="0" y="0"/>
                <wp:positionH relativeFrom="page">
                  <wp:posOffset>1205688</wp:posOffset>
                </wp:positionH>
                <wp:positionV relativeFrom="paragraph">
                  <wp:posOffset>77347</wp:posOffset>
                </wp:positionV>
                <wp:extent cx="387985" cy="81978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387985" cy="819785"/>
                          <a:chExt cx="387985" cy="819785"/>
                        </a:xfrm>
                      </wpg:grpSpPr>
                      <wps:wsp>
                        <wps:cNvPr id="54" name="Graphic 54"/>
                        <wps:cNvSpPr/>
                        <wps:spPr>
                          <a:xfrm>
                            <a:off x="3500" y="0"/>
                            <a:ext cx="381000" cy="815975"/>
                          </a:xfrm>
                          <a:custGeom>
                            <a:avLst/>
                            <a:gdLst/>
                            <a:ahLst/>
                            <a:cxnLst/>
                            <a:rect l="l" t="t" r="r" b="b"/>
                            <a:pathLst>
                              <a:path w="381000" h="815975">
                                <a:moveTo>
                                  <a:pt x="0" y="508355"/>
                                </a:moveTo>
                                <a:lnTo>
                                  <a:pt x="0" y="727050"/>
                                </a:lnTo>
                              </a:path>
                              <a:path w="381000" h="815975">
                                <a:moveTo>
                                  <a:pt x="27079" y="523827"/>
                                </a:moveTo>
                                <a:lnTo>
                                  <a:pt x="27079" y="713097"/>
                                </a:lnTo>
                              </a:path>
                              <a:path w="381000" h="815975">
                                <a:moveTo>
                                  <a:pt x="0" y="727050"/>
                                </a:moveTo>
                                <a:lnTo>
                                  <a:pt x="152793" y="815919"/>
                                </a:lnTo>
                              </a:path>
                              <a:path w="381000" h="815975">
                                <a:moveTo>
                                  <a:pt x="229184" y="814709"/>
                                </a:moveTo>
                                <a:lnTo>
                                  <a:pt x="380457" y="727050"/>
                                </a:lnTo>
                              </a:path>
                              <a:path w="381000" h="815975">
                                <a:moveTo>
                                  <a:pt x="216399" y="791952"/>
                                </a:moveTo>
                                <a:lnTo>
                                  <a:pt x="354886" y="713097"/>
                                </a:lnTo>
                              </a:path>
                              <a:path w="381000" h="815975">
                                <a:moveTo>
                                  <a:pt x="380457" y="727050"/>
                                </a:moveTo>
                                <a:lnTo>
                                  <a:pt x="380457" y="508355"/>
                                </a:lnTo>
                              </a:path>
                              <a:path w="381000" h="815975">
                                <a:moveTo>
                                  <a:pt x="380457" y="508355"/>
                                </a:moveTo>
                                <a:lnTo>
                                  <a:pt x="190828" y="397951"/>
                                </a:lnTo>
                              </a:path>
                              <a:path w="381000" h="815975">
                                <a:moveTo>
                                  <a:pt x="354886" y="523827"/>
                                </a:moveTo>
                                <a:lnTo>
                                  <a:pt x="190828" y="429192"/>
                                </a:lnTo>
                              </a:path>
                              <a:path w="381000" h="815975">
                                <a:moveTo>
                                  <a:pt x="190828" y="397951"/>
                                </a:moveTo>
                                <a:lnTo>
                                  <a:pt x="0" y="508355"/>
                                </a:lnTo>
                              </a:path>
                              <a:path w="381000" h="815975">
                                <a:moveTo>
                                  <a:pt x="190828" y="397951"/>
                                </a:moveTo>
                                <a:lnTo>
                                  <a:pt x="190828" y="221720"/>
                                </a:lnTo>
                              </a:path>
                              <a:path w="381000" h="815975">
                                <a:moveTo>
                                  <a:pt x="155526" y="183503"/>
                                </a:moveTo>
                                <a:lnTo>
                                  <a:pt x="11252" y="145286"/>
                                </a:lnTo>
                              </a:path>
                              <a:path w="381000" h="815975">
                                <a:moveTo>
                                  <a:pt x="155526" y="156511"/>
                                </a:moveTo>
                                <a:lnTo>
                                  <a:pt x="18559" y="119812"/>
                                </a:lnTo>
                              </a:path>
                              <a:path w="381000" h="815975">
                                <a:moveTo>
                                  <a:pt x="190828" y="138310"/>
                                </a:moveTo>
                                <a:lnTo>
                                  <a:pt x="190828" y="0"/>
                                </a:lnTo>
                              </a:path>
                            </a:pathLst>
                          </a:custGeom>
                          <a:ln w="6995">
                            <a:solidFill>
                              <a:srgbClr val="000000"/>
                            </a:solidFill>
                            <a:prstDash val="solid"/>
                          </a:ln>
                        </wps:spPr>
                        <wps:bodyPr wrap="square" lIns="0" tIns="0" rIns="0" bIns="0" rtlCol="0">
                          <a:prstTxWarp prst="textNoShape">
                            <a:avLst/>
                          </a:prstTxWarp>
                          <a:noAutofit/>
                        </wps:bodyPr>
                      </wps:wsp>
                      <wps:wsp>
                        <wps:cNvPr id="55" name="Textbox 55"/>
                        <wps:cNvSpPr txBox="1"/>
                        <wps:spPr>
                          <a:xfrm>
                            <a:off x="167546" y="140883"/>
                            <a:ext cx="66040" cy="82550"/>
                          </a:xfrm>
                          <a:prstGeom prst="rect">
                            <a:avLst/>
                          </a:prstGeom>
                        </wps:spPr>
                        <wps:txbx>
                          <w:txbxContent>
                            <w:p>
                              <w:pPr>
                                <w:spacing w:before="1"/>
                                <w:ind w:left="0" w:right="0" w:firstLine="0"/>
                                <w:jc w:val="left"/>
                                <w:rPr>
                                  <w:rFonts w:ascii="Arial MT"/>
                                  <w:sz w:val="11"/>
                                </w:rPr>
                              </w:pPr>
                              <w:r>
                                <w:rPr>
                                  <w:rFonts w:ascii="Arial MT"/>
                                  <w:spacing w:val="-10"/>
                                  <w:w w:val="105"/>
                                  <w:sz w:val="11"/>
                                </w:rPr>
                                <w:t>C</w:t>
                              </w:r>
                            </w:p>
                          </w:txbxContent>
                        </wps:txbx>
                        <wps:bodyPr wrap="square" lIns="0" tIns="0" rIns="0" bIns="0" rtlCol="0">
                          <a:noAutofit/>
                        </wps:bodyPr>
                      </wps:wsp>
                    </wpg:wgp>
                  </a:graphicData>
                </a:graphic>
              </wp:anchor>
            </w:drawing>
          </mc:Choice>
          <mc:Fallback>
            <w:pict>
              <v:group style="position:absolute;margin-left:94.936081pt;margin-top:6.090323pt;width:30.55pt;height:64.55pt;mso-position-horizontal-relative:page;mso-position-vertical-relative:paragraph;z-index:15743488" id="docshapegroup42" coordorigin="1899,122" coordsize="611,1291">
                <v:shape style="position:absolute;left:1904;top:121;width:600;height:1285" id="docshape43" coordorigin="1904,122" coordsize="600,1285" path="m1904,922l1904,1267m1947,947l1947,1245m1904,1267l2145,1407m2265,1405l2503,1267m2245,1369l2463,1245m2503,1267l2503,922m2503,922l2205,749m2463,947l2205,798m2205,749l1904,922m2205,749l2205,471m2149,411l1922,351m2149,368l1933,310m2205,340l2205,122e" filled="false" stroked="true" strokeweight=".550846pt" strokecolor="#000000">
                  <v:path arrowok="t"/>
                  <v:stroke dashstyle="solid"/>
                </v:shape>
                <v:shape style="position:absolute;left:2162;top:343;width:104;height:130" type="#_x0000_t202" id="docshape44" filled="false" stroked="false">
                  <v:textbox inset="0,0,0,0">
                    <w:txbxContent>
                      <w:p>
                        <w:pPr>
                          <w:spacing w:before="1"/>
                          <w:ind w:left="0" w:right="0" w:firstLine="0"/>
                          <w:jc w:val="left"/>
                          <w:rPr>
                            <w:rFonts w:ascii="Arial MT"/>
                            <w:sz w:val="11"/>
                          </w:rPr>
                        </w:pPr>
                        <w:r>
                          <w:rPr>
                            <w:rFonts w:ascii="Arial MT"/>
                            <w:spacing w:val="-10"/>
                            <w:w w:val="105"/>
                            <w:sz w:val="11"/>
                          </w:rPr>
                          <w:t>C</w:t>
                        </w:r>
                      </w:p>
                    </w:txbxContent>
                  </v:textbox>
                  <w10:wrap type="none"/>
                </v:shape>
                <w10:wrap type="none"/>
              </v:group>
            </w:pict>
          </mc:Fallback>
        </mc:AlternateContent>
      </w:r>
      <w:r>
        <w:rPr>
          <w:rFonts w:ascii="Arial MT"/>
          <w:spacing w:val="-5"/>
          <w:w w:val="105"/>
          <w:sz w:val="11"/>
        </w:rPr>
        <w:t>NH</w:t>
      </w:r>
    </w:p>
    <w:p>
      <w:pPr>
        <w:pStyle w:val="BodyText"/>
        <w:spacing w:before="3"/>
        <w:rPr>
          <w:rFonts w:ascii="Arial MT"/>
          <w:sz w:val="11"/>
        </w:rPr>
      </w:pPr>
    </w:p>
    <w:p>
      <w:pPr>
        <w:spacing w:before="0"/>
        <w:ind w:left="0" w:right="454" w:firstLine="0"/>
        <w:jc w:val="right"/>
        <w:rPr>
          <w:rFonts w:ascii="Arial MT"/>
          <w:sz w:val="11"/>
        </w:rPr>
      </w:pPr>
      <w:r>
        <w:rPr>
          <w:rFonts w:ascii="Arial MT"/>
          <w:spacing w:val="-10"/>
          <w:w w:val="105"/>
          <w:sz w:val="11"/>
        </w:rPr>
        <w:t>O</w:t>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
        <w:rPr>
          <w:rFonts w:ascii="Arial MT"/>
          <w:sz w:val="11"/>
        </w:rPr>
      </w:pPr>
    </w:p>
    <w:p>
      <w:pPr>
        <w:spacing w:before="0"/>
        <w:ind w:left="339" w:right="0" w:firstLine="0"/>
        <w:jc w:val="center"/>
        <w:rPr>
          <w:sz w:val="13"/>
        </w:rPr>
      </w:pPr>
      <w:r>
        <w:rPr>
          <w:spacing w:val="-10"/>
          <w:w w:val="105"/>
          <w:sz w:val="13"/>
        </w:rPr>
        <w:t>2</w:t>
      </w:r>
    </w:p>
    <w:p>
      <w:pPr>
        <w:pStyle w:val="BodyText"/>
        <w:spacing w:before="66"/>
        <w:rPr>
          <w:sz w:val="13"/>
        </w:rPr>
      </w:pPr>
    </w:p>
    <w:p>
      <w:pPr>
        <w:spacing w:before="0"/>
        <w:ind w:left="1922" w:right="0" w:firstLine="0"/>
        <w:jc w:val="left"/>
        <w:rPr>
          <w:rFonts w:ascii="Arial MT"/>
          <w:sz w:val="11"/>
        </w:rPr>
      </w:pPr>
      <w:r>
        <w:rPr>
          <w:rFonts w:ascii="Arial MT"/>
          <w:spacing w:val="-10"/>
          <w:w w:val="105"/>
          <w:sz w:val="11"/>
        </w:rPr>
        <w:t>N</w:t>
      </w:r>
    </w:p>
    <w:p>
      <w:pPr>
        <w:spacing w:line="240" w:lineRule="auto" w:before="0"/>
        <w:rPr>
          <w:rFonts w:ascii="Arial MT"/>
          <w:sz w:val="11"/>
        </w:rPr>
      </w:pPr>
      <w:r>
        <w:rPr/>
        <w:br w:type="column"/>
      </w:r>
      <w:r>
        <w:rPr>
          <w:rFonts w:ascii="Arial MT"/>
          <w:sz w:val="11"/>
        </w:rPr>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01"/>
        <w:rPr>
          <w:rFonts w:ascii="Arial MT"/>
          <w:sz w:val="11"/>
        </w:rPr>
      </w:pPr>
    </w:p>
    <w:p>
      <w:pPr>
        <w:spacing w:before="0"/>
        <w:ind w:left="57" w:right="0" w:firstLine="0"/>
        <w:jc w:val="left"/>
        <w:rPr>
          <w:rFonts w:ascii="Arial MT"/>
          <w:sz w:val="11"/>
        </w:rPr>
      </w:pPr>
      <w:r>
        <w:rPr>
          <w:rFonts w:ascii="Arial MT"/>
          <w:spacing w:val="-5"/>
          <w:w w:val="105"/>
          <w:sz w:val="11"/>
        </w:rPr>
        <w:t>H</w:t>
      </w:r>
      <w:r>
        <w:rPr>
          <w:rFonts w:ascii="Arial MT"/>
          <w:spacing w:val="-5"/>
          <w:w w:val="105"/>
          <w:position w:val="-2"/>
          <w:sz w:val="7"/>
        </w:rPr>
        <w:t>2</w:t>
      </w:r>
      <w:r>
        <w:rPr>
          <w:rFonts w:ascii="Arial MT"/>
          <w:spacing w:val="-5"/>
          <w:w w:val="105"/>
          <w:sz w:val="11"/>
        </w:rPr>
        <w:t>N</w:t>
      </w:r>
    </w:p>
    <w:p>
      <w:pPr>
        <w:spacing w:line="240" w:lineRule="auto" w:before="0"/>
        <w:rPr>
          <w:rFonts w:ascii="Arial MT"/>
          <w:sz w:val="11"/>
        </w:rPr>
      </w:pPr>
      <w:r>
        <w:rPr/>
        <w:br w:type="column"/>
      </w:r>
      <w:r>
        <w:rPr>
          <w:rFonts w:ascii="Arial MT"/>
          <w:sz w:val="11"/>
        </w:rPr>
      </w:r>
    </w:p>
    <w:p>
      <w:pPr>
        <w:pStyle w:val="BodyText"/>
        <w:rPr>
          <w:rFonts w:ascii="Arial MT"/>
          <w:sz w:val="11"/>
        </w:rPr>
      </w:pPr>
    </w:p>
    <w:p>
      <w:pPr>
        <w:pStyle w:val="BodyText"/>
        <w:rPr>
          <w:rFonts w:ascii="Arial MT"/>
          <w:sz w:val="11"/>
        </w:rPr>
      </w:pPr>
    </w:p>
    <w:p>
      <w:pPr>
        <w:pStyle w:val="BodyText"/>
        <w:spacing w:before="47"/>
        <w:rPr>
          <w:rFonts w:ascii="Arial MT"/>
          <w:sz w:val="11"/>
        </w:rPr>
      </w:pPr>
    </w:p>
    <w:p>
      <w:pPr>
        <w:spacing w:before="0"/>
        <w:ind w:left="223" w:right="0" w:firstLine="0"/>
        <w:jc w:val="left"/>
        <w:rPr>
          <w:rFonts w:ascii="Arial MT"/>
          <w:sz w:val="11"/>
        </w:rPr>
      </w:pPr>
      <w:r>
        <w:rPr>
          <w:rFonts w:ascii="Arial MT"/>
          <w:spacing w:val="-10"/>
          <w:w w:val="105"/>
          <w:sz w:val="11"/>
        </w:rPr>
        <w:t>O</w:t>
      </w:r>
    </w:p>
    <w:p>
      <w:pPr>
        <w:spacing w:line="109" w:lineRule="exact" w:before="27"/>
        <w:ind w:left="802" w:right="0" w:firstLine="0"/>
        <w:jc w:val="left"/>
        <w:rPr>
          <w:rFonts w:ascii="Arial MT"/>
          <w:sz w:val="11"/>
        </w:rPr>
      </w:pPr>
      <w:r>
        <w:rPr/>
        <mc:AlternateContent>
          <mc:Choice Requires="wps">
            <w:drawing>
              <wp:anchor distT="0" distB="0" distL="0" distR="0" allowOverlap="1" layoutInCell="1" locked="0" behindDoc="1" simplePos="0" relativeHeight="485003264">
                <wp:simplePos x="0" y="0"/>
                <wp:positionH relativeFrom="page">
                  <wp:posOffset>1911519</wp:posOffset>
                </wp:positionH>
                <wp:positionV relativeFrom="paragraph">
                  <wp:posOffset>-38525</wp:posOffset>
                </wp:positionV>
                <wp:extent cx="446405" cy="14351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446405" cy="143510"/>
                          <a:chExt cx="446405" cy="143510"/>
                        </a:xfrm>
                      </wpg:grpSpPr>
                      <wps:wsp>
                        <wps:cNvPr id="57" name="Graphic 57"/>
                        <wps:cNvSpPr/>
                        <wps:spPr>
                          <a:xfrm>
                            <a:off x="3497" y="14408"/>
                            <a:ext cx="308610" cy="125730"/>
                          </a:xfrm>
                          <a:custGeom>
                            <a:avLst/>
                            <a:gdLst/>
                            <a:ahLst/>
                            <a:cxnLst/>
                            <a:rect l="l" t="t" r="r" b="b"/>
                            <a:pathLst>
                              <a:path w="308610" h="125730">
                                <a:moveTo>
                                  <a:pt x="93132" y="112836"/>
                                </a:moveTo>
                                <a:lnTo>
                                  <a:pt x="0" y="19719"/>
                                </a:lnTo>
                              </a:path>
                              <a:path w="308610" h="125730">
                                <a:moveTo>
                                  <a:pt x="111705" y="94635"/>
                                </a:moveTo>
                                <a:lnTo>
                                  <a:pt x="18263" y="0"/>
                                </a:lnTo>
                              </a:path>
                              <a:path w="308610" h="125730">
                                <a:moveTo>
                                  <a:pt x="175310" y="125579"/>
                                </a:moveTo>
                                <a:lnTo>
                                  <a:pt x="307986" y="88868"/>
                                </a:lnTo>
                              </a:path>
                            </a:pathLst>
                          </a:custGeom>
                          <a:ln w="6995">
                            <a:solidFill>
                              <a:srgbClr val="000000"/>
                            </a:solidFill>
                            <a:prstDash val="solid"/>
                          </a:ln>
                        </wps:spPr>
                        <wps:bodyPr wrap="square" lIns="0" tIns="0" rIns="0" bIns="0" rtlCol="0">
                          <a:prstTxWarp prst="textNoShape">
                            <a:avLst/>
                          </a:prstTxWarp>
                          <a:noAutofit/>
                        </wps:bodyPr>
                      </wps:wsp>
                      <wps:wsp>
                        <wps:cNvPr id="58" name="Graphic 58"/>
                        <wps:cNvSpPr/>
                        <wps:spPr>
                          <a:xfrm>
                            <a:off x="416215" y="2887"/>
                            <a:ext cx="29845" cy="1270"/>
                          </a:xfrm>
                          <a:custGeom>
                            <a:avLst/>
                            <a:gdLst/>
                            <a:ahLst/>
                            <a:cxnLst/>
                            <a:rect l="l" t="t" r="r" b="b"/>
                            <a:pathLst>
                              <a:path w="29845" h="0">
                                <a:moveTo>
                                  <a:pt x="0" y="0"/>
                                </a:moveTo>
                                <a:lnTo>
                                  <a:pt x="29799" y="0"/>
                                </a:lnTo>
                              </a:path>
                            </a:pathLst>
                          </a:custGeom>
                          <a:ln w="57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0.513382pt;margin-top:-3.033473pt;width:35.15pt;height:11.3pt;mso-position-horizontal-relative:page;mso-position-vertical-relative:paragraph;z-index:-18313216" id="docshapegroup45" coordorigin="3010,-61" coordsize="703,226">
                <v:shape style="position:absolute;left:3015;top:-38;width:486;height:198" id="docshape46" coordorigin="3016,-38" coordsize="486,198" path="m3162,140l3016,-7m3192,111l3045,-38m3292,160l3501,102e" filled="false" stroked="true" strokeweight=".550846pt" strokecolor="#000000">
                  <v:path arrowok="t"/>
                  <v:stroke dashstyle="solid"/>
                </v:shape>
                <v:line style="position:absolute" from="3666,-56" to="3713,-56" stroked="true" strokeweight=".454728pt" strokecolor="#000000">
                  <v:stroke dashstyle="solid"/>
                </v:line>
                <w10:wrap type="none"/>
              </v:group>
            </w:pict>
          </mc:Fallback>
        </mc:AlternateContent>
      </w:r>
      <w:r>
        <w:rPr>
          <w:rFonts w:ascii="Arial MT"/>
          <w:spacing w:val="-10"/>
          <w:w w:val="105"/>
          <w:sz w:val="11"/>
        </w:rPr>
        <w:t>O</w:t>
      </w:r>
    </w:p>
    <w:p>
      <w:pPr>
        <w:spacing w:line="109" w:lineRule="exact" w:before="0"/>
        <w:ind w:left="473" w:right="0" w:firstLine="0"/>
        <w:jc w:val="left"/>
        <w:rPr>
          <w:rFonts w:ascii="Arial MT"/>
          <w:sz w:val="11"/>
        </w:rPr>
      </w:pPr>
      <w:r>
        <w:rPr/>
        <mc:AlternateContent>
          <mc:Choice Requires="wps">
            <w:drawing>
              <wp:anchor distT="0" distB="0" distL="0" distR="0" allowOverlap="1" layoutInCell="1" locked="0" behindDoc="0" simplePos="0" relativeHeight="15744000">
                <wp:simplePos x="0" y="0"/>
                <wp:positionH relativeFrom="page">
                  <wp:posOffset>1692831</wp:posOffset>
                </wp:positionH>
                <wp:positionV relativeFrom="paragraph">
                  <wp:posOffset>66136</wp:posOffset>
                </wp:positionV>
                <wp:extent cx="695325" cy="61912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695325" cy="619125"/>
                          <a:chExt cx="695325" cy="619125"/>
                        </a:xfrm>
                      </wpg:grpSpPr>
                      <wps:wsp>
                        <wps:cNvPr id="60" name="Graphic 60"/>
                        <wps:cNvSpPr/>
                        <wps:spPr>
                          <a:xfrm>
                            <a:off x="12773" y="0"/>
                            <a:ext cx="678815" cy="615950"/>
                          </a:xfrm>
                          <a:custGeom>
                            <a:avLst/>
                            <a:gdLst/>
                            <a:ahLst/>
                            <a:cxnLst/>
                            <a:rect l="l" t="t" r="r" b="b"/>
                            <a:pathLst>
                              <a:path w="678815" h="615950">
                                <a:moveTo>
                                  <a:pt x="345155" y="179268"/>
                                </a:moveTo>
                                <a:lnTo>
                                  <a:pt x="144274" y="269655"/>
                                </a:lnTo>
                              </a:path>
                              <a:path w="678815" h="615950">
                                <a:moveTo>
                                  <a:pt x="342113" y="208990"/>
                                </a:moveTo>
                                <a:lnTo>
                                  <a:pt x="168324" y="286634"/>
                                </a:lnTo>
                              </a:path>
                              <a:path w="678815" h="615950">
                                <a:moveTo>
                                  <a:pt x="144274" y="269655"/>
                                </a:moveTo>
                                <a:lnTo>
                                  <a:pt x="121448" y="487129"/>
                                </a:lnTo>
                              </a:path>
                              <a:path w="678815" h="615950">
                                <a:moveTo>
                                  <a:pt x="121448" y="487129"/>
                                </a:moveTo>
                                <a:lnTo>
                                  <a:pt x="299813" y="615424"/>
                                </a:lnTo>
                              </a:path>
                              <a:path w="678815" h="615950">
                                <a:moveTo>
                                  <a:pt x="149752" y="474385"/>
                                </a:moveTo>
                                <a:lnTo>
                                  <a:pt x="302545" y="586011"/>
                                </a:lnTo>
                              </a:path>
                              <a:path w="678815" h="615950">
                                <a:moveTo>
                                  <a:pt x="299813" y="615424"/>
                                </a:moveTo>
                                <a:lnTo>
                                  <a:pt x="500706" y="525037"/>
                                </a:lnTo>
                              </a:path>
                              <a:path w="678815" h="615950">
                                <a:moveTo>
                                  <a:pt x="500706" y="525037"/>
                                </a:moveTo>
                                <a:lnTo>
                                  <a:pt x="523211" y="307564"/>
                                </a:lnTo>
                              </a:path>
                              <a:path w="678815" h="615950">
                                <a:moveTo>
                                  <a:pt x="476595" y="508058"/>
                                </a:moveTo>
                                <a:lnTo>
                                  <a:pt x="494895" y="320307"/>
                                </a:lnTo>
                              </a:path>
                              <a:path w="678815" h="615950">
                                <a:moveTo>
                                  <a:pt x="523211" y="307564"/>
                                </a:moveTo>
                                <a:lnTo>
                                  <a:pt x="345155" y="179268"/>
                                </a:lnTo>
                              </a:path>
                              <a:path w="678815" h="615950">
                                <a:moveTo>
                                  <a:pt x="121448" y="487129"/>
                                </a:moveTo>
                                <a:lnTo>
                                  <a:pt x="0" y="609967"/>
                                </a:lnTo>
                              </a:path>
                              <a:path w="678815" h="615950">
                                <a:moveTo>
                                  <a:pt x="345155" y="179268"/>
                                </a:moveTo>
                                <a:lnTo>
                                  <a:pt x="345155" y="0"/>
                                </a:lnTo>
                              </a:path>
                              <a:path w="678815" h="615950">
                                <a:moveTo>
                                  <a:pt x="523211" y="307564"/>
                                </a:moveTo>
                                <a:lnTo>
                                  <a:pt x="678762" y="217176"/>
                                </a:lnTo>
                              </a:path>
                            </a:pathLst>
                          </a:custGeom>
                          <a:ln w="6995">
                            <a:solidFill>
                              <a:srgbClr val="000000"/>
                            </a:solidFill>
                            <a:prstDash val="solid"/>
                          </a:ln>
                        </wps:spPr>
                        <wps:bodyPr wrap="square" lIns="0" tIns="0" rIns="0" bIns="0" rtlCol="0">
                          <a:prstTxWarp prst="textNoShape">
                            <a:avLst/>
                          </a:prstTxWarp>
                          <a:noAutofit/>
                        </wps:bodyPr>
                      </wps:wsp>
                      <wps:wsp>
                        <wps:cNvPr id="61" name="Textbox 61"/>
                        <wps:cNvSpPr txBox="1"/>
                        <wps:spPr>
                          <a:xfrm>
                            <a:off x="0" y="346502"/>
                            <a:ext cx="61594" cy="95885"/>
                          </a:xfrm>
                          <a:prstGeom prst="rect">
                            <a:avLst/>
                          </a:prstGeom>
                        </wps:spPr>
                        <wps:txbx>
                          <w:txbxContent>
                            <w:p>
                              <w:pPr>
                                <w:spacing w:line="149" w:lineRule="exact" w:before="0"/>
                                <w:ind w:left="0" w:right="0" w:firstLine="0"/>
                                <w:jc w:val="left"/>
                                <w:rPr>
                                  <w:sz w:val="13"/>
                                </w:rPr>
                              </w:pPr>
                              <w:r>
                                <w:rPr>
                                  <w:spacing w:val="-10"/>
                                  <w:w w:val="105"/>
                                  <w:sz w:val="13"/>
                                </w:rPr>
                                <w:t>+</w:t>
                              </w:r>
                            </w:p>
                          </w:txbxContent>
                        </wps:txbx>
                        <wps:bodyPr wrap="square" lIns="0" tIns="0" rIns="0" bIns="0" rtlCol="0">
                          <a:noAutofit/>
                        </wps:bodyPr>
                      </wps:wsp>
                    </wpg:wgp>
                  </a:graphicData>
                </a:graphic>
              </wp:anchor>
            </w:drawing>
          </mc:Choice>
          <mc:Fallback>
            <w:pict>
              <v:group style="position:absolute;margin-left:133.293839pt;margin-top:5.207604pt;width:54.75pt;height:48.75pt;mso-position-horizontal-relative:page;mso-position-vertical-relative:paragraph;z-index:15744000" id="docshapegroup47" coordorigin="2666,104" coordsize="1095,975">
                <v:shape style="position:absolute;left:2686;top:104;width:1069;height:970" id="docshape48" coordorigin="2686,104" coordsize="1069,970" path="m3230,386l2913,529m3225,433l2951,556m2913,529l2877,871m2877,871l3158,1073m2922,851l3162,1027m3158,1073l3475,931m3475,931l3510,589m3437,904l3465,609m3510,589l3230,386m2877,871l2686,1065m3230,386l3230,104m3510,589l3755,446e" filled="false" stroked="true" strokeweight=".550846pt" strokecolor="#000000">
                  <v:path arrowok="t"/>
                  <v:stroke dashstyle="solid"/>
                </v:shape>
                <v:shape style="position:absolute;left:2665;top:649;width:97;height:151" type="#_x0000_t202" id="docshape49" filled="false" stroked="false">
                  <v:textbox inset="0,0,0,0">
                    <w:txbxContent>
                      <w:p>
                        <w:pPr>
                          <w:spacing w:line="149" w:lineRule="exact" w:before="0"/>
                          <w:ind w:left="0" w:right="0" w:firstLine="0"/>
                          <w:jc w:val="left"/>
                          <w:rPr>
                            <w:sz w:val="13"/>
                          </w:rPr>
                        </w:pPr>
                        <w:r>
                          <w:rPr>
                            <w:spacing w:val="-10"/>
                            <w:w w:val="105"/>
                            <w:sz w:val="13"/>
                          </w:rPr>
                          <w:t>+</w:t>
                        </w:r>
                      </w:p>
                    </w:txbxContent>
                  </v:textbox>
                  <w10:wrap type="none"/>
                </v:shape>
                <w10:wrap type="none"/>
              </v:group>
            </w:pict>
          </mc:Fallback>
        </mc:AlternateContent>
      </w:r>
      <w:r>
        <w:rPr>
          <w:rFonts w:ascii="Arial MT"/>
          <w:spacing w:val="-10"/>
          <w:w w:val="105"/>
          <w:sz w:val="11"/>
        </w:rPr>
        <w:t>N</w:t>
      </w:r>
    </w:p>
    <w:p>
      <w:pPr>
        <w:pStyle w:val="BodyText"/>
        <w:spacing w:before="121"/>
        <w:rPr>
          <w:rFonts w:ascii="Arial MT"/>
          <w:sz w:val="11"/>
        </w:rPr>
      </w:pPr>
    </w:p>
    <w:p>
      <w:pPr>
        <w:spacing w:before="0"/>
        <w:ind w:left="0" w:right="0" w:firstLine="0"/>
        <w:jc w:val="right"/>
        <w:rPr>
          <w:rFonts w:ascii="Arial MT"/>
          <w:sz w:val="11"/>
        </w:rPr>
      </w:pPr>
      <w:r>
        <w:rPr>
          <w:rFonts w:ascii="Arial MT"/>
          <w:spacing w:val="-5"/>
          <w:w w:val="105"/>
          <w:sz w:val="11"/>
        </w:rPr>
        <w:t>CH</w:t>
      </w:r>
      <w:r>
        <w:rPr>
          <w:rFonts w:ascii="Arial MT"/>
          <w:spacing w:val="-5"/>
          <w:w w:val="105"/>
          <w:sz w:val="11"/>
          <w:vertAlign w:val="subscript"/>
        </w:rPr>
        <w:t>2</w:t>
      </w:r>
    </w:p>
    <w:p>
      <w:pPr>
        <w:spacing w:line="240" w:lineRule="auto" w:before="0"/>
        <w:rPr>
          <w:rFonts w:ascii="Arial MT"/>
          <w:sz w:val="11"/>
        </w:rPr>
      </w:pPr>
      <w:r>
        <w:rPr/>
        <w:br w:type="column"/>
      </w:r>
      <w:r>
        <w:rPr>
          <w:rFonts w:ascii="Arial MT"/>
          <w:sz w:val="11"/>
        </w:rPr>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66"/>
        <w:rPr>
          <w:rFonts w:ascii="Arial MT"/>
          <w:sz w:val="11"/>
        </w:rPr>
      </w:pPr>
    </w:p>
    <w:p>
      <w:pPr>
        <w:spacing w:before="0"/>
        <w:ind w:left="54" w:right="687" w:firstLine="0"/>
        <w:jc w:val="center"/>
        <w:rPr>
          <w:rFonts w:ascii="Arial MT"/>
          <w:sz w:val="11"/>
        </w:rPr>
      </w:pPr>
      <w:r>
        <w:rPr>
          <w:rFonts w:ascii="Arial MT"/>
          <w:spacing w:val="-10"/>
          <w:w w:val="105"/>
          <w:sz w:val="11"/>
        </w:rPr>
        <w:t>O</w:t>
      </w:r>
    </w:p>
    <w:p>
      <w:pPr>
        <w:pStyle w:val="BodyText"/>
        <w:spacing w:before="4"/>
        <w:rPr>
          <w:rFonts w:ascii="Arial MT"/>
          <w:sz w:val="10"/>
        </w:rPr>
      </w:pPr>
      <w:r>
        <w:rPr/>
        <mc:AlternateContent>
          <mc:Choice Requires="wps">
            <w:drawing>
              <wp:anchor distT="0" distB="0" distL="0" distR="0" allowOverlap="1" layoutInCell="1" locked="0" behindDoc="1" simplePos="0" relativeHeight="487601664">
                <wp:simplePos x="0" y="0"/>
                <wp:positionH relativeFrom="page">
                  <wp:posOffset>3591805</wp:posOffset>
                </wp:positionH>
                <wp:positionV relativeFrom="paragraph">
                  <wp:posOffset>91382</wp:posOffset>
                </wp:positionV>
                <wp:extent cx="29845"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29845" cy="1270"/>
                        </a:xfrm>
                        <a:custGeom>
                          <a:avLst/>
                          <a:gdLst/>
                          <a:ahLst/>
                          <a:cxnLst/>
                          <a:rect l="l" t="t" r="r" b="b"/>
                          <a:pathLst>
                            <a:path w="29845" h="0">
                              <a:moveTo>
                                <a:pt x="0" y="0"/>
                              </a:moveTo>
                              <a:lnTo>
                                <a:pt x="29799" y="0"/>
                              </a:lnTo>
                            </a:path>
                          </a:pathLst>
                        </a:custGeom>
                        <a:ln w="57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2.819366pt;margin-top:7.195473pt;width:2.35pt;height:.1pt;mso-position-horizontal-relative:page;mso-position-vertical-relative:paragraph;z-index:-15714816;mso-wrap-distance-left:0;mso-wrap-distance-right:0" id="docshape50" coordorigin="5656,144" coordsize="47,0" path="m5656,144l5703,144e" filled="false" stroked="true" strokeweight=".454728pt" strokecolor="#000000">
                <v:path arrowok="t"/>
                <v:stroke dashstyle="solid"/>
                <w10:wrap type="topAndBottom"/>
              </v:shape>
            </w:pict>
          </mc:Fallback>
        </mc:AlternateContent>
      </w:r>
    </w:p>
    <w:p>
      <w:pPr>
        <w:spacing w:line="120" w:lineRule="exact" w:before="70"/>
        <w:ind w:left="687" w:right="633" w:firstLine="0"/>
        <w:jc w:val="center"/>
        <w:rPr>
          <w:rFonts w:ascii="Arial MT"/>
          <w:sz w:val="11"/>
        </w:rPr>
      </w:pPr>
      <w:r>
        <w:rPr>
          <w:rFonts w:ascii="Arial MT"/>
          <w:spacing w:val="-10"/>
          <w:w w:val="105"/>
          <w:sz w:val="11"/>
        </w:rPr>
        <w:t>O</w:t>
      </w:r>
    </w:p>
    <w:p>
      <w:pPr>
        <w:spacing w:line="143" w:lineRule="exact" w:before="0"/>
        <w:ind w:left="0" w:right="717" w:firstLine="0"/>
        <w:jc w:val="right"/>
        <w:rPr>
          <w:sz w:val="13"/>
        </w:rPr>
      </w:pPr>
      <w:r>
        <w:rPr/>
        <mc:AlternateContent>
          <mc:Choice Requires="wps">
            <w:drawing>
              <wp:anchor distT="0" distB="0" distL="0" distR="0" allowOverlap="1" layoutInCell="1" locked="0" behindDoc="0" simplePos="0" relativeHeight="15745024">
                <wp:simplePos x="0" y="0"/>
                <wp:positionH relativeFrom="page">
                  <wp:posOffset>2534814</wp:posOffset>
                </wp:positionH>
                <wp:positionV relativeFrom="paragraph">
                  <wp:posOffset>-216841</wp:posOffset>
                </wp:positionV>
                <wp:extent cx="941069" cy="56705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941069" cy="567055"/>
                          <a:chExt cx="941069" cy="567055"/>
                        </a:xfrm>
                      </wpg:grpSpPr>
                      <wps:wsp>
                        <wps:cNvPr id="64" name="Graphic 64"/>
                        <wps:cNvSpPr/>
                        <wps:spPr>
                          <a:xfrm>
                            <a:off x="3496" y="0"/>
                            <a:ext cx="937894" cy="563880"/>
                          </a:xfrm>
                          <a:custGeom>
                            <a:avLst/>
                            <a:gdLst/>
                            <a:ahLst/>
                            <a:cxnLst/>
                            <a:rect l="l" t="t" r="r" b="b"/>
                            <a:pathLst>
                              <a:path w="937894" h="563880">
                                <a:moveTo>
                                  <a:pt x="0" y="139828"/>
                                </a:moveTo>
                                <a:lnTo>
                                  <a:pt x="162846" y="234451"/>
                                </a:lnTo>
                              </a:path>
                              <a:path w="937894" h="563880">
                                <a:moveTo>
                                  <a:pt x="162846" y="234451"/>
                                </a:moveTo>
                                <a:lnTo>
                                  <a:pt x="162846" y="454666"/>
                                </a:lnTo>
                              </a:path>
                              <a:path w="937894" h="563880">
                                <a:moveTo>
                                  <a:pt x="162846" y="454666"/>
                                </a:moveTo>
                                <a:lnTo>
                                  <a:pt x="353761" y="563550"/>
                                </a:lnTo>
                              </a:path>
                              <a:path w="937894" h="563880">
                                <a:moveTo>
                                  <a:pt x="353761" y="563550"/>
                                </a:moveTo>
                                <a:lnTo>
                                  <a:pt x="544553" y="454666"/>
                                </a:lnTo>
                              </a:path>
                              <a:path w="937894" h="563880">
                                <a:moveTo>
                                  <a:pt x="544553" y="454666"/>
                                </a:moveTo>
                                <a:lnTo>
                                  <a:pt x="544553" y="234451"/>
                                </a:lnTo>
                              </a:path>
                              <a:path w="937894" h="563880">
                                <a:moveTo>
                                  <a:pt x="544553" y="234451"/>
                                </a:moveTo>
                                <a:lnTo>
                                  <a:pt x="353761" y="124356"/>
                                </a:lnTo>
                              </a:path>
                              <a:path w="937894" h="563880">
                                <a:moveTo>
                                  <a:pt x="517844" y="249923"/>
                                </a:moveTo>
                                <a:lnTo>
                                  <a:pt x="353761" y="155597"/>
                                </a:lnTo>
                              </a:path>
                              <a:path w="937894" h="563880">
                                <a:moveTo>
                                  <a:pt x="353761" y="124356"/>
                                </a:moveTo>
                                <a:lnTo>
                                  <a:pt x="162846" y="234451"/>
                                </a:lnTo>
                              </a:path>
                              <a:path w="937894" h="563880">
                                <a:moveTo>
                                  <a:pt x="544553" y="234451"/>
                                </a:moveTo>
                                <a:lnTo>
                                  <a:pt x="718404" y="188047"/>
                                </a:lnTo>
                              </a:path>
                              <a:path w="937894" h="563880">
                                <a:moveTo>
                                  <a:pt x="743876" y="138606"/>
                                </a:moveTo>
                                <a:lnTo>
                                  <a:pt x="743876" y="0"/>
                                </a:lnTo>
                              </a:path>
                              <a:path w="937894" h="563880">
                                <a:moveTo>
                                  <a:pt x="769471" y="138606"/>
                                </a:moveTo>
                                <a:lnTo>
                                  <a:pt x="769471" y="0"/>
                                </a:lnTo>
                              </a:path>
                              <a:path w="937894" h="563880">
                                <a:moveTo>
                                  <a:pt x="791976" y="178045"/>
                                </a:moveTo>
                                <a:lnTo>
                                  <a:pt x="937511" y="178045"/>
                                </a:lnTo>
                              </a:path>
                            </a:pathLst>
                          </a:custGeom>
                          <a:ln w="6995">
                            <a:solidFill>
                              <a:srgbClr val="000000"/>
                            </a:solidFill>
                            <a:prstDash val="solid"/>
                          </a:ln>
                        </wps:spPr>
                        <wps:bodyPr wrap="square" lIns="0" tIns="0" rIns="0" bIns="0" rtlCol="0">
                          <a:prstTxWarp prst="textNoShape">
                            <a:avLst/>
                          </a:prstTxWarp>
                          <a:noAutofit/>
                        </wps:bodyPr>
                      </wps:wsp>
                      <wps:wsp>
                        <wps:cNvPr id="65" name="Textbox 65"/>
                        <wps:cNvSpPr txBox="1"/>
                        <wps:spPr>
                          <a:xfrm>
                            <a:off x="734637" y="139660"/>
                            <a:ext cx="66040" cy="82550"/>
                          </a:xfrm>
                          <a:prstGeom prst="rect">
                            <a:avLst/>
                          </a:prstGeom>
                        </wps:spPr>
                        <wps:txbx>
                          <w:txbxContent>
                            <w:p>
                              <w:pPr>
                                <w:spacing w:before="1"/>
                                <w:ind w:left="0" w:right="0" w:firstLine="0"/>
                                <w:jc w:val="left"/>
                                <w:rPr>
                                  <w:rFonts w:ascii="Arial MT"/>
                                  <w:sz w:val="11"/>
                                </w:rPr>
                              </w:pPr>
                              <w:r>
                                <w:rPr>
                                  <w:rFonts w:ascii="Arial MT"/>
                                  <w:spacing w:val="-10"/>
                                  <w:w w:val="105"/>
                                  <w:sz w:val="11"/>
                                </w:rPr>
                                <w:t>N</w:t>
                              </w:r>
                            </w:p>
                          </w:txbxContent>
                        </wps:txbx>
                        <wps:bodyPr wrap="square" lIns="0" tIns="0" rIns="0" bIns="0" rtlCol="0">
                          <a:noAutofit/>
                        </wps:bodyPr>
                      </wps:wsp>
                    </wpg:wgp>
                  </a:graphicData>
                </a:graphic>
              </wp:anchor>
            </w:drawing>
          </mc:Choice>
          <mc:Fallback>
            <w:pict>
              <v:group style="position:absolute;margin-left:199.591675pt;margin-top:-17.07412pt;width:74.1pt;height:44.65pt;mso-position-horizontal-relative:page;mso-position-vertical-relative:paragraph;z-index:15745024" id="docshapegroup51" coordorigin="3992,-341" coordsize="1482,893">
                <v:shape style="position:absolute;left:3997;top:-342;width:1477;height:888" id="docshape52" coordorigin="3997,-341" coordsize="1477,888" path="m3997,-121l4254,28m4254,28l4254,375m4254,375l4554,546m4554,546l4855,375m4855,375l4855,28m4855,28l4554,-146m4813,52l4554,-96m4554,-146l4254,28m4855,28l5129,-45m5169,-123l5169,-341m5209,-123l5209,-341m5245,-61l5474,-61e" filled="false" stroked="true" strokeweight=".550846pt" strokecolor="#000000">
                  <v:path arrowok="t"/>
                  <v:stroke dashstyle="solid"/>
                </v:shape>
                <v:shape style="position:absolute;left:5148;top:-122;width:104;height:130" type="#_x0000_t202" id="docshape53" filled="false" stroked="false">
                  <v:textbox inset="0,0,0,0">
                    <w:txbxContent>
                      <w:p>
                        <w:pPr>
                          <w:spacing w:before="1"/>
                          <w:ind w:left="0" w:right="0" w:firstLine="0"/>
                          <w:jc w:val="left"/>
                          <w:rPr>
                            <w:rFonts w:ascii="Arial MT"/>
                            <w:sz w:val="11"/>
                          </w:rPr>
                        </w:pPr>
                        <w:r>
                          <w:rPr>
                            <w:rFonts w:ascii="Arial MT"/>
                            <w:spacing w:val="-10"/>
                            <w:w w:val="105"/>
                            <w:sz w:val="11"/>
                          </w:rPr>
                          <w:t>N</w:t>
                        </w:r>
                      </w:p>
                    </w:txbxContent>
                  </v:textbox>
                  <w10:wrap type="none"/>
                </v:shape>
                <w10:wrap type="none"/>
              </v:group>
            </w:pict>
          </mc:Fallback>
        </mc:AlternateContent>
      </w:r>
      <w:r>
        <w:rPr>
          <w:spacing w:val="-5"/>
          <w:w w:val="105"/>
          <w:sz w:val="13"/>
        </w:rPr>
        <w:t>HCL</w:t>
      </w:r>
    </w:p>
    <w:p>
      <w:pPr>
        <w:pStyle w:val="BodyText"/>
        <w:spacing w:before="21"/>
        <w:rPr>
          <w:sz w:val="13"/>
        </w:rPr>
      </w:pPr>
    </w:p>
    <w:p>
      <w:pPr>
        <w:spacing w:before="0"/>
        <w:ind w:left="1767" w:right="0" w:firstLine="0"/>
        <w:jc w:val="left"/>
        <w:rPr>
          <w:sz w:val="13"/>
        </w:rPr>
      </w:pPr>
      <w:r>
        <w:rPr>
          <w:spacing w:val="-2"/>
          <w:w w:val="105"/>
          <w:sz w:val="13"/>
        </w:rPr>
        <w:t>Diazotization</w:t>
      </w:r>
      <w:r>
        <w:rPr>
          <w:spacing w:val="16"/>
          <w:w w:val="105"/>
          <w:sz w:val="13"/>
        </w:rPr>
        <w:t> </w:t>
      </w:r>
      <w:r>
        <w:rPr>
          <w:spacing w:val="-2"/>
          <w:w w:val="105"/>
          <w:sz w:val="13"/>
        </w:rPr>
        <w:t>reaction</w:t>
      </w:r>
    </w:p>
    <w:p>
      <w:pPr>
        <w:spacing w:line="240" w:lineRule="auto" w:before="0"/>
        <w:rPr>
          <w:sz w:val="11"/>
        </w:rPr>
      </w:pPr>
      <w:r>
        <w:rPr/>
        <w:br w:type="column"/>
      </w:r>
      <w:r>
        <w:rPr>
          <w:sz w:val="11"/>
        </w:rPr>
      </w:r>
    </w:p>
    <w:p>
      <w:pPr>
        <w:pStyle w:val="BodyText"/>
        <w:spacing w:before="93"/>
        <w:rPr>
          <w:sz w:val="11"/>
        </w:rPr>
      </w:pPr>
    </w:p>
    <w:p>
      <w:pPr>
        <w:spacing w:line="655" w:lineRule="auto" w:before="0"/>
        <w:ind w:left="644" w:right="-8" w:firstLine="0"/>
        <w:jc w:val="left"/>
        <w:rPr>
          <w:rFonts w:ascii="Arial MT"/>
          <w:sz w:val="11"/>
        </w:rPr>
      </w:pPr>
      <w:r>
        <w:rPr>
          <w:rFonts w:ascii="Arial MT"/>
          <w:spacing w:val="-6"/>
          <w:w w:val="105"/>
          <w:sz w:val="11"/>
        </w:rPr>
        <w:t>NH</w:t>
      </w:r>
      <w:r>
        <w:rPr>
          <w:rFonts w:ascii="Arial MT"/>
          <w:spacing w:val="40"/>
          <w:w w:val="105"/>
          <w:sz w:val="11"/>
        </w:rPr>
        <w:t> </w:t>
      </w:r>
      <w:r>
        <w:rPr>
          <w:rFonts w:ascii="Arial MT"/>
          <w:spacing w:val="-10"/>
          <w:w w:val="105"/>
          <w:sz w:val="11"/>
        </w:rPr>
        <w:t>N</w:t>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105"/>
        <w:rPr>
          <w:rFonts w:ascii="Arial MT"/>
          <w:sz w:val="11"/>
        </w:rPr>
      </w:pPr>
    </w:p>
    <w:p>
      <w:pPr>
        <w:spacing w:before="0"/>
        <w:ind w:left="219" w:right="0" w:firstLine="0"/>
        <w:jc w:val="left"/>
        <w:rPr>
          <w:rFonts w:ascii="Arial MT"/>
          <w:sz w:val="11"/>
        </w:rPr>
      </w:pPr>
      <w:r>
        <w:rPr/>
        <mc:AlternateContent>
          <mc:Choice Requires="wps">
            <w:drawing>
              <wp:anchor distT="0" distB="0" distL="0" distR="0" allowOverlap="1" layoutInCell="1" locked="0" behindDoc="0" simplePos="0" relativeHeight="15745536">
                <wp:simplePos x="0" y="0"/>
                <wp:positionH relativeFrom="page">
                  <wp:posOffset>3654125</wp:posOffset>
                </wp:positionH>
                <wp:positionV relativeFrom="paragraph">
                  <wp:posOffset>-175594</wp:posOffset>
                </wp:positionV>
                <wp:extent cx="875665" cy="4000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875665" cy="40005"/>
                          <a:chExt cx="875665" cy="40005"/>
                        </a:xfrm>
                      </wpg:grpSpPr>
                      <wps:wsp>
                        <wps:cNvPr id="67" name="Graphic 67"/>
                        <wps:cNvSpPr/>
                        <wps:spPr>
                          <a:xfrm>
                            <a:off x="801744" y="0"/>
                            <a:ext cx="74295" cy="40005"/>
                          </a:xfrm>
                          <a:custGeom>
                            <a:avLst/>
                            <a:gdLst/>
                            <a:ahLst/>
                            <a:cxnLst/>
                            <a:rect l="l" t="t" r="r" b="b"/>
                            <a:pathLst>
                              <a:path w="74295" h="40005">
                                <a:moveTo>
                                  <a:pt x="0" y="0"/>
                                </a:moveTo>
                                <a:lnTo>
                                  <a:pt x="8531" y="21226"/>
                                </a:lnTo>
                                <a:lnTo>
                                  <a:pt x="0" y="39735"/>
                                </a:lnTo>
                                <a:lnTo>
                                  <a:pt x="73695" y="21226"/>
                                </a:lnTo>
                                <a:lnTo>
                                  <a:pt x="0"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7171" y="24115"/>
                            <a:ext cx="805180" cy="1270"/>
                          </a:xfrm>
                          <a:custGeom>
                            <a:avLst/>
                            <a:gdLst/>
                            <a:ahLst/>
                            <a:cxnLst/>
                            <a:rect l="l" t="t" r="r" b="b"/>
                            <a:pathLst>
                              <a:path w="805180" h="0">
                                <a:moveTo>
                                  <a:pt x="804835" y="0"/>
                                </a:moveTo>
                                <a:lnTo>
                                  <a:pt x="0" y="0"/>
                                </a:lnTo>
                              </a:path>
                            </a:pathLst>
                          </a:custGeom>
                          <a:ln w="1728">
                            <a:solidFill>
                              <a:srgbClr val="000000"/>
                            </a:solidFill>
                            <a:prstDash val="solid"/>
                          </a:ln>
                        </wps:spPr>
                        <wps:bodyPr wrap="square" lIns="0" tIns="0" rIns="0" bIns="0" rtlCol="0">
                          <a:prstTxWarp prst="textNoShape">
                            <a:avLst/>
                          </a:prstTxWarp>
                          <a:noAutofit/>
                        </wps:bodyPr>
                      </wps:wsp>
                      <wps:wsp>
                        <wps:cNvPr id="69" name="Graphic 69"/>
                        <wps:cNvSpPr/>
                        <wps:spPr>
                          <a:xfrm>
                            <a:off x="0" y="16991"/>
                            <a:ext cx="810260" cy="6985"/>
                          </a:xfrm>
                          <a:custGeom>
                            <a:avLst/>
                            <a:gdLst/>
                            <a:ahLst/>
                            <a:cxnLst/>
                            <a:rect l="l" t="t" r="r" b="b"/>
                            <a:pathLst>
                              <a:path w="810260" h="6985">
                                <a:moveTo>
                                  <a:pt x="810226" y="0"/>
                                </a:moveTo>
                                <a:lnTo>
                                  <a:pt x="0" y="0"/>
                                </a:lnTo>
                                <a:lnTo>
                                  <a:pt x="0" y="6976"/>
                                </a:lnTo>
                                <a:lnTo>
                                  <a:pt x="810226" y="6976"/>
                                </a:lnTo>
                                <a:lnTo>
                                  <a:pt x="8102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87.72641pt;margin-top:-13.826336pt;width:68.95pt;height:3.15pt;mso-position-horizontal-relative:page;mso-position-vertical-relative:paragraph;z-index:15745536" id="docshapegroup54" coordorigin="5755,-277" coordsize="1379,63">
                <v:shape style="position:absolute;left:7017;top:-277;width:117;height:63" id="docshape55" coordorigin="7017,-277" coordsize="117,63" path="m7017,-277l7031,-243,7017,-214,7133,-243,7017,-277xe" filled="true" fillcolor="#000000" stroked="false">
                  <v:path arrowok="t"/>
                  <v:fill type="solid"/>
                </v:shape>
                <v:line style="position:absolute" from="7033,-239" to="5766,-239" stroked="true" strokeweight=".13612pt" strokecolor="#000000">
                  <v:stroke dashstyle="solid"/>
                </v:line>
                <v:rect style="position:absolute;left:5754;top:-250;width:1276;height:11" id="docshape56"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4749503</wp:posOffset>
                </wp:positionH>
                <wp:positionV relativeFrom="paragraph">
                  <wp:posOffset>-711413</wp:posOffset>
                </wp:positionV>
                <wp:extent cx="713740" cy="75311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713740" cy="753110"/>
                          <a:chExt cx="713740" cy="753110"/>
                        </a:xfrm>
                      </wpg:grpSpPr>
                      <wps:wsp>
                        <wps:cNvPr id="71" name="Graphic 71"/>
                        <wps:cNvSpPr/>
                        <wps:spPr>
                          <a:xfrm>
                            <a:off x="3496" y="3496"/>
                            <a:ext cx="706755" cy="746125"/>
                          </a:xfrm>
                          <a:custGeom>
                            <a:avLst/>
                            <a:gdLst/>
                            <a:ahLst/>
                            <a:cxnLst/>
                            <a:rect l="l" t="t" r="r" b="b"/>
                            <a:pathLst>
                              <a:path w="706755" h="746125">
                                <a:moveTo>
                                  <a:pt x="151223" y="416757"/>
                                </a:moveTo>
                                <a:lnTo>
                                  <a:pt x="151223" y="635453"/>
                                </a:lnTo>
                              </a:path>
                              <a:path w="706755" h="746125">
                                <a:moveTo>
                                  <a:pt x="151223" y="635453"/>
                                </a:moveTo>
                                <a:lnTo>
                                  <a:pt x="342014" y="745548"/>
                                </a:lnTo>
                              </a:path>
                              <a:path w="706755" h="746125">
                                <a:moveTo>
                                  <a:pt x="178055" y="621500"/>
                                </a:moveTo>
                                <a:lnTo>
                                  <a:pt x="342014" y="716135"/>
                                </a:lnTo>
                              </a:path>
                              <a:path w="706755" h="746125">
                                <a:moveTo>
                                  <a:pt x="342014" y="745548"/>
                                </a:moveTo>
                                <a:lnTo>
                                  <a:pt x="531446" y="635453"/>
                                </a:lnTo>
                              </a:path>
                              <a:path w="706755" h="746125">
                                <a:moveTo>
                                  <a:pt x="531446" y="635453"/>
                                </a:moveTo>
                                <a:lnTo>
                                  <a:pt x="531446" y="416757"/>
                                </a:lnTo>
                              </a:path>
                              <a:path w="706755" h="746125">
                                <a:moveTo>
                                  <a:pt x="506098" y="621500"/>
                                </a:moveTo>
                                <a:lnTo>
                                  <a:pt x="506098" y="432229"/>
                                </a:lnTo>
                              </a:path>
                              <a:path w="706755" h="746125">
                                <a:moveTo>
                                  <a:pt x="531446" y="416757"/>
                                </a:moveTo>
                                <a:lnTo>
                                  <a:pt x="342014" y="306354"/>
                                </a:lnTo>
                              </a:path>
                              <a:path w="706755" h="746125">
                                <a:moveTo>
                                  <a:pt x="342014" y="306354"/>
                                </a:moveTo>
                                <a:lnTo>
                                  <a:pt x="151223" y="416757"/>
                                </a:lnTo>
                              </a:path>
                              <a:path w="706755" h="746125">
                                <a:moveTo>
                                  <a:pt x="342014" y="337594"/>
                                </a:moveTo>
                                <a:lnTo>
                                  <a:pt x="178055" y="432229"/>
                                </a:lnTo>
                              </a:path>
                              <a:path w="706755" h="746125">
                                <a:moveTo>
                                  <a:pt x="151223" y="635453"/>
                                </a:moveTo>
                                <a:lnTo>
                                  <a:pt x="0" y="723111"/>
                                </a:lnTo>
                              </a:path>
                              <a:path w="706755" h="746125">
                                <a:moveTo>
                                  <a:pt x="342014" y="306354"/>
                                </a:moveTo>
                                <a:lnTo>
                                  <a:pt x="342014" y="128616"/>
                                </a:lnTo>
                              </a:path>
                              <a:path w="706755" h="746125">
                                <a:moveTo>
                                  <a:pt x="303683" y="64913"/>
                                </a:moveTo>
                                <a:lnTo>
                                  <a:pt x="190791" y="0"/>
                                </a:lnTo>
                              </a:path>
                              <a:path w="706755" h="746125">
                                <a:moveTo>
                                  <a:pt x="289711" y="87658"/>
                                </a:moveTo>
                                <a:lnTo>
                                  <a:pt x="178055" y="22757"/>
                                </a:lnTo>
                              </a:path>
                              <a:path w="706755" h="746125">
                                <a:moveTo>
                                  <a:pt x="531446" y="416757"/>
                                </a:moveTo>
                                <a:lnTo>
                                  <a:pt x="706657" y="370045"/>
                                </a:lnTo>
                              </a:path>
                            </a:pathLst>
                          </a:custGeom>
                          <a:ln w="6995">
                            <a:solidFill>
                              <a:srgbClr val="000000"/>
                            </a:solidFill>
                            <a:prstDash val="solid"/>
                          </a:ln>
                        </wps:spPr>
                        <wps:bodyPr wrap="square" lIns="0" tIns="0" rIns="0" bIns="0" rtlCol="0">
                          <a:prstTxWarp prst="textNoShape">
                            <a:avLst/>
                          </a:prstTxWarp>
                          <a:noAutofit/>
                        </wps:bodyPr>
                      </wps:wsp>
                      <wps:wsp>
                        <wps:cNvPr id="72" name="Textbox 72"/>
                        <wps:cNvSpPr txBox="1"/>
                        <wps:spPr>
                          <a:xfrm>
                            <a:off x="320039" y="52782"/>
                            <a:ext cx="66040" cy="82550"/>
                          </a:xfrm>
                          <a:prstGeom prst="rect">
                            <a:avLst/>
                          </a:prstGeom>
                        </wps:spPr>
                        <wps:txbx>
                          <w:txbxContent>
                            <w:p>
                              <w:pPr>
                                <w:spacing w:before="1"/>
                                <w:ind w:left="0" w:right="0" w:firstLine="0"/>
                                <w:jc w:val="left"/>
                                <w:rPr>
                                  <w:rFonts w:ascii="Arial MT"/>
                                  <w:sz w:val="11"/>
                                </w:rPr>
                              </w:pPr>
                              <w:r>
                                <w:rPr>
                                  <w:rFonts w:ascii="Arial MT"/>
                                  <w:spacing w:val="-10"/>
                                  <w:w w:val="105"/>
                                  <w:sz w:val="11"/>
                                </w:rPr>
                                <w:t>N</w:t>
                              </w:r>
                            </w:p>
                          </w:txbxContent>
                        </wps:txbx>
                        <wps:bodyPr wrap="square" lIns="0" tIns="0" rIns="0" bIns="0" rtlCol="0">
                          <a:noAutofit/>
                        </wps:bodyPr>
                      </wps:wsp>
                    </wpg:wgp>
                  </a:graphicData>
                </a:graphic>
              </wp:anchor>
            </w:drawing>
          </mc:Choice>
          <mc:Fallback>
            <w:pict>
              <v:group style="position:absolute;margin-left:373.976624pt;margin-top:-56.016846pt;width:56.2pt;height:59.3pt;mso-position-horizontal-relative:page;mso-position-vertical-relative:paragraph;z-index:15746048" id="docshapegroup57" coordorigin="7480,-1120" coordsize="1124,1186">
                <v:shape style="position:absolute;left:7485;top:-1115;width:1113;height:1175" id="docshape58" coordorigin="7485,-1115" coordsize="1113,1175" path="m7723,-459l7723,-114m7723,-114l8024,59m7765,-136l8024,13m8024,59l8322,-114m8322,-114l8322,-459m8282,-136l8282,-434m8322,-459l8024,-632m8024,-632l7723,-459m8024,-583l7765,-434m7723,-114l7485,24m8024,-632l8024,-912m7963,-1013l7785,-1115m7941,-977l7765,-1079m8322,-459l8598,-532e" filled="false" stroked="true" strokeweight=".550846pt" strokecolor="#000000">
                  <v:path arrowok="t"/>
                  <v:stroke dashstyle="solid"/>
                </v:shape>
                <v:shape style="position:absolute;left:7983;top:-1038;width:104;height:130" type="#_x0000_t202" id="docshape59" filled="false" stroked="false">
                  <v:textbox inset="0,0,0,0">
                    <w:txbxContent>
                      <w:p>
                        <w:pPr>
                          <w:spacing w:before="1"/>
                          <w:ind w:left="0" w:right="0" w:firstLine="0"/>
                          <w:jc w:val="left"/>
                          <w:rPr>
                            <w:rFonts w:ascii="Arial MT"/>
                            <w:sz w:val="11"/>
                          </w:rPr>
                        </w:pPr>
                        <w:r>
                          <w:rPr>
                            <w:rFonts w:ascii="Arial MT"/>
                            <w:spacing w:val="-10"/>
                            <w:w w:val="105"/>
                            <w:sz w:val="11"/>
                          </w:rPr>
                          <w:t>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4904223</wp:posOffset>
                </wp:positionH>
                <wp:positionV relativeFrom="paragraph">
                  <wp:posOffset>-908399</wp:posOffset>
                </wp:positionV>
                <wp:extent cx="1270" cy="13843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1270" cy="138430"/>
                        </a:xfrm>
                        <a:custGeom>
                          <a:avLst/>
                          <a:gdLst/>
                          <a:ahLst/>
                          <a:cxnLst/>
                          <a:rect l="l" t="t" r="r" b="b"/>
                          <a:pathLst>
                            <a:path w="0" h="138430">
                              <a:moveTo>
                                <a:pt x="0" y="138310"/>
                              </a:moveTo>
                              <a:lnTo>
                                <a:pt x="0" y="0"/>
                              </a:lnTo>
                            </a:path>
                          </a:pathLst>
                        </a:custGeom>
                        <a:ln w="70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386.159302pt,-60.636969pt" to="386.159302pt,-71.527527pt" stroked="true" strokeweight=".551224pt" strokecolor="#000000">
                <v:stroke dashstyle="solid"/>
                <w10:wrap type="none"/>
              </v:line>
            </w:pict>
          </mc:Fallback>
        </mc:AlternateContent>
      </w:r>
      <w:r>
        <w:rPr/>
        <mc:AlternateContent>
          <mc:Choice Requires="wps">
            <w:drawing>
              <wp:anchor distT="0" distB="0" distL="0" distR="0" allowOverlap="1" layoutInCell="1" locked="0" behindDoc="0" simplePos="0" relativeHeight="15748096">
                <wp:simplePos x="0" y="0"/>
                <wp:positionH relativeFrom="page">
                  <wp:posOffset>4307366</wp:posOffset>
                </wp:positionH>
                <wp:positionV relativeFrom="paragraph">
                  <wp:posOffset>-1392061</wp:posOffset>
                </wp:positionV>
                <wp:extent cx="562610" cy="44640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562610" cy="446405"/>
                          <a:chExt cx="562610" cy="446405"/>
                        </a:xfrm>
                      </wpg:grpSpPr>
                      <wps:wsp>
                        <wps:cNvPr id="75" name="Graphic 75"/>
                        <wps:cNvSpPr/>
                        <wps:spPr>
                          <a:xfrm>
                            <a:off x="25595" y="3496"/>
                            <a:ext cx="533400" cy="439420"/>
                          </a:xfrm>
                          <a:custGeom>
                            <a:avLst/>
                            <a:gdLst/>
                            <a:ahLst/>
                            <a:cxnLst/>
                            <a:rect l="l" t="t" r="r" b="b"/>
                            <a:pathLst>
                              <a:path w="533400" h="439420">
                                <a:moveTo>
                                  <a:pt x="532929" y="416745"/>
                                </a:moveTo>
                                <a:lnTo>
                                  <a:pt x="380099" y="329074"/>
                                </a:lnTo>
                              </a:path>
                              <a:path w="533400" h="439420">
                                <a:moveTo>
                                  <a:pt x="380099" y="329074"/>
                                </a:moveTo>
                                <a:lnTo>
                                  <a:pt x="380099" y="108909"/>
                                </a:lnTo>
                              </a:path>
                              <a:path w="533400" h="439420">
                                <a:moveTo>
                                  <a:pt x="354874" y="313639"/>
                                </a:moveTo>
                                <a:lnTo>
                                  <a:pt x="354874" y="124344"/>
                                </a:lnTo>
                              </a:path>
                              <a:path w="533400" h="439420">
                                <a:moveTo>
                                  <a:pt x="380099" y="108909"/>
                                </a:moveTo>
                                <a:lnTo>
                                  <a:pt x="190791" y="0"/>
                                </a:lnTo>
                              </a:path>
                              <a:path w="533400" h="439420">
                                <a:moveTo>
                                  <a:pt x="190791" y="0"/>
                                </a:moveTo>
                                <a:lnTo>
                                  <a:pt x="39567" y="86189"/>
                                </a:lnTo>
                              </a:path>
                              <a:path w="533400" h="439420">
                                <a:moveTo>
                                  <a:pt x="190791" y="29758"/>
                                </a:moveTo>
                                <a:lnTo>
                                  <a:pt x="52303" y="110391"/>
                                </a:lnTo>
                              </a:path>
                              <a:path w="533400" h="439420">
                                <a:moveTo>
                                  <a:pt x="0" y="149904"/>
                                </a:moveTo>
                                <a:lnTo>
                                  <a:pt x="0" y="329074"/>
                                </a:lnTo>
                              </a:path>
                              <a:path w="533400" h="439420">
                                <a:moveTo>
                                  <a:pt x="0" y="329074"/>
                                </a:moveTo>
                                <a:lnTo>
                                  <a:pt x="190791" y="439218"/>
                                </a:lnTo>
                              </a:path>
                              <a:path w="533400" h="439420">
                                <a:moveTo>
                                  <a:pt x="26708" y="313639"/>
                                </a:moveTo>
                                <a:lnTo>
                                  <a:pt x="190791" y="408225"/>
                                </a:lnTo>
                              </a:path>
                              <a:path w="533400" h="439420">
                                <a:moveTo>
                                  <a:pt x="190791" y="439218"/>
                                </a:moveTo>
                                <a:lnTo>
                                  <a:pt x="380099" y="329074"/>
                                </a:lnTo>
                              </a:path>
                            </a:pathLst>
                          </a:custGeom>
                          <a:ln w="6995">
                            <a:solidFill>
                              <a:srgbClr val="000000"/>
                            </a:solidFill>
                            <a:prstDash val="solid"/>
                          </a:ln>
                        </wps:spPr>
                        <wps:bodyPr wrap="square" lIns="0" tIns="0" rIns="0" bIns="0" rtlCol="0">
                          <a:prstTxWarp prst="textNoShape">
                            <a:avLst/>
                          </a:prstTxWarp>
                          <a:noAutofit/>
                        </wps:bodyPr>
                      </wps:wsp>
                      <wps:wsp>
                        <wps:cNvPr id="76" name="Textbox 76"/>
                        <wps:cNvSpPr txBox="1"/>
                        <wps:spPr>
                          <a:xfrm>
                            <a:off x="0" y="73971"/>
                            <a:ext cx="66040" cy="82550"/>
                          </a:xfrm>
                          <a:prstGeom prst="rect">
                            <a:avLst/>
                          </a:prstGeom>
                        </wps:spPr>
                        <wps:txbx>
                          <w:txbxContent>
                            <w:p>
                              <w:pPr>
                                <w:spacing w:before="1"/>
                                <w:ind w:left="0" w:right="0" w:firstLine="0"/>
                                <w:jc w:val="left"/>
                                <w:rPr>
                                  <w:rFonts w:ascii="Arial MT"/>
                                  <w:sz w:val="11"/>
                                </w:rPr>
                              </w:pPr>
                              <w:r>
                                <w:rPr>
                                  <w:rFonts w:ascii="Arial MT"/>
                                  <w:spacing w:val="-10"/>
                                  <w:w w:val="105"/>
                                  <w:sz w:val="11"/>
                                </w:rPr>
                                <w:t>N</w:t>
                              </w:r>
                            </w:p>
                          </w:txbxContent>
                        </wps:txbx>
                        <wps:bodyPr wrap="square" lIns="0" tIns="0" rIns="0" bIns="0" rtlCol="0">
                          <a:noAutofit/>
                        </wps:bodyPr>
                      </wps:wsp>
                    </wpg:wgp>
                  </a:graphicData>
                </a:graphic>
              </wp:anchor>
            </w:drawing>
          </mc:Choice>
          <mc:Fallback>
            <w:pict>
              <v:group style="position:absolute;margin-left:339.16272pt;margin-top:-109.611107pt;width:44.3pt;height:35.15pt;mso-position-horizontal-relative:page;mso-position-vertical-relative:paragraph;z-index:15748096" id="docshapegroup60" coordorigin="6783,-2192" coordsize="886,703">
                <v:shape style="position:absolute;left:6823;top:-2187;width:840;height:692" id="docshape61" coordorigin="6824,-2187" coordsize="840,692" path="m7663,-1530l7422,-1668m7422,-1668l7422,-2015m7382,-1693l7382,-1991m7422,-2015l7124,-2187m7124,-2187l6886,-2051m7124,-2140l6906,-2013m6824,-1951l6824,-1668m6824,-1668l7124,-1495m6866,-1693l7124,-1544m7124,-1495l7422,-1668e" filled="false" stroked="true" strokeweight=".550846pt" strokecolor="#000000">
                  <v:path arrowok="t"/>
                  <v:stroke dashstyle="solid"/>
                </v:shape>
                <v:shape style="position:absolute;left:6783;top:-2076;width:104;height:130" type="#_x0000_t202" id="docshape62" filled="false" stroked="false">
                  <v:textbox inset="0,0,0,0">
                    <w:txbxContent>
                      <w:p>
                        <w:pPr>
                          <w:spacing w:before="1"/>
                          <w:ind w:left="0" w:right="0" w:firstLine="0"/>
                          <w:jc w:val="left"/>
                          <w:rPr>
                            <w:rFonts w:ascii="Arial MT"/>
                            <w:sz w:val="11"/>
                          </w:rPr>
                        </w:pPr>
                        <w:r>
                          <w:rPr>
                            <w:rFonts w:ascii="Arial MT"/>
                            <w:spacing w:val="-10"/>
                            <w:w w:val="105"/>
                            <w:sz w:val="11"/>
                          </w:rPr>
                          <w:t>N</w:t>
                        </w:r>
                      </w:p>
                    </w:txbxContent>
                  </v:textbox>
                  <w10:wrap type="none"/>
                </v:shape>
                <w10:wrap type="none"/>
              </v:group>
            </w:pict>
          </mc:Fallback>
        </mc:AlternateContent>
      </w:r>
      <w:r>
        <w:rPr>
          <w:rFonts w:ascii="Arial MT"/>
          <w:spacing w:val="-5"/>
          <w:w w:val="105"/>
          <w:sz w:val="11"/>
        </w:rPr>
        <w:t>H</w:t>
      </w:r>
      <w:r>
        <w:rPr>
          <w:rFonts w:ascii="Arial MT"/>
          <w:spacing w:val="-5"/>
          <w:w w:val="105"/>
          <w:position w:val="-2"/>
          <w:sz w:val="7"/>
        </w:rPr>
        <w:t>2</w:t>
      </w:r>
      <w:r>
        <w:rPr>
          <w:rFonts w:ascii="Arial MT"/>
          <w:spacing w:val="-5"/>
          <w:w w:val="105"/>
          <w:sz w:val="11"/>
        </w:rPr>
        <w:t>N</w:t>
      </w:r>
    </w:p>
    <w:p>
      <w:pPr>
        <w:spacing w:line="240" w:lineRule="auto" w:before="0"/>
        <w:rPr>
          <w:rFonts w:ascii="Arial MT"/>
          <w:sz w:val="11"/>
        </w:rPr>
      </w:pPr>
      <w:r>
        <w:rPr/>
        <w:br w:type="column"/>
      </w:r>
      <w:r>
        <w:rPr>
          <w:rFonts w:ascii="Arial MT"/>
          <w:sz w:val="11"/>
        </w:rPr>
      </w: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rPr>
          <w:rFonts w:ascii="Arial MT"/>
          <w:sz w:val="11"/>
        </w:rPr>
      </w:pPr>
    </w:p>
    <w:p>
      <w:pPr>
        <w:pStyle w:val="BodyText"/>
        <w:spacing w:before="29"/>
        <w:rPr>
          <w:rFonts w:ascii="Arial MT"/>
          <w:sz w:val="11"/>
        </w:rPr>
      </w:pPr>
    </w:p>
    <w:p>
      <w:pPr>
        <w:spacing w:before="0"/>
        <w:ind w:left="0" w:right="0" w:firstLine="0"/>
        <w:jc w:val="right"/>
        <w:rPr>
          <w:rFonts w:ascii="Arial MT"/>
          <w:sz w:val="11"/>
        </w:rPr>
      </w:pPr>
      <w:r>
        <w:rPr>
          <w:rFonts w:ascii="Arial MT"/>
          <w:spacing w:val="-5"/>
          <w:w w:val="105"/>
          <w:sz w:val="11"/>
        </w:rPr>
        <w:t>CH</w:t>
      </w:r>
      <w:r>
        <w:rPr>
          <w:rFonts w:ascii="Arial MT"/>
          <w:spacing w:val="-5"/>
          <w:w w:val="105"/>
          <w:sz w:val="11"/>
          <w:vertAlign w:val="subscript"/>
        </w:rPr>
        <w:t>2</w:t>
      </w:r>
    </w:p>
    <w:p>
      <w:pPr>
        <w:spacing w:line="240" w:lineRule="auto" w:before="0"/>
        <w:rPr>
          <w:rFonts w:ascii="Arial MT"/>
          <w:sz w:val="11"/>
        </w:rPr>
      </w:pPr>
      <w:r>
        <w:rPr/>
        <w:br w:type="column"/>
      </w:r>
      <w:r>
        <w:rPr>
          <w:rFonts w:ascii="Arial MT"/>
          <w:sz w:val="11"/>
        </w:rPr>
      </w:r>
    </w:p>
    <w:p>
      <w:pPr>
        <w:pStyle w:val="BodyText"/>
        <w:rPr>
          <w:rFonts w:ascii="Arial MT"/>
          <w:sz w:val="11"/>
        </w:rPr>
      </w:pPr>
    </w:p>
    <w:p>
      <w:pPr>
        <w:pStyle w:val="BodyText"/>
        <w:spacing w:before="109"/>
        <w:rPr>
          <w:rFonts w:ascii="Arial MT"/>
          <w:sz w:val="11"/>
        </w:rPr>
      </w:pPr>
    </w:p>
    <w:p>
      <w:pPr>
        <w:spacing w:line="655" w:lineRule="auto" w:before="0"/>
        <w:ind w:left="1146" w:right="2055" w:firstLine="0"/>
        <w:jc w:val="left"/>
        <w:rPr>
          <w:rFonts w:ascii="Arial MT"/>
          <w:sz w:val="11"/>
        </w:rPr>
      </w:pPr>
      <w:r>
        <w:rPr>
          <w:rFonts w:ascii="Arial MT"/>
          <w:spacing w:val="-6"/>
          <w:w w:val="105"/>
          <w:sz w:val="11"/>
        </w:rPr>
        <w:t>NH</w:t>
      </w:r>
      <w:r>
        <w:rPr>
          <w:rFonts w:ascii="Arial MT"/>
          <w:spacing w:val="40"/>
          <w:w w:val="105"/>
          <w:sz w:val="11"/>
        </w:rPr>
        <w:t> </w:t>
      </w:r>
      <w:r>
        <w:rPr>
          <w:rFonts w:ascii="Arial MT"/>
          <w:spacing w:val="-10"/>
          <w:w w:val="105"/>
          <w:sz w:val="11"/>
        </w:rPr>
        <w:t>N</w:t>
      </w:r>
    </w:p>
    <w:p>
      <w:pPr>
        <w:pStyle w:val="BodyText"/>
        <w:rPr>
          <w:rFonts w:ascii="Arial MT"/>
          <w:sz w:val="11"/>
        </w:rPr>
      </w:pPr>
    </w:p>
    <w:p>
      <w:pPr>
        <w:pStyle w:val="BodyText"/>
        <w:spacing w:before="104"/>
        <w:rPr>
          <w:rFonts w:ascii="Arial MT"/>
          <w:sz w:val="11"/>
        </w:rPr>
      </w:pPr>
    </w:p>
    <w:p>
      <w:pPr>
        <w:spacing w:before="0"/>
        <w:ind w:left="121" w:right="0" w:firstLine="0"/>
        <w:jc w:val="center"/>
        <w:rPr>
          <w:sz w:val="13"/>
        </w:rPr>
      </w:pPr>
      <w:r>
        <w:rPr/>
        <mc:AlternateContent>
          <mc:Choice Requires="wps">
            <w:drawing>
              <wp:anchor distT="0" distB="0" distL="0" distR="0" allowOverlap="1" layoutInCell="1" locked="0" behindDoc="0" simplePos="0" relativeHeight="15746560">
                <wp:simplePos x="0" y="0"/>
                <wp:positionH relativeFrom="page">
                  <wp:posOffset>5613320</wp:posOffset>
                </wp:positionH>
                <wp:positionV relativeFrom="paragraph">
                  <wp:posOffset>-367583</wp:posOffset>
                </wp:positionV>
                <wp:extent cx="808990" cy="60706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808990" cy="607060"/>
                          <a:chExt cx="808990" cy="607060"/>
                        </a:xfrm>
                      </wpg:grpSpPr>
                      <wps:wsp>
                        <wps:cNvPr id="78" name="Graphic 78"/>
                        <wps:cNvSpPr/>
                        <wps:spPr>
                          <a:xfrm>
                            <a:off x="3495" y="0"/>
                            <a:ext cx="765175" cy="603250"/>
                          </a:xfrm>
                          <a:custGeom>
                            <a:avLst/>
                            <a:gdLst/>
                            <a:ahLst/>
                            <a:cxnLst/>
                            <a:rect l="l" t="t" r="r" b="b"/>
                            <a:pathLst>
                              <a:path w="765175" h="603250">
                                <a:moveTo>
                                  <a:pt x="0" y="283596"/>
                                </a:moveTo>
                                <a:lnTo>
                                  <a:pt x="185350" y="333038"/>
                                </a:lnTo>
                              </a:path>
                              <a:path w="765175" h="603250">
                                <a:moveTo>
                                  <a:pt x="185350" y="333038"/>
                                </a:moveTo>
                                <a:lnTo>
                                  <a:pt x="241858" y="546263"/>
                                </a:lnTo>
                              </a:path>
                              <a:path w="765175" h="603250">
                                <a:moveTo>
                                  <a:pt x="241858" y="546263"/>
                                </a:moveTo>
                                <a:lnTo>
                                  <a:pt x="455278" y="602990"/>
                                </a:lnTo>
                              </a:path>
                              <a:path w="765175" h="603250">
                                <a:moveTo>
                                  <a:pt x="455278" y="602990"/>
                                </a:moveTo>
                                <a:lnTo>
                                  <a:pt x="609345" y="447393"/>
                                </a:lnTo>
                              </a:path>
                              <a:path w="765175" h="603250">
                                <a:moveTo>
                                  <a:pt x="609345" y="447393"/>
                                </a:moveTo>
                                <a:lnTo>
                                  <a:pt x="552961" y="235674"/>
                                </a:lnTo>
                              </a:path>
                              <a:path w="765175" h="603250">
                                <a:moveTo>
                                  <a:pt x="552961" y="235674"/>
                                </a:moveTo>
                                <a:lnTo>
                                  <a:pt x="340778" y="177737"/>
                                </a:lnTo>
                              </a:path>
                              <a:path w="765175" h="603250">
                                <a:moveTo>
                                  <a:pt x="531693" y="256900"/>
                                </a:moveTo>
                                <a:lnTo>
                                  <a:pt x="349310" y="207471"/>
                                </a:lnTo>
                              </a:path>
                              <a:path w="765175" h="603250">
                                <a:moveTo>
                                  <a:pt x="340778" y="177737"/>
                                </a:moveTo>
                                <a:lnTo>
                                  <a:pt x="185350" y="333038"/>
                                </a:lnTo>
                              </a:path>
                              <a:path w="765175" h="603250">
                                <a:moveTo>
                                  <a:pt x="552961" y="235674"/>
                                </a:moveTo>
                                <a:lnTo>
                                  <a:pt x="726812" y="189270"/>
                                </a:lnTo>
                              </a:path>
                              <a:path w="765175" h="603250">
                                <a:moveTo>
                                  <a:pt x="764773" y="139828"/>
                                </a:moveTo>
                                <a:lnTo>
                                  <a:pt x="764773" y="0"/>
                                </a:lnTo>
                              </a:path>
                              <a:path w="765175" h="603250">
                                <a:moveTo>
                                  <a:pt x="739548" y="139828"/>
                                </a:moveTo>
                                <a:lnTo>
                                  <a:pt x="739548" y="0"/>
                                </a:lnTo>
                              </a:path>
                            </a:pathLst>
                          </a:custGeom>
                          <a:ln w="6995">
                            <a:solidFill>
                              <a:srgbClr val="000000"/>
                            </a:solidFill>
                            <a:prstDash val="solid"/>
                          </a:ln>
                        </wps:spPr>
                        <wps:bodyPr wrap="square" lIns="0" tIns="0" rIns="0" bIns="0" rtlCol="0">
                          <a:prstTxWarp prst="textNoShape">
                            <a:avLst/>
                          </a:prstTxWarp>
                          <a:noAutofit/>
                        </wps:bodyPr>
                      </wps:wsp>
                      <wps:wsp>
                        <wps:cNvPr id="79" name="Textbox 79"/>
                        <wps:cNvSpPr txBox="1"/>
                        <wps:spPr>
                          <a:xfrm>
                            <a:off x="743044" y="140883"/>
                            <a:ext cx="66040" cy="82550"/>
                          </a:xfrm>
                          <a:prstGeom prst="rect">
                            <a:avLst/>
                          </a:prstGeom>
                        </wps:spPr>
                        <wps:txbx>
                          <w:txbxContent>
                            <w:p>
                              <w:pPr>
                                <w:spacing w:before="1"/>
                                <w:ind w:left="0" w:right="0" w:firstLine="0"/>
                                <w:jc w:val="left"/>
                                <w:rPr>
                                  <w:rFonts w:ascii="Arial MT"/>
                                  <w:sz w:val="11"/>
                                </w:rPr>
                              </w:pPr>
                              <w:r>
                                <w:rPr>
                                  <w:rFonts w:ascii="Arial MT"/>
                                  <w:spacing w:val="-10"/>
                                  <w:w w:val="105"/>
                                  <w:sz w:val="11"/>
                                </w:rPr>
                                <w:t>N</w:t>
                              </w:r>
                            </w:p>
                          </w:txbxContent>
                        </wps:txbx>
                        <wps:bodyPr wrap="square" lIns="0" tIns="0" rIns="0" bIns="0" rtlCol="0">
                          <a:noAutofit/>
                        </wps:bodyPr>
                      </wps:wsp>
                      <wps:wsp>
                        <wps:cNvPr id="80" name="Textbox 80"/>
                        <wps:cNvSpPr txBox="1"/>
                        <wps:spPr>
                          <a:xfrm>
                            <a:off x="692224" y="411416"/>
                            <a:ext cx="61594" cy="95885"/>
                          </a:xfrm>
                          <a:prstGeom prst="rect">
                            <a:avLst/>
                          </a:prstGeom>
                        </wps:spPr>
                        <wps:txbx>
                          <w:txbxContent>
                            <w:p>
                              <w:pPr>
                                <w:spacing w:line="149" w:lineRule="exact" w:before="0"/>
                                <w:ind w:left="0" w:right="0" w:firstLine="0"/>
                                <w:jc w:val="left"/>
                                <w:rPr>
                                  <w:sz w:val="13"/>
                                </w:rPr>
                              </w:pPr>
                              <w:r>
                                <w:rPr>
                                  <w:spacing w:val="-10"/>
                                  <w:w w:val="105"/>
                                  <w:sz w:val="13"/>
                                </w:rPr>
                                <w:t>+</w:t>
                              </w:r>
                            </w:p>
                          </w:txbxContent>
                        </wps:txbx>
                        <wps:bodyPr wrap="square" lIns="0" tIns="0" rIns="0" bIns="0" rtlCol="0">
                          <a:noAutofit/>
                        </wps:bodyPr>
                      </wps:wsp>
                    </wpg:wgp>
                  </a:graphicData>
                </a:graphic>
              </wp:anchor>
            </w:drawing>
          </mc:Choice>
          <mc:Fallback>
            <w:pict>
              <v:group style="position:absolute;margin-left:441.993744pt;margin-top:-28.943552pt;width:63.7pt;height:47.8pt;mso-position-horizontal-relative:page;mso-position-vertical-relative:paragraph;z-index:15746560" id="docshapegroup63" coordorigin="8840,-579" coordsize="1274,956">
                <v:shape style="position:absolute;left:8845;top:-579;width:1205;height:950" id="docshape64" coordorigin="8845,-579" coordsize="1205,950" path="m8845,-132l9137,-54m9137,-54l9226,281m9226,281l9562,371m9562,371l9805,126m9805,126l9716,-208m9716,-208l9382,-299m9683,-174l9395,-252m9382,-299l9137,-54m9716,-208l9990,-281m10050,-359l10050,-579m10010,-359l10010,-579e" filled="false" stroked="true" strokeweight=".550846pt" strokecolor="#000000">
                  <v:path arrowok="t"/>
                  <v:stroke dashstyle="solid"/>
                </v:shape>
                <v:shape style="position:absolute;left:10010;top:-357;width:104;height:130" type="#_x0000_t202" id="docshape65" filled="false" stroked="false">
                  <v:textbox inset="0,0,0,0">
                    <w:txbxContent>
                      <w:p>
                        <w:pPr>
                          <w:spacing w:before="1"/>
                          <w:ind w:left="0" w:right="0" w:firstLine="0"/>
                          <w:jc w:val="left"/>
                          <w:rPr>
                            <w:rFonts w:ascii="Arial MT"/>
                            <w:sz w:val="11"/>
                          </w:rPr>
                        </w:pPr>
                        <w:r>
                          <w:rPr>
                            <w:rFonts w:ascii="Arial MT"/>
                            <w:spacing w:val="-10"/>
                            <w:w w:val="105"/>
                            <w:sz w:val="11"/>
                          </w:rPr>
                          <w:t>N</w:t>
                        </w:r>
                      </w:p>
                    </w:txbxContent>
                  </v:textbox>
                  <w10:wrap type="none"/>
                </v:shape>
                <v:shape style="position:absolute;left:9930;top:69;width:97;height:151" type="#_x0000_t202" id="docshape66" filled="false" stroked="false">
                  <v:textbox inset="0,0,0,0">
                    <w:txbxContent>
                      <w:p>
                        <w:pPr>
                          <w:spacing w:line="149" w:lineRule="exact" w:before="0"/>
                          <w:ind w:left="0" w:right="0" w:firstLine="0"/>
                          <w:jc w:val="left"/>
                          <w:rPr>
                            <w:sz w:val="13"/>
                          </w:rPr>
                        </w:pPr>
                        <w:r>
                          <w:rPr>
                            <w:spacing w:val="-10"/>
                            <w:w w:val="105"/>
                            <w:sz w:val="13"/>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6381589</wp:posOffset>
                </wp:positionH>
                <wp:positionV relativeFrom="paragraph">
                  <wp:posOffset>-586575</wp:posOffset>
                </wp:positionV>
                <wp:extent cx="1270" cy="13843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270" cy="138430"/>
                        </a:xfrm>
                        <a:custGeom>
                          <a:avLst/>
                          <a:gdLst/>
                          <a:ahLst/>
                          <a:cxnLst/>
                          <a:rect l="l" t="t" r="r" b="b"/>
                          <a:pathLst>
                            <a:path w="0" h="138430">
                              <a:moveTo>
                                <a:pt x="0" y="138310"/>
                              </a:moveTo>
                              <a:lnTo>
                                <a:pt x="0" y="0"/>
                              </a:lnTo>
                            </a:path>
                          </a:pathLst>
                        </a:custGeom>
                        <a:ln w="70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502.487335pt,-35.296458pt" to="502.487335pt,-46.187016pt" stroked="true" strokeweight=".551224pt" strokecolor="#000000">
                <v:stroke dashstyle="solid"/>
                <w10:wrap type="none"/>
              </v:line>
            </w:pict>
          </mc:Fallback>
        </mc:AlternateContent>
      </w:r>
      <w:r>
        <w:rPr>
          <w:spacing w:val="-4"/>
          <w:w w:val="105"/>
          <w:sz w:val="13"/>
        </w:rPr>
        <w:t>2H2O</w:t>
      </w:r>
    </w:p>
    <w:p>
      <w:pPr>
        <w:spacing w:after="0"/>
        <w:jc w:val="center"/>
        <w:rPr>
          <w:sz w:val="13"/>
        </w:rPr>
        <w:sectPr>
          <w:type w:val="continuous"/>
          <w:pgSz w:w="12240" w:h="15840"/>
          <w:pgMar w:header="0" w:footer="1015" w:top="1360" w:bottom="1200" w:left="240" w:right="0"/>
          <w:cols w:num="7" w:equalWidth="0">
            <w:col w:w="2131" w:space="40"/>
            <w:col w:w="266" w:space="39"/>
            <w:col w:w="1260" w:space="40"/>
            <w:col w:w="2983" w:space="39"/>
            <w:col w:w="811" w:space="40"/>
            <w:col w:w="935" w:space="40"/>
            <w:col w:w="3376"/>
          </w:cols>
        </w:sectPr>
      </w:pPr>
    </w:p>
    <w:p>
      <w:pPr>
        <w:pStyle w:val="BodyText"/>
        <w:spacing w:before="32"/>
        <w:rPr>
          <w:sz w:val="13"/>
        </w:rPr>
      </w:pPr>
    </w:p>
    <w:p>
      <w:pPr>
        <w:tabs>
          <w:tab w:pos="8298" w:val="left" w:leader="none"/>
        </w:tabs>
        <w:spacing w:before="0"/>
        <w:ind w:left="2370" w:right="0" w:firstLine="0"/>
        <w:jc w:val="left"/>
        <w:rPr>
          <w:sz w:val="13"/>
        </w:rPr>
      </w:pPr>
      <w:r>
        <w:rPr>
          <w:spacing w:val="2"/>
          <w:sz w:val="13"/>
        </w:rPr>
        <w:t>4,4-methylene-bis-m-nitro </w:t>
      </w:r>
      <w:r>
        <w:rPr>
          <w:spacing w:val="-2"/>
          <w:sz w:val="13"/>
        </w:rPr>
        <w:t>aniline</w:t>
      </w:r>
      <w:r>
        <w:rPr>
          <w:sz w:val="13"/>
        </w:rPr>
        <w:tab/>
        <w:t>Purple</w:t>
      </w:r>
      <w:r>
        <w:rPr>
          <w:spacing w:val="14"/>
          <w:sz w:val="13"/>
        </w:rPr>
        <w:t> </w:t>
      </w:r>
      <w:r>
        <w:rPr>
          <w:spacing w:val="-2"/>
          <w:sz w:val="13"/>
        </w:rPr>
        <w:t>colour</w:t>
      </w:r>
    </w:p>
    <w:p>
      <w:pPr>
        <w:pStyle w:val="BodyText"/>
        <w:spacing w:before="2"/>
      </w:pPr>
    </w:p>
    <w:p>
      <w:pPr>
        <w:pStyle w:val="BodyText"/>
        <w:ind w:left="1200"/>
        <w:jc w:val="both"/>
      </w:pPr>
      <w:r>
        <w:rPr/>
        <w:t>…</w:t>
      </w:r>
      <w:r>
        <w:rPr>
          <w:spacing w:val="59"/>
          <w:w w:val="150"/>
        </w:rPr>
        <w:t>    </w:t>
      </w:r>
      <w:r>
        <w:rPr/>
        <w:t>equation</w:t>
      </w:r>
      <w:r>
        <w:rPr>
          <w:spacing w:val="2"/>
        </w:rPr>
        <w:t> </w:t>
      </w:r>
      <w:r>
        <w:rPr>
          <w:spacing w:val="-4"/>
        </w:rPr>
        <w:t>2.10</w:t>
      </w:r>
    </w:p>
    <w:p>
      <w:pPr>
        <w:pStyle w:val="BodyText"/>
        <w:spacing w:before="240"/>
      </w:pPr>
    </w:p>
    <w:p>
      <w:pPr>
        <w:pStyle w:val="BodyText"/>
        <w:spacing w:line="480" w:lineRule="auto"/>
        <w:ind w:left="1200" w:right="1434"/>
        <w:jc w:val="both"/>
      </w:pPr>
      <w:r>
        <w:rPr/>
        <mc:AlternateContent>
          <mc:Choice Requires="wps">
            <w:drawing>
              <wp:anchor distT="0" distB="0" distL="0" distR="0" allowOverlap="1" layoutInCell="1" locked="0" behindDoc="1" simplePos="0" relativeHeight="487602176">
                <wp:simplePos x="0" y="0"/>
                <wp:positionH relativeFrom="page">
                  <wp:posOffset>915161</wp:posOffset>
                </wp:positionH>
                <wp:positionV relativeFrom="paragraph">
                  <wp:posOffset>1057494</wp:posOffset>
                </wp:positionV>
                <wp:extent cx="5953125" cy="2095500"/>
                <wp:effectExtent l="0" t="0" r="0" b="0"/>
                <wp:wrapTopAndBottom/>
                <wp:docPr id="82" name="Group 82"/>
                <wp:cNvGraphicFramePr>
                  <a:graphicFrameLocks/>
                </wp:cNvGraphicFramePr>
                <a:graphic>
                  <a:graphicData uri="http://schemas.microsoft.com/office/word/2010/wordprocessingGroup">
                    <wpg:wgp>
                      <wpg:cNvPr id="82" name="Group 82"/>
                      <wpg:cNvGrpSpPr/>
                      <wpg:grpSpPr>
                        <a:xfrm>
                          <a:off x="0" y="0"/>
                          <a:ext cx="5953125" cy="2095500"/>
                          <a:chExt cx="5953125" cy="2095500"/>
                        </a:xfrm>
                      </wpg:grpSpPr>
                      <pic:pic>
                        <pic:nvPicPr>
                          <pic:cNvPr id="83" name="Image 83"/>
                          <pic:cNvPicPr/>
                        </pic:nvPicPr>
                        <pic:blipFill>
                          <a:blip r:embed="rId12" cstate="print"/>
                          <a:stretch>
                            <a:fillRect/>
                          </a:stretch>
                        </pic:blipFill>
                        <pic:spPr>
                          <a:xfrm>
                            <a:off x="0" y="0"/>
                            <a:ext cx="5742493" cy="2095455"/>
                          </a:xfrm>
                          <a:prstGeom prst="rect">
                            <a:avLst/>
                          </a:prstGeom>
                        </pic:spPr>
                      </pic:pic>
                      <wps:wsp>
                        <wps:cNvPr id="84" name="Textbox 84"/>
                        <wps:cNvSpPr txBox="1"/>
                        <wps:spPr>
                          <a:xfrm>
                            <a:off x="5553920" y="1850730"/>
                            <a:ext cx="63500" cy="99695"/>
                          </a:xfrm>
                          <a:prstGeom prst="rect">
                            <a:avLst/>
                          </a:prstGeom>
                        </wps:spPr>
                        <wps:txbx>
                          <w:txbxContent>
                            <w:p>
                              <w:pPr>
                                <w:spacing w:line="156" w:lineRule="exact" w:before="0"/>
                                <w:ind w:left="0" w:right="0" w:firstLine="0"/>
                                <w:jc w:val="left"/>
                                <w:rPr>
                                  <w:sz w:val="14"/>
                                </w:rPr>
                              </w:pPr>
                              <w:r>
                                <w:rPr>
                                  <w:spacing w:val="-10"/>
                                  <w:sz w:val="14"/>
                                </w:rPr>
                                <w:t>+</w:t>
                              </w:r>
                            </w:p>
                          </w:txbxContent>
                        </wps:txbx>
                        <wps:bodyPr wrap="square" lIns="0" tIns="0" rIns="0" bIns="0" rtlCol="0">
                          <a:noAutofit/>
                        </wps:bodyPr>
                      </wps:wsp>
                      <wps:wsp>
                        <wps:cNvPr id="85" name="Textbox 85"/>
                        <wps:cNvSpPr txBox="1"/>
                        <wps:spPr>
                          <a:xfrm>
                            <a:off x="5718847" y="1822650"/>
                            <a:ext cx="234315" cy="99695"/>
                          </a:xfrm>
                          <a:prstGeom prst="rect">
                            <a:avLst/>
                          </a:prstGeom>
                        </wps:spPr>
                        <wps:txbx>
                          <w:txbxContent>
                            <w:p>
                              <w:pPr>
                                <w:spacing w:line="156" w:lineRule="exact" w:before="0"/>
                                <w:ind w:left="0" w:right="0" w:firstLine="0"/>
                                <w:jc w:val="left"/>
                                <w:rPr>
                                  <w:sz w:val="14"/>
                                </w:rPr>
                              </w:pPr>
                              <w:r>
                                <w:rPr>
                                  <w:spacing w:val="-4"/>
                                  <w:sz w:val="14"/>
                                </w:rPr>
                                <w:t>2H2O</w:t>
                              </w:r>
                            </w:p>
                          </w:txbxContent>
                        </wps:txbx>
                        <wps:bodyPr wrap="square" lIns="0" tIns="0" rIns="0" bIns="0" rtlCol="0">
                          <a:noAutofit/>
                        </wps:bodyPr>
                      </wps:wsp>
                    </wpg:wgp>
                  </a:graphicData>
                </a:graphic>
              </wp:anchor>
            </w:drawing>
          </mc:Choice>
          <mc:Fallback>
            <w:pict>
              <v:group style="position:absolute;margin-left:72.059998pt;margin-top:83.267311pt;width:468.75pt;height:165pt;mso-position-horizontal-relative:page;mso-position-vertical-relative:paragraph;z-index:-15714304;mso-wrap-distance-left:0;mso-wrap-distance-right:0" id="docshapegroup67" coordorigin="1441,1665" coordsize="9375,3300">
                <v:shape style="position:absolute;left:1441;top:1665;width:9044;height:3300" type="#_x0000_t75" id="docshape68" stroked="false">
                  <v:imagedata r:id="rId12" o:title=""/>
                </v:shape>
                <v:shape style="position:absolute;left:10187;top:4579;width:100;height:157" type="#_x0000_t202" id="docshape69" filled="false" stroked="false">
                  <v:textbox inset="0,0,0,0">
                    <w:txbxContent>
                      <w:p>
                        <w:pPr>
                          <w:spacing w:line="156" w:lineRule="exact" w:before="0"/>
                          <w:ind w:left="0" w:right="0" w:firstLine="0"/>
                          <w:jc w:val="left"/>
                          <w:rPr>
                            <w:sz w:val="14"/>
                          </w:rPr>
                        </w:pPr>
                        <w:r>
                          <w:rPr>
                            <w:spacing w:val="-10"/>
                            <w:sz w:val="14"/>
                          </w:rPr>
                          <w:t>+</w:t>
                        </w:r>
                      </w:p>
                    </w:txbxContent>
                  </v:textbox>
                  <w10:wrap type="none"/>
                </v:shape>
                <v:shape style="position:absolute;left:10447;top:4535;width:369;height:157" type="#_x0000_t202" id="docshape70" filled="false" stroked="false">
                  <v:textbox inset="0,0,0,0">
                    <w:txbxContent>
                      <w:p>
                        <w:pPr>
                          <w:spacing w:line="156" w:lineRule="exact" w:before="0"/>
                          <w:ind w:left="0" w:right="0" w:firstLine="0"/>
                          <w:jc w:val="left"/>
                          <w:rPr>
                            <w:sz w:val="14"/>
                          </w:rPr>
                        </w:pPr>
                        <w:r>
                          <w:rPr>
                            <w:spacing w:val="-4"/>
                            <w:sz w:val="14"/>
                          </w:rPr>
                          <w:t>2H2O</w:t>
                        </w:r>
                      </w:p>
                    </w:txbxContent>
                  </v:textbox>
                  <w10:wrap type="none"/>
                </v:shape>
                <w10:wrap type="topAndBottom"/>
              </v:group>
            </w:pict>
          </mc:Fallback>
        </mc:AlternateContent>
      </w:r>
      <w:r>
        <w:rPr/>
        <w:t>The diazotization</w:t>
      </w:r>
      <w:r>
        <w:rPr>
          <w:spacing w:val="-1"/>
        </w:rPr>
        <w:t> </w:t>
      </w:r>
      <w:r>
        <w:rPr/>
        <w:t>of</w:t>
      </w:r>
      <w:r>
        <w:rPr>
          <w:spacing w:val="-3"/>
        </w:rPr>
        <w:t> </w:t>
      </w:r>
      <w:r>
        <w:rPr/>
        <w:t>4, 4</w:t>
      </w:r>
      <w:r>
        <w:rPr>
          <w:spacing w:val="-4"/>
        </w:rPr>
        <w:t> </w:t>
      </w:r>
      <w:r>
        <w:rPr/>
        <w:t>sulphonyldianiline</w:t>
      </w:r>
      <w:r>
        <w:rPr>
          <w:spacing w:val="-2"/>
        </w:rPr>
        <w:t> </w:t>
      </w:r>
      <w:r>
        <w:rPr/>
        <w:t>(dapsone) followed by coupling with isoniazid in NaOH medium to formed diazo-dye with</w:t>
      </w:r>
      <w:r>
        <w:rPr>
          <w:spacing w:val="-2"/>
        </w:rPr>
        <w:t> </w:t>
      </w:r>
      <w:r>
        <w:rPr/>
        <w:t>λmaxat 460 nm is also complex(Padmarajaiah</w:t>
      </w:r>
      <w:r>
        <w:rPr>
          <w:i/>
        </w:rPr>
        <w:t>et al., </w:t>
      </w:r>
      <w:r>
        <w:rPr>
          <w:spacing w:val="-2"/>
        </w:rPr>
        <w:t>2002).</w:t>
      </w:r>
    </w:p>
    <w:p>
      <w:pPr>
        <w:pStyle w:val="BodyText"/>
        <w:tabs>
          <w:tab w:pos="2040" w:val="left" w:leader="dot"/>
        </w:tabs>
        <w:spacing w:before="261"/>
        <w:ind w:left="1200"/>
      </w:pPr>
      <w:r>
        <w:rPr>
          <w:spacing w:val="-10"/>
        </w:rPr>
        <w:t>…</w:t>
      </w:r>
      <w:r>
        <w:rPr/>
        <w:tab/>
        <w:t>equation</w:t>
      </w:r>
      <w:r>
        <w:rPr>
          <w:spacing w:val="-2"/>
        </w:rPr>
        <w:t> </w:t>
      </w:r>
      <w:r>
        <w:rPr>
          <w:spacing w:val="-4"/>
        </w:rPr>
        <w:t>2.11</w:t>
      </w:r>
    </w:p>
    <w:p>
      <w:pPr>
        <w:pStyle w:val="BodyText"/>
      </w:pPr>
    </w:p>
    <w:p>
      <w:pPr>
        <w:pStyle w:val="BodyText"/>
        <w:spacing w:line="480" w:lineRule="auto"/>
        <w:ind w:left="1200" w:right="1431"/>
      </w:pPr>
      <w:r>
        <w:rPr/>
        <w:t>Two other methods were developed based on reaction of isoniazid with epichlorohydrine (EPI) and</w:t>
      </w:r>
      <w:r>
        <w:rPr>
          <w:spacing w:val="38"/>
        </w:rPr>
        <w:t> </w:t>
      </w:r>
      <w:r>
        <w:rPr/>
        <w:t>4-hydroxyphenacylchloride</w:t>
      </w:r>
      <w:r>
        <w:rPr>
          <w:spacing w:val="40"/>
        </w:rPr>
        <w:t> </w:t>
      </w:r>
      <w:r>
        <w:rPr/>
        <w:t>(HPC)</w:t>
      </w:r>
      <w:r>
        <w:rPr>
          <w:spacing w:val="40"/>
        </w:rPr>
        <w:t> </w:t>
      </w:r>
      <w:r>
        <w:rPr/>
        <w:t>in</w:t>
      </w:r>
      <w:r>
        <w:rPr>
          <w:spacing w:val="41"/>
        </w:rPr>
        <w:t> </w:t>
      </w:r>
      <w:r>
        <w:rPr/>
        <w:t>NaOH</w:t>
      </w:r>
      <w:r>
        <w:rPr>
          <w:spacing w:val="42"/>
        </w:rPr>
        <w:t> </w:t>
      </w:r>
      <w:r>
        <w:rPr/>
        <w:t>medium</w:t>
      </w:r>
      <w:r>
        <w:rPr>
          <w:spacing w:val="41"/>
        </w:rPr>
        <w:t> </w:t>
      </w:r>
      <w:r>
        <w:rPr/>
        <w:t>to</w:t>
      </w:r>
      <w:r>
        <w:rPr>
          <w:spacing w:val="41"/>
        </w:rPr>
        <w:t> </w:t>
      </w:r>
      <w:r>
        <w:rPr/>
        <w:t>form</w:t>
      </w:r>
      <w:r>
        <w:rPr>
          <w:spacing w:val="43"/>
        </w:rPr>
        <w:t> </w:t>
      </w:r>
      <w:r>
        <w:rPr/>
        <w:t>yellow</w:t>
      </w:r>
      <w:r>
        <w:rPr>
          <w:spacing w:val="40"/>
        </w:rPr>
        <w:t> </w:t>
      </w:r>
      <w:r>
        <w:rPr/>
        <w:t>colored</w:t>
      </w:r>
      <w:r>
        <w:rPr>
          <w:spacing w:val="41"/>
        </w:rPr>
        <w:t> </w:t>
      </w:r>
      <w:r>
        <w:rPr>
          <w:spacing w:val="-2"/>
        </w:rPr>
        <w:t>chromogen</w:t>
      </w:r>
    </w:p>
    <w:p>
      <w:pPr>
        <w:spacing w:after="0" w:line="480" w:lineRule="auto"/>
        <w:sectPr>
          <w:type w:val="continuous"/>
          <w:pgSz w:w="12240" w:h="15840"/>
          <w:pgMar w:header="0" w:footer="1015" w:top="1360" w:bottom="1200" w:left="240" w:right="0"/>
        </w:sectPr>
      </w:pPr>
    </w:p>
    <w:p>
      <w:pPr>
        <w:pStyle w:val="BodyText"/>
        <w:spacing w:line="480" w:lineRule="auto" w:before="72"/>
        <w:ind w:left="1200" w:right="1431"/>
      </w:pPr>
      <w:r>
        <w:rPr/>
        <w:t>with λmax at 405 and 402 nm for EPI and HPC respectively (Divya</w:t>
      </w:r>
      <w:r>
        <w:rPr>
          <w:i/>
        </w:rPr>
        <w:t>et al., </w:t>
      </w:r>
      <w:r>
        <w:rPr/>
        <w:t>2011). This method is also complex.</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8"/>
        <w:rPr>
          <w:sz w:val="14"/>
        </w:rPr>
      </w:pPr>
    </w:p>
    <w:p>
      <w:pPr>
        <w:spacing w:before="0"/>
        <w:ind w:left="3741" w:right="0" w:firstLine="0"/>
        <w:jc w:val="center"/>
        <w:rPr>
          <w:sz w:val="14"/>
        </w:rPr>
      </w:pPr>
      <w:r>
        <w:rPr/>
        <mc:AlternateContent>
          <mc:Choice Requires="wps">
            <w:drawing>
              <wp:anchor distT="0" distB="0" distL="0" distR="0" allowOverlap="1" layoutInCell="1" locked="0" behindDoc="0" simplePos="0" relativeHeight="15749120">
                <wp:simplePos x="0" y="0"/>
                <wp:positionH relativeFrom="page">
                  <wp:posOffset>915161</wp:posOffset>
                </wp:positionH>
                <wp:positionV relativeFrom="paragraph">
                  <wp:posOffset>-683742</wp:posOffset>
                </wp:positionV>
                <wp:extent cx="3912235" cy="143891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3912235" cy="1438910"/>
                          <a:chExt cx="3912235" cy="1438910"/>
                        </a:xfrm>
                      </wpg:grpSpPr>
                      <pic:pic>
                        <pic:nvPicPr>
                          <pic:cNvPr id="87" name="Image 87"/>
                          <pic:cNvPicPr/>
                        </pic:nvPicPr>
                        <pic:blipFill>
                          <a:blip r:embed="rId13" cstate="print"/>
                          <a:stretch>
                            <a:fillRect/>
                          </a:stretch>
                        </pic:blipFill>
                        <pic:spPr>
                          <a:xfrm>
                            <a:off x="0" y="0"/>
                            <a:ext cx="3911833" cy="1438452"/>
                          </a:xfrm>
                          <a:prstGeom prst="rect">
                            <a:avLst/>
                          </a:prstGeom>
                        </pic:spPr>
                      </pic:pic>
                      <wps:wsp>
                        <wps:cNvPr id="88" name="Textbox 88"/>
                        <wps:cNvSpPr txBox="1"/>
                        <wps:spPr>
                          <a:xfrm>
                            <a:off x="3822151" y="701998"/>
                            <a:ext cx="65405" cy="103505"/>
                          </a:xfrm>
                          <a:prstGeom prst="rect">
                            <a:avLst/>
                          </a:prstGeom>
                        </wps:spPr>
                        <wps:txbx>
                          <w:txbxContent>
                            <w:p>
                              <w:pPr>
                                <w:spacing w:before="0"/>
                                <w:ind w:left="0" w:right="0" w:firstLine="0"/>
                                <w:jc w:val="left"/>
                                <w:rPr>
                                  <w:sz w:val="14"/>
                                </w:rPr>
                              </w:pPr>
                              <w:r>
                                <w:rPr>
                                  <w:spacing w:val="-10"/>
                                  <w:w w:val="105"/>
                                  <w:sz w:val="14"/>
                                </w:rPr>
                                <w:t>+</w:t>
                              </w:r>
                            </w:p>
                          </w:txbxContent>
                        </wps:txbx>
                        <wps:bodyPr wrap="square" lIns="0" tIns="0" rIns="0" bIns="0" rtlCol="0">
                          <a:noAutofit/>
                        </wps:bodyPr>
                      </wps:wsp>
                    </wpg:wgp>
                  </a:graphicData>
                </a:graphic>
              </wp:anchor>
            </w:drawing>
          </mc:Choice>
          <mc:Fallback>
            <w:pict>
              <v:group style="position:absolute;margin-left:72.059998pt;margin-top:-53.83802pt;width:308.05pt;height:113.3pt;mso-position-horizontal-relative:page;mso-position-vertical-relative:paragraph;z-index:15749120" id="docshapegroup71" coordorigin="1441,-1077" coordsize="6161,2266">
                <v:shape style="position:absolute;left:1441;top:-1077;width:6161;height:2266" type="#_x0000_t75" id="docshape72" stroked="false">
                  <v:imagedata r:id="rId13" o:title=""/>
                </v:shape>
                <v:shape style="position:absolute;left:7460;top:28;width:103;height:163" type="#_x0000_t202" id="docshape73" filled="false" stroked="false">
                  <v:textbox inset="0,0,0,0">
                    <w:txbxContent>
                      <w:p>
                        <w:pPr>
                          <w:spacing w:before="0"/>
                          <w:ind w:left="0" w:right="0" w:firstLine="0"/>
                          <w:jc w:val="left"/>
                          <w:rPr>
                            <w:sz w:val="14"/>
                          </w:rPr>
                        </w:pPr>
                        <w:r>
                          <w:rPr>
                            <w:spacing w:val="-10"/>
                            <w:w w:val="105"/>
                            <w:sz w:val="14"/>
                          </w:rPr>
                          <w:t>+</w:t>
                        </w:r>
                      </w:p>
                    </w:txbxContent>
                  </v:textbox>
                  <w10:wrap type="none"/>
                </v:shape>
                <w10:wrap type="none"/>
              </v:group>
            </w:pict>
          </mc:Fallback>
        </mc:AlternateContent>
      </w:r>
      <w:r>
        <w:rPr>
          <w:spacing w:val="-5"/>
          <w:w w:val="105"/>
          <w:sz w:val="14"/>
        </w:rPr>
        <w:t>H20</w:t>
      </w:r>
    </w:p>
    <w:p>
      <w:pPr>
        <w:pStyle w:val="BodyText"/>
      </w:pPr>
    </w:p>
    <w:p>
      <w:pPr>
        <w:pStyle w:val="BodyText"/>
      </w:pPr>
    </w:p>
    <w:p>
      <w:pPr>
        <w:pStyle w:val="BodyText"/>
      </w:pPr>
    </w:p>
    <w:p>
      <w:pPr>
        <w:pStyle w:val="BodyText"/>
        <w:spacing w:before="215"/>
      </w:pPr>
    </w:p>
    <w:p>
      <w:pPr>
        <w:pStyle w:val="BodyText"/>
        <w:ind w:left="1260"/>
        <w:jc w:val="both"/>
      </w:pPr>
      <w:r>
        <w:rPr/>
        <w:t>………equation</w:t>
      </w:r>
      <w:r>
        <w:rPr>
          <w:spacing w:val="-2"/>
        </w:rPr>
        <w:t> </w:t>
      </w:r>
      <w:r>
        <w:rPr>
          <w:spacing w:val="-4"/>
        </w:rPr>
        <w:t>2.12</w:t>
      </w:r>
    </w:p>
    <w:p>
      <w:pPr>
        <w:pStyle w:val="BodyText"/>
      </w:pPr>
    </w:p>
    <w:p>
      <w:pPr>
        <w:pStyle w:val="BodyText"/>
        <w:spacing w:line="480" w:lineRule="auto"/>
        <w:ind w:left="1200" w:right="1436"/>
        <w:jc w:val="both"/>
      </w:pPr>
      <w:r>
        <w:rPr/>
        <w:drawing>
          <wp:anchor distT="0" distB="0" distL="0" distR="0" allowOverlap="1" layoutInCell="1" locked="0" behindDoc="0" simplePos="0" relativeHeight="15749632">
            <wp:simplePos x="0" y="0"/>
            <wp:positionH relativeFrom="page">
              <wp:posOffset>915161</wp:posOffset>
            </wp:positionH>
            <wp:positionV relativeFrom="paragraph">
              <wp:posOffset>1055735</wp:posOffset>
            </wp:positionV>
            <wp:extent cx="5141253" cy="990571"/>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4" cstate="print"/>
                    <a:stretch>
                      <a:fillRect/>
                    </a:stretch>
                  </pic:blipFill>
                  <pic:spPr>
                    <a:xfrm>
                      <a:off x="0" y="0"/>
                      <a:ext cx="5141253" cy="990571"/>
                    </a:xfrm>
                    <a:prstGeom prst="rect">
                      <a:avLst/>
                    </a:prstGeom>
                  </pic:spPr>
                </pic:pic>
              </a:graphicData>
            </a:graphic>
          </wp:anchor>
        </w:drawing>
      </w:r>
      <w:r>
        <w:rPr/>
        <w:t>The reaction of isoniazid with carbon disulfide in methanol medium followed by addition of uranyl acetate to form yellow colored uranylisonicotinyldisthiocarbazate complex with λmax at 410 nm (Kumar et al., 2011). This method lacks readily available reagents.</w:t>
      </w:r>
    </w:p>
    <w:p>
      <w:pPr>
        <w:pStyle w:val="BodyText"/>
      </w:pPr>
    </w:p>
    <w:p>
      <w:pPr>
        <w:pStyle w:val="BodyText"/>
      </w:pPr>
    </w:p>
    <w:p>
      <w:pPr>
        <w:pStyle w:val="BodyText"/>
        <w:spacing w:before="217"/>
      </w:pPr>
    </w:p>
    <w:p>
      <w:pPr>
        <w:tabs>
          <w:tab w:pos="466" w:val="left" w:leader="none"/>
        </w:tabs>
        <w:spacing w:before="0"/>
        <w:ind w:left="0" w:right="1793" w:firstLine="0"/>
        <w:jc w:val="right"/>
        <w:rPr>
          <w:sz w:val="14"/>
        </w:rPr>
      </w:pPr>
      <w:r>
        <w:rPr>
          <w:spacing w:val="-10"/>
          <w:w w:val="105"/>
          <w:position w:val="-4"/>
          <w:sz w:val="14"/>
        </w:rPr>
        <w:t>+</w:t>
      </w:r>
      <w:r>
        <w:rPr>
          <w:position w:val="-4"/>
          <w:sz w:val="14"/>
        </w:rPr>
        <w:tab/>
      </w:r>
      <w:r>
        <w:rPr>
          <w:spacing w:val="-4"/>
          <w:w w:val="105"/>
          <w:sz w:val="14"/>
        </w:rPr>
        <w:t>2H2S</w:t>
      </w:r>
    </w:p>
    <w:p>
      <w:pPr>
        <w:pStyle w:val="BodyText"/>
        <w:rPr>
          <w:sz w:val="14"/>
        </w:rPr>
      </w:pPr>
    </w:p>
    <w:p>
      <w:pPr>
        <w:pStyle w:val="BodyText"/>
        <w:rPr>
          <w:sz w:val="14"/>
        </w:rPr>
      </w:pPr>
    </w:p>
    <w:p>
      <w:pPr>
        <w:pStyle w:val="BodyText"/>
        <w:spacing w:before="98"/>
        <w:rPr>
          <w:sz w:val="14"/>
        </w:rPr>
      </w:pPr>
    </w:p>
    <w:p>
      <w:pPr>
        <w:pStyle w:val="BodyText"/>
        <w:ind w:left="1200"/>
        <w:jc w:val="both"/>
      </w:pPr>
      <w:r>
        <w:rPr/>
        <w:t>………equation</w:t>
      </w:r>
      <w:r>
        <w:rPr>
          <w:spacing w:val="-2"/>
        </w:rPr>
        <w:t> </w:t>
      </w:r>
      <w:r>
        <w:rPr>
          <w:spacing w:val="-4"/>
        </w:rPr>
        <w:t>2.13</w:t>
      </w:r>
    </w:p>
    <w:p>
      <w:pPr>
        <w:pStyle w:val="BodyText"/>
      </w:pPr>
    </w:p>
    <w:p>
      <w:pPr>
        <w:pStyle w:val="BodyText"/>
        <w:spacing w:line="480" w:lineRule="auto"/>
        <w:ind w:left="1200" w:right="1438"/>
        <w:jc w:val="both"/>
      </w:pPr>
      <w:r>
        <w:rPr/>
        <w:t>Another method was developed from aliquots of standard stock solution of different concentrations ranging from 100-600 µg/mLtransferred to a series of 50 mL volumetric flasks. To each flask 5 mL of ethanolic p-dimethylaminobenzaldehyde (p-DAB) solution was added. The volume was then made up with distilled water and the absorbance of the yellow colored Chromogen was measured at 395 nm against the reagent blank. The amount of isoniazid was computed from the calibration curve obtained by plotting concentration versus absorbance.</w:t>
      </w:r>
    </w:p>
    <w:p>
      <w:pPr>
        <w:pStyle w:val="BodyText"/>
        <w:spacing w:line="480" w:lineRule="auto"/>
        <w:ind w:left="1200" w:right="1440"/>
        <w:jc w:val="both"/>
      </w:pPr>
      <w:r>
        <w:rPr/>
        <w:t>Pure powder and tablet of isoniazid was successfully analyzed by this method (Niraimathi</w:t>
      </w:r>
      <w:r>
        <w:rPr>
          <w:i/>
        </w:rPr>
        <w:t>et al., </w:t>
      </w:r>
      <w:r>
        <w:rPr/>
        <w:t>2014).</w:t>
      </w:r>
      <w:r>
        <w:rPr>
          <w:spacing w:val="-3"/>
        </w:rPr>
        <w:t> </w:t>
      </w:r>
      <w:r>
        <w:rPr/>
        <w:t>These methods are indirect, less sensitive and use expensive chemicals, absorbance measured at shorter wavelength and reagents.</w:t>
      </w:r>
    </w:p>
    <w:p>
      <w:pPr>
        <w:spacing w:after="0" w:line="480" w:lineRule="auto"/>
        <w:jc w:val="both"/>
        <w:sectPr>
          <w:pgSz w:w="12240" w:h="15840"/>
          <w:pgMar w:header="0" w:footer="1015" w:top="1360" w:bottom="1200" w:left="240" w:right="0"/>
        </w:sectPr>
      </w:pPr>
    </w:p>
    <w:p>
      <w:pPr>
        <w:pStyle w:val="BodyText"/>
        <w:rPr>
          <w:sz w:val="18"/>
        </w:rPr>
      </w:pPr>
    </w:p>
    <w:p>
      <w:pPr>
        <w:pStyle w:val="BodyText"/>
        <w:rPr>
          <w:sz w:val="18"/>
        </w:rPr>
      </w:pPr>
    </w:p>
    <w:p>
      <w:pPr>
        <w:pStyle w:val="BodyText"/>
        <w:rPr>
          <w:sz w:val="18"/>
        </w:rPr>
      </w:pPr>
    </w:p>
    <w:p>
      <w:pPr>
        <w:pStyle w:val="BodyText"/>
        <w:spacing w:before="167"/>
        <w:rPr>
          <w:sz w:val="18"/>
        </w:rPr>
      </w:pPr>
    </w:p>
    <w:p>
      <w:pPr>
        <w:tabs>
          <w:tab w:pos="463" w:val="left" w:leader="none"/>
        </w:tabs>
        <w:spacing w:before="0"/>
        <w:ind w:left="0" w:right="3069" w:firstLine="0"/>
        <w:jc w:val="right"/>
        <w:rPr>
          <w:sz w:val="18"/>
        </w:rPr>
      </w:pPr>
      <w:r>
        <w:rPr/>
        <w:drawing>
          <wp:anchor distT="0" distB="0" distL="0" distR="0" allowOverlap="1" layoutInCell="1" locked="0" behindDoc="1" simplePos="0" relativeHeight="485008896">
            <wp:simplePos x="0" y="0"/>
            <wp:positionH relativeFrom="page">
              <wp:posOffset>915161</wp:posOffset>
            </wp:positionH>
            <wp:positionV relativeFrom="paragraph">
              <wp:posOffset>-627749</wp:posOffset>
            </wp:positionV>
            <wp:extent cx="4427012" cy="1347425"/>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15" cstate="print"/>
                    <a:stretch>
                      <a:fillRect/>
                    </a:stretch>
                  </pic:blipFill>
                  <pic:spPr>
                    <a:xfrm>
                      <a:off x="0" y="0"/>
                      <a:ext cx="4427012" cy="1347425"/>
                    </a:xfrm>
                    <a:prstGeom prst="rect">
                      <a:avLst/>
                    </a:prstGeom>
                  </pic:spPr>
                </pic:pic>
              </a:graphicData>
            </a:graphic>
          </wp:anchor>
        </w:drawing>
      </w:r>
      <w:r>
        <w:rPr>
          <w:spacing w:val="-10"/>
          <w:w w:val="105"/>
          <w:sz w:val="18"/>
        </w:rPr>
        <w:t>+</w:t>
      </w:r>
      <w:r>
        <w:rPr>
          <w:sz w:val="18"/>
        </w:rPr>
        <w:tab/>
      </w:r>
      <w:r>
        <w:rPr>
          <w:spacing w:val="-5"/>
          <w:w w:val="105"/>
          <w:position w:val="2"/>
          <w:sz w:val="18"/>
        </w:rPr>
        <w:t>H2O</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5"/>
        <w:rPr>
          <w:sz w:val="18"/>
        </w:rPr>
      </w:pPr>
    </w:p>
    <w:p>
      <w:pPr>
        <w:spacing w:line="480" w:lineRule="auto" w:before="0"/>
        <w:ind w:left="1200" w:right="1431" w:firstLine="0"/>
        <w:jc w:val="left"/>
        <w:rPr>
          <w:sz w:val="24"/>
        </w:rPr>
      </w:pPr>
      <w:r>
        <w:rPr>
          <w:sz w:val="24"/>
        </w:rPr>
        <w:t>Other</w:t>
      </w:r>
      <w:r>
        <w:rPr>
          <w:spacing w:val="-3"/>
          <w:sz w:val="24"/>
        </w:rPr>
        <w:t> </w:t>
      </w:r>
      <w:r>
        <w:rPr>
          <w:sz w:val="24"/>
        </w:rPr>
        <w:t>methods</w:t>
      </w:r>
      <w:r>
        <w:rPr>
          <w:spacing w:val="-3"/>
          <w:sz w:val="24"/>
        </w:rPr>
        <w:t> </w:t>
      </w:r>
      <w:r>
        <w:rPr>
          <w:sz w:val="24"/>
        </w:rPr>
        <w:t>include</w:t>
      </w:r>
      <w:r>
        <w:rPr>
          <w:spacing w:val="-4"/>
          <w:sz w:val="24"/>
        </w:rPr>
        <w:t> </w:t>
      </w:r>
      <w:r>
        <w:rPr>
          <w:sz w:val="24"/>
        </w:rPr>
        <w:t>those</w:t>
      </w:r>
      <w:r>
        <w:rPr>
          <w:spacing w:val="-3"/>
          <w:sz w:val="24"/>
        </w:rPr>
        <w:t> </w:t>
      </w:r>
      <w:r>
        <w:rPr>
          <w:sz w:val="24"/>
        </w:rPr>
        <w:t>of</w:t>
      </w:r>
      <w:r>
        <w:rPr>
          <w:spacing w:val="-3"/>
          <w:sz w:val="24"/>
        </w:rPr>
        <w:t> </w:t>
      </w:r>
      <w:r>
        <w:rPr>
          <w:sz w:val="24"/>
        </w:rPr>
        <w:t>Niramathi</w:t>
      </w:r>
      <w:r>
        <w:rPr>
          <w:i/>
          <w:sz w:val="24"/>
        </w:rPr>
        <w:t>et</w:t>
      </w:r>
      <w:r>
        <w:rPr>
          <w:i/>
          <w:spacing w:val="-3"/>
          <w:sz w:val="24"/>
        </w:rPr>
        <w:t> </w:t>
      </w:r>
      <w:r>
        <w:rPr>
          <w:i/>
          <w:sz w:val="24"/>
        </w:rPr>
        <w:t>al.,</w:t>
      </w:r>
      <w:r>
        <w:rPr>
          <w:i/>
          <w:spacing w:val="-3"/>
          <w:sz w:val="24"/>
        </w:rPr>
        <w:t> </w:t>
      </w:r>
      <w:r>
        <w:rPr>
          <w:sz w:val="24"/>
        </w:rPr>
        <w:t>2013,</w:t>
      </w:r>
      <w:r>
        <w:rPr>
          <w:spacing w:val="-3"/>
          <w:sz w:val="24"/>
        </w:rPr>
        <w:t> </w:t>
      </w:r>
      <w:r>
        <w:rPr>
          <w:sz w:val="24"/>
        </w:rPr>
        <w:t>Safavi</w:t>
      </w:r>
      <w:r>
        <w:rPr>
          <w:i/>
          <w:sz w:val="24"/>
        </w:rPr>
        <w:t>et</w:t>
      </w:r>
      <w:r>
        <w:rPr>
          <w:i/>
          <w:spacing w:val="-3"/>
          <w:sz w:val="24"/>
        </w:rPr>
        <w:t> </w:t>
      </w:r>
      <w:r>
        <w:rPr>
          <w:i/>
          <w:sz w:val="24"/>
        </w:rPr>
        <w:t>al.,</w:t>
      </w:r>
      <w:r>
        <w:rPr>
          <w:i/>
          <w:spacing w:val="-3"/>
          <w:sz w:val="24"/>
        </w:rPr>
        <w:t> </w:t>
      </w:r>
      <w:r>
        <w:rPr>
          <w:sz w:val="24"/>
        </w:rPr>
        <w:t>2004,</w:t>
      </w:r>
      <w:r>
        <w:rPr>
          <w:spacing w:val="-3"/>
          <w:sz w:val="24"/>
        </w:rPr>
        <w:t> </w:t>
      </w:r>
      <w:r>
        <w:rPr>
          <w:sz w:val="24"/>
        </w:rPr>
        <w:t>Diab</w:t>
      </w:r>
      <w:r>
        <w:rPr>
          <w:i/>
          <w:sz w:val="24"/>
        </w:rPr>
        <w:t>et</w:t>
      </w:r>
      <w:r>
        <w:rPr>
          <w:i/>
          <w:spacing w:val="-3"/>
          <w:sz w:val="24"/>
        </w:rPr>
        <w:t> </w:t>
      </w:r>
      <w:r>
        <w:rPr>
          <w:i/>
          <w:sz w:val="24"/>
        </w:rPr>
        <w:t>al.,</w:t>
      </w:r>
      <w:r>
        <w:rPr>
          <w:i/>
          <w:spacing w:val="-3"/>
          <w:sz w:val="24"/>
        </w:rPr>
        <w:t> </w:t>
      </w:r>
      <w:r>
        <w:rPr>
          <w:sz w:val="24"/>
        </w:rPr>
        <w:t>2008,</w:t>
      </w:r>
      <w:r>
        <w:rPr>
          <w:spacing w:val="-3"/>
          <w:sz w:val="24"/>
        </w:rPr>
        <w:t> </w:t>
      </w:r>
      <w:r>
        <w:rPr>
          <w:sz w:val="24"/>
        </w:rPr>
        <w:t>Prab</w:t>
      </w:r>
      <w:r>
        <w:rPr>
          <w:i/>
          <w:sz w:val="24"/>
        </w:rPr>
        <w:t>et al., </w:t>
      </w:r>
      <w:r>
        <w:rPr>
          <w:sz w:val="24"/>
        </w:rPr>
        <w:t>2008, Prab</w:t>
      </w:r>
      <w:r>
        <w:rPr>
          <w:i/>
          <w:sz w:val="24"/>
        </w:rPr>
        <w:t>et al., </w:t>
      </w:r>
      <w:r>
        <w:rPr>
          <w:sz w:val="24"/>
        </w:rPr>
        <w:t>2012 among others.</w:t>
      </w:r>
    </w:p>
    <w:p>
      <w:pPr>
        <w:spacing w:after="0" w:line="480" w:lineRule="auto"/>
        <w:jc w:val="left"/>
        <w:rPr>
          <w:sz w:val="24"/>
        </w:rPr>
        <w:sectPr>
          <w:pgSz w:w="12240" w:h="15840"/>
          <w:pgMar w:header="0" w:footer="1015" w:top="1440" w:bottom="1200" w:left="240" w:right="0"/>
        </w:sectPr>
      </w:pPr>
    </w:p>
    <w:p>
      <w:pPr>
        <w:pStyle w:val="Heading2"/>
        <w:spacing w:before="76"/>
      </w:pPr>
      <w:bookmarkStart w:name="_TOC_250017" w:id="17"/>
      <w:r>
        <w:rPr/>
        <w:t>CHAPTER</w:t>
      </w:r>
      <w:r>
        <w:rPr>
          <w:spacing w:val="-4"/>
        </w:rPr>
        <w:t> </w:t>
      </w:r>
      <w:bookmarkEnd w:id="17"/>
      <w:r>
        <w:rPr>
          <w:spacing w:val="-2"/>
        </w:rPr>
        <w:t>THREE</w:t>
      </w:r>
    </w:p>
    <w:p>
      <w:pPr>
        <w:pStyle w:val="BodyText"/>
        <w:spacing w:before="1"/>
        <w:rPr>
          <w:b/>
        </w:rPr>
      </w:pPr>
    </w:p>
    <w:p>
      <w:pPr>
        <w:pStyle w:val="Heading2"/>
        <w:numPr>
          <w:ilvl w:val="1"/>
          <w:numId w:val="12"/>
        </w:numPr>
        <w:tabs>
          <w:tab w:pos="4400" w:val="left" w:leader="none"/>
        </w:tabs>
        <w:spacing w:line="240" w:lineRule="auto" w:before="0" w:after="0"/>
        <w:ind w:left="4400" w:right="0" w:hanging="360"/>
        <w:jc w:val="left"/>
      </w:pPr>
      <w:bookmarkStart w:name="_TOC_250016" w:id="18"/>
      <w:r>
        <w:rPr/>
        <w:t>MATERIALS</w:t>
      </w:r>
      <w:r>
        <w:rPr>
          <w:spacing w:val="-2"/>
        </w:rPr>
        <w:t> </w:t>
      </w:r>
      <w:r>
        <w:rPr/>
        <w:t>AND</w:t>
      </w:r>
      <w:r>
        <w:rPr>
          <w:spacing w:val="-1"/>
        </w:rPr>
        <w:t> </w:t>
      </w:r>
      <w:bookmarkEnd w:id="18"/>
      <w:r>
        <w:rPr>
          <w:spacing w:val="-2"/>
        </w:rPr>
        <w:t>METHODS</w:t>
      </w:r>
    </w:p>
    <w:p>
      <w:pPr>
        <w:pStyle w:val="BodyText"/>
        <w:rPr>
          <w:b/>
        </w:rPr>
      </w:pPr>
    </w:p>
    <w:p>
      <w:pPr>
        <w:pStyle w:val="Heading3"/>
        <w:numPr>
          <w:ilvl w:val="1"/>
          <w:numId w:val="12"/>
        </w:numPr>
        <w:tabs>
          <w:tab w:pos="5566" w:val="left" w:leader="none"/>
        </w:tabs>
        <w:spacing w:line="240" w:lineRule="auto" w:before="0" w:after="0"/>
        <w:ind w:left="5566" w:right="0" w:hanging="360"/>
        <w:jc w:val="left"/>
      </w:pPr>
      <w:bookmarkStart w:name="_TOC_250015" w:id="19"/>
      <w:bookmarkEnd w:id="19"/>
      <w:r>
        <w:rPr>
          <w:spacing w:val="-2"/>
        </w:rPr>
        <w:t>Materials</w:t>
      </w:r>
    </w:p>
    <w:p>
      <w:pPr>
        <w:pStyle w:val="BodyText"/>
        <w:rPr>
          <w:b/>
        </w:rPr>
      </w:pPr>
    </w:p>
    <w:p>
      <w:pPr>
        <w:pStyle w:val="ListParagraph"/>
        <w:numPr>
          <w:ilvl w:val="2"/>
          <w:numId w:val="12"/>
        </w:numPr>
        <w:tabs>
          <w:tab w:pos="1740" w:val="left" w:leader="none"/>
        </w:tabs>
        <w:spacing w:line="240" w:lineRule="auto" w:before="0" w:after="0"/>
        <w:ind w:left="1740" w:right="0" w:hanging="540"/>
        <w:jc w:val="both"/>
        <w:rPr>
          <w:b/>
          <w:sz w:val="24"/>
        </w:rPr>
      </w:pPr>
      <w:r>
        <w:rPr>
          <w:b/>
          <w:sz w:val="24"/>
        </w:rPr>
        <w:t>Isoniazid</w:t>
      </w:r>
      <w:r>
        <w:rPr>
          <w:b/>
          <w:spacing w:val="-1"/>
          <w:sz w:val="24"/>
        </w:rPr>
        <w:t> </w:t>
      </w:r>
      <w:r>
        <w:rPr>
          <w:b/>
          <w:sz w:val="24"/>
        </w:rPr>
        <w:t>analytical grade</w:t>
      </w:r>
      <w:r>
        <w:rPr>
          <w:b/>
          <w:spacing w:val="-1"/>
          <w:sz w:val="24"/>
        </w:rPr>
        <w:t> </w:t>
      </w:r>
      <w:r>
        <w:rPr>
          <w:b/>
          <w:sz w:val="24"/>
        </w:rPr>
        <w:t>powder</w:t>
      </w:r>
      <w:r>
        <w:rPr>
          <w:b/>
          <w:spacing w:val="-1"/>
          <w:sz w:val="24"/>
        </w:rPr>
        <w:t> </w:t>
      </w:r>
      <w:r>
        <w:rPr>
          <w:b/>
          <w:sz w:val="24"/>
        </w:rPr>
        <w:t>and </w:t>
      </w:r>
      <w:r>
        <w:rPr>
          <w:b/>
          <w:spacing w:val="-2"/>
          <w:sz w:val="24"/>
        </w:rPr>
        <w:t>tablet</w:t>
      </w:r>
    </w:p>
    <w:p>
      <w:pPr>
        <w:pStyle w:val="BodyText"/>
        <w:spacing w:line="480" w:lineRule="auto" w:before="271"/>
        <w:ind w:left="1200" w:right="1439"/>
        <w:jc w:val="both"/>
      </w:pPr>
      <w:r>
        <w:rPr/>
        <w:t>Standard isoniazid powder was purchased from Sigma Aldrich Germany while the tablet was purchased from registered pharmacy. Information on tablet was recorded.</w:t>
      </w:r>
    </w:p>
    <w:p>
      <w:pPr>
        <w:pStyle w:val="Heading3"/>
        <w:numPr>
          <w:ilvl w:val="2"/>
          <w:numId w:val="12"/>
        </w:numPr>
        <w:tabs>
          <w:tab w:pos="1680" w:val="left" w:leader="none"/>
        </w:tabs>
        <w:spacing w:line="240" w:lineRule="auto" w:before="5" w:after="0"/>
        <w:ind w:left="1680" w:right="0" w:hanging="480"/>
        <w:jc w:val="both"/>
        <w:rPr>
          <w:sz w:val="22"/>
        </w:rPr>
      </w:pPr>
      <w:bookmarkStart w:name="_TOC_250014" w:id="20"/>
      <w:r>
        <w:rPr/>
        <w:t>Chemicals</w:t>
      </w:r>
      <w:r>
        <w:rPr>
          <w:spacing w:val="-4"/>
        </w:rPr>
        <w:t> </w:t>
      </w:r>
      <w:r>
        <w:rPr/>
        <w:t>and</w:t>
      </w:r>
      <w:r>
        <w:rPr>
          <w:spacing w:val="-1"/>
        </w:rPr>
        <w:t> </w:t>
      </w:r>
      <w:bookmarkEnd w:id="20"/>
      <w:r>
        <w:rPr>
          <w:spacing w:val="-2"/>
        </w:rPr>
        <w:t>reagents</w:t>
      </w:r>
    </w:p>
    <w:p>
      <w:pPr>
        <w:pStyle w:val="BodyText"/>
        <w:spacing w:line="480" w:lineRule="auto" w:before="272"/>
        <w:ind w:left="1200" w:right="1434"/>
        <w:jc w:val="both"/>
      </w:pPr>
      <w:r>
        <w:rPr/>
        <w:t>All chemicals are of analytical grade. The methanol, ethanol, distilled water, Concentrated HCl, 2,4-dinitrophenyl hydrazine,Thiourea,Sodium nitrite, Sulfamic acid,</w:t>
      </w:r>
      <w:r>
        <w:rPr>
          <w:spacing w:val="-3"/>
        </w:rPr>
        <w:t> </w:t>
      </w:r>
      <w:r>
        <w:rPr/>
        <w:t>Paratoluidine, Potassium bromide were purchased from.BDH chemical, England.</w:t>
      </w:r>
    </w:p>
    <w:p>
      <w:pPr>
        <w:pStyle w:val="Heading3"/>
        <w:numPr>
          <w:ilvl w:val="2"/>
          <w:numId w:val="12"/>
        </w:numPr>
        <w:tabs>
          <w:tab w:pos="1740" w:val="left" w:leader="none"/>
        </w:tabs>
        <w:spacing w:line="240" w:lineRule="auto" w:before="5" w:after="0"/>
        <w:ind w:left="1740" w:right="0" w:hanging="540"/>
        <w:jc w:val="both"/>
      </w:pPr>
      <w:bookmarkStart w:name="_TOC_250013" w:id="21"/>
      <w:r>
        <w:rPr/>
        <w:t>Glass</w:t>
      </w:r>
      <w:r>
        <w:rPr>
          <w:spacing w:val="-1"/>
        </w:rPr>
        <w:t> </w:t>
      </w:r>
      <w:r>
        <w:rPr/>
        <w:t>wares</w:t>
      </w:r>
      <w:r>
        <w:rPr>
          <w:spacing w:val="-1"/>
        </w:rPr>
        <w:t> </w:t>
      </w:r>
      <w:r>
        <w:rPr/>
        <w:t>and</w:t>
      </w:r>
      <w:r>
        <w:rPr>
          <w:spacing w:val="-1"/>
        </w:rPr>
        <w:t> </w:t>
      </w:r>
      <w:bookmarkEnd w:id="21"/>
      <w:r>
        <w:rPr>
          <w:spacing w:val="-2"/>
        </w:rPr>
        <w:t>accessories</w:t>
      </w:r>
    </w:p>
    <w:p>
      <w:pPr>
        <w:pStyle w:val="BodyText"/>
        <w:spacing w:before="233"/>
        <w:rPr>
          <w:b/>
        </w:rPr>
      </w:pPr>
    </w:p>
    <w:p>
      <w:pPr>
        <w:pStyle w:val="BodyText"/>
        <w:ind w:left="1200"/>
        <w:jc w:val="both"/>
      </w:pPr>
      <w:r>
        <w:rPr/>
        <w:t>10</w:t>
      </w:r>
      <w:r>
        <w:rPr>
          <w:spacing w:val="-2"/>
        </w:rPr>
        <w:t> </w:t>
      </w:r>
      <w:r>
        <w:rPr/>
        <w:t>mL,100</w:t>
      </w:r>
      <w:r>
        <w:rPr>
          <w:spacing w:val="-1"/>
        </w:rPr>
        <w:t> </w:t>
      </w:r>
      <w:r>
        <w:rPr/>
        <w:t>mL</w:t>
      </w:r>
      <w:r>
        <w:rPr>
          <w:spacing w:val="-4"/>
        </w:rPr>
        <w:t> </w:t>
      </w:r>
      <w:r>
        <w:rPr/>
        <w:t>measuring</w:t>
      </w:r>
      <w:r>
        <w:rPr>
          <w:spacing w:val="-4"/>
        </w:rPr>
        <w:t> </w:t>
      </w:r>
      <w:r>
        <w:rPr/>
        <w:t>cylinders</w:t>
      </w:r>
      <w:r>
        <w:rPr>
          <w:spacing w:val="-1"/>
        </w:rPr>
        <w:t> </w:t>
      </w:r>
      <w:r>
        <w:rPr/>
        <w:t>(Pyrex</w:t>
      </w:r>
      <w:r>
        <w:rPr>
          <w:spacing w:val="1"/>
        </w:rPr>
        <w:t> </w:t>
      </w:r>
      <w:r>
        <w:rPr>
          <w:spacing w:val="-2"/>
        </w:rPr>
        <w:t>England)</w:t>
      </w:r>
    </w:p>
    <w:p>
      <w:pPr>
        <w:pStyle w:val="BodyText"/>
        <w:spacing w:before="161"/>
      </w:pPr>
    </w:p>
    <w:p>
      <w:pPr>
        <w:pStyle w:val="BodyText"/>
        <w:spacing w:line="480" w:lineRule="auto"/>
        <w:ind w:left="1200" w:right="5744"/>
      </w:pPr>
      <w:r>
        <w:rPr/>
        <w:t>100</w:t>
      </w:r>
      <w:r>
        <w:rPr>
          <w:spacing w:val="-5"/>
        </w:rPr>
        <w:t> </w:t>
      </w:r>
      <w:r>
        <w:rPr/>
        <w:t>mL</w:t>
      </w:r>
      <w:r>
        <w:rPr>
          <w:spacing w:val="-10"/>
        </w:rPr>
        <w:t> </w:t>
      </w:r>
      <w:r>
        <w:rPr/>
        <w:t>and</w:t>
      </w:r>
      <w:r>
        <w:rPr>
          <w:spacing w:val="-5"/>
        </w:rPr>
        <w:t> </w:t>
      </w:r>
      <w:r>
        <w:rPr/>
        <w:t>250</w:t>
      </w:r>
      <w:r>
        <w:rPr>
          <w:spacing w:val="-5"/>
        </w:rPr>
        <w:t> </w:t>
      </w:r>
      <w:r>
        <w:rPr/>
        <w:t>mL</w:t>
      </w:r>
      <w:r>
        <w:rPr>
          <w:spacing w:val="-5"/>
        </w:rPr>
        <w:t> </w:t>
      </w:r>
      <w:r>
        <w:rPr/>
        <w:t>conical</w:t>
      </w:r>
      <w:r>
        <w:rPr>
          <w:spacing w:val="-5"/>
        </w:rPr>
        <w:t> </w:t>
      </w:r>
      <w:r>
        <w:rPr/>
        <w:t>flasks</w:t>
      </w:r>
      <w:r>
        <w:rPr>
          <w:spacing w:val="-5"/>
        </w:rPr>
        <w:t> </w:t>
      </w:r>
      <w:r>
        <w:rPr/>
        <w:t>(Pyrex</w:t>
      </w:r>
      <w:r>
        <w:rPr>
          <w:spacing w:val="-3"/>
        </w:rPr>
        <w:t> </w:t>
      </w:r>
      <w:r>
        <w:rPr/>
        <w:t>England) 25 mL and 50 mL beakers (Pyrex England)</w:t>
      </w:r>
    </w:p>
    <w:p>
      <w:pPr>
        <w:pStyle w:val="BodyText"/>
        <w:ind w:left="1200"/>
        <w:jc w:val="both"/>
      </w:pPr>
      <w:r>
        <w:rPr/>
        <w:t>10</w:t>
      </w:r>
      <w:r>
        <w:rPr>
          <w:spacing w:val="-1"/>
        </w:rPr>
        <w:t> </w:t>
      </w:r>
      <w:r>
        <w:rPr/>
        <w:t>mL</w:t>
      </w:r>
      <w:r>
        <w:rPr>
          <w:spacing w:val="-5"/>
        </w:rPr>
        <w:t> </w:t>
      </w:r>
      <w:r>
        <w:rPr/>
        <w:t>test tubes (Pyrex</w:t>
      </w:r>
      <w:r>
        <w:rPr>
          <w:spacing w:val="2"/>
        </w:rPr>
        <w:t> </w:t>
      </w:r>
      <w:r>
        <w:rPr>
          <w:spacing w:val="-2"/>
        </w:rPr>
        <w:t>England)</w:t>
      </w:r>
    </w:p>
    <w:p>
      <w:pPr>
        <w:pStyle w:val="BodyText"/>
      </w:pPr>
    </w:p>
    <w:p>
      <w:pPr>
        <w:pStyle w:val="BodyText"/>
        <w:spacing w:line="480" w:lineRule="auto"/>
        <w:ind w:left="1200" w:right="4719"/>
      </w:pPr>
      <w:r>
        <w:rPr/>
        <w:t>10</w:t>
      </w:r>
      <w:r>
        <w:rPr>
          <w:spacing w:val="-5"/>
        </w:rPr>
        <w:t> </w:t>
      </w:r>
      <w:r>
        <w:rPr/>
        <w:t>mL,50</w:t>
      </w:r>
      <w:r>
        <w:rPr>
          <w:spacing w:val="-5"/>
        </w:rPr>
        <w:t> </w:t>
      </w:r>
      <w:r>
        <w:rPr/>
        <w:t>mL</w:t>
      </w:r>
      <w:r>
        <w:rPr>
          <w:spacing w:val="-7"/>
        </w:rPr>
        <w:t> </w:t>
      </w:r>
      <w:r>
        <w:rPr/>
        <w:t>and</w:t>
      </w:r>
      <w:r>
        <w:rPr>
          <w:spacing w:val="-5"/>
        </w:rPr>
        <w:t> </w:t>
      </w:r>
      <w:r>
        <w:rPr/>
        <w:t>100</w:t>
      </w:r>
      <w:r>
        <w:rPr>
          <w:spacing w:val="-5"/>
        </w:rPr>
        <w:t> </w:t>
      </w:r>
      <w:r>
        <w:rPr/>
        <w:t>mL</w:t>
      </w:r>
      <w:r>
        <w:rPr>
          <w:spacing w:val="-6"/>
        </w:rPr>
        <w:t> </w:t>
      </w:r>
      <w:r>
        <w:rPr/>
        <w:t>volumetric</w:t>
      </w:r>
      <w:r>
        <w:rPr>
          <w:spacing w:val="-4"/>
        </w:rPr>
        <w:t> </w:t>
      </w:r>
      <w:r>
        <w:rPr/>
        <w:t>flasks</w:t>
      </w:r>
      <w:r>
        <w:rPr>
          <w:spacing w:val="-5"/>
        </w:rPr>
        <w:t> </w:t>
      </w:r>
      <w:r>
        <w:rPr/>
        <w:t>(Pyrex</w:t>
      </w:r>
      <w:r>
        <w:rPr>
          <w:spacing w:val="-3"/>
        </w:rPr>
        <w:t> </w:t>
      </w:r>
      <w:r>
        <w:rPr/>
        <w:t>England) 10 mL Centrifuge tubes (Pyrex England)</w:t>
      </w:r>
    </w:p>
    <w:p>
      <w:pPr>
        <w:pStyle w:val="BodyText"/>
        <w:spacing w:line="480" w:lineRule="auto" w:before="34"/>
        <w:ind w:left="1200" w:right="8813"/>
      </w:pPr>
      <w:r>
        <w:rPr/>
        <w:t>1</w:t>
      </w:r>
      <w:r>
        <w:rPr>
          <w:spacing w:val="-9"/>
        </w:rPr>
        <w:t> </w:t>
      </w:r>
      <w:r>
        <w:rPr/>
        <w:t>mL,</w:t>
      </w:r>
      <w:r>
        <w:rPr>
          <w:spacing w:val="-10"/>
        </w:rPr>
        <w:t> </w:t>
      </w:r>
      <w:r>
        <w:rPr/>
        <w:t>10</w:t>
      </w:r>
      <w:r>
        <w:rPr>
          <w:spacing w:val="-9"/>
        </w:rPr>
        <w:t> </w:t>
      </w:r>
      <w:r>
        <w:rPr/>
        <w:t>mL</w:t>
      </w:r>
      <w:r>
        <w:rPr>
          <w:spacing w:val="-12"/>
        </w:rPr>
        <w:t> </w:t>
      </w:r>
      <w:r>
        <w:rPr/>
        <w:t>pipette Filter paper Capillary tube</w:t>
      </w:r>
    </w:p>
    <w:p>
      <w:pPr>
        <w:pStyle w:val="BodyText"/>
        <w:spacing w:before="1"/>
        <w:ind w:left="1200"/>
      </w:pPr>
      <w:r>
        <w:rPr/>
        <w:t>Glass</w:t>
      </w:r>
      <w:r>
        <w:rPr>
          <w:spacing w:val="-1"/>
        </w:rPr>
        <w:t> </w:t>
      </w:r>
      <w:r>
        <w:rPr>
          <w:spacing w:val="-5"/>
        </w:rPr>
        <w:t>rod</w:t>
      </w:r>
    </w:p>
    <w:p>
      <w:pPr>
        <w:spacing w:after="0"/>
        <w:sectPr>
          <w:pgSz w:w="12240" w:h="15840"/>
          <w:pgMar w:header="0" w:footer="1015" w:top="1360" w:bottom="1200" w:left="240" w:right="0"/>
        </w:sectPr>
      </w:pPr>
    </w:p>
    <w:p>
      <w:pPr>
        <w:pStyle w:val="Heading3"/>
        <w:numPr>
          <w:ilvl w:val="2"/>
          <w:numId w:val="12"/>
        </w:numPr>
        <w:tabs>
          <w:tab w:pos="1740" w:val="left" w:leader="none"/>
        </w:tabs>
        <w:spacing w:line="240" w:lineRule="auto" w:before="76" w:after="0"/>
        <w:ind w:left="1740" w:right="0" w:hanging="540"/>
        <w:jc w:val="both"/>
      </w:pPr>
      <w:bookmarkStart w:name="_TOC_250012" w:id="22"/>
      <w:bookmarkEnd w:id="22"/>
      <w:r>
        <w:rPr>
          <w:spacing w:val="-2"/>
        </w:rPr>
        <w:t>Equipment</w:t>
      </w:r>
    </w:p>
    <w:p>
      <w:pPr>
        <w:pStyle w:val="BodyText"/>
        <w:spacing w:line="480" w:lineRule="auto" w:before="272"/>
        <w:ind w:left="1200" w:right="1438"/>
        <w:jc w:val="both"/>
      </w:pPr>
      <w:r>
        <w:rPr/>
        <w:t>Electronic weighing balance (MetlersPr 63 Switzerland) Centrifuge machine (Gallenkamp, England)</w:t>
      </w:r>
      <w:r>
        <w:rPr>
          <w:spacing w:val="-3"/>
        </w:rPr>
        <w:t> </w:t>
      </w:r>
      <w:r>
        <w:rPr/>
        <w:t>UV double beam spectrophotometer model (MNF, Helious Zeta, Model 164617. Thermo Scientific England)</w:t>
      </w:r>
    </w:p>
    <w:p>
      <w:pPr>
        <w:pStyle w:val="BodyText"/>
        <w:spacing w:line="480" w:lineRule="auto"/>
        <w:ind w:left="1200" w:right="6027"/>
      </w:pPr>
      <w:r>
        <w:rPr/>
        <w:t>Stop watch (Smith England clock system) Melting</w:t>
      </w:r>
      <w:r>
        <w:rPr>
          <w:spacing w:val="-15"/>
        </w:rPr>
        <w:t> </w:t>
      </w:r>
      <w:r>
        <w:rPr/>
        <w:t>point</w:t>
      </w:r>
      <w:r>
        <w:rPr>
          <w:spacing w:val="-13"/>
        </w:rPr>
        <w:t> </w:t>
      </w:r>
      <w:r>
        <w:rPr/>
        <w:t>apparatus(Gallenkamp,</w:t>
      </w:r>
      <w:r>
        <w:rPr>
          <w:spacing w:val="-13"/>
        </w:rPr>
        <w:t> </w:t>
      </w:r>
      <w:r>
        <w:rPr/>
        <w:t>England)</w:t>
      </w:r>
    </w:p>
    <w:p>
      <w:pPr>
        <w:pStyle w:val="BodyText"/>
        <w:spacing w:line="480" w:lineRule="auto"/>
        <w:ind w:left="1200" w:right="3016"/>
      </w:pPr>
      <w:r>
        <w:rPr/>
        <w:t>Infra-red</w:t>
      </w:r>
      <w:r>
        <w:rPr>
          <w:spacing w:val="-5"/>
        </w:rPr>
        <w:t> </w:t>
      </w:r>
      <w:r>
        <w:rPr/>
        <w:t>spectrophotometer</w:t>
      </w:r>
      <w:r>
        <w:rPr>
          <w:spacing w:val="-5"/>
        </w:rPr>
        <w:t> </w:t>
      </w:r>
      <w:r>
        <w:rPr/>
        <w:t>(Model.</w:t>
      </w:r>
      <w:r>
        <w:rPr>
          <w:spacing w:val="-5"/>
        </w:rPr>
        <w:t> </w:t>
      </w:r>
      <w:r>
        <w:rPr/>
        <w:t>Cary</w:t>
      </w:r>
      <w:r>
        <w:rPr>
          <w:spacing w:val="-10"/>
        </w:rPr>
        <w:t> </w:t>
      </w:r>
      <w:r>
        <w:rPr/>
        <w:t>630,</w:t>
      </w:r>
      <w:r>
        <w:rPr>
          <w:spacing w:val="-3"/>
        </w:rPr>
        <w:t> </w:t>
      </w:r>
      <w:r>
        <w:rPr/>
        <w:t>Agilent</w:t>
      </w:r>
      <w:r>
        <w:rPr>
          <w:spacing w:val="-5"/>
        </w:rPr>
        <w:t> </w:t>
      </w:r>
      <w:r>
        <w:rPr/>
        <w:t>Technology</w:t>
      </w:r>
      <w:r>
        <w:rPr>
          <w:spacing w:val="-8"/>
        </w:rPr>
        <w:t> </w:t>
      </w:r>
      <w:r>
        <w:rPr/>
        <w:t>Germany) pH meter (Fisher scientific, Singapore)</w:t>
      </w:r>
    </w:p>
    <w:p>
      <w:pPr>
        <w:pStyle w:val="BodyText"/>
        <w:spacing w:before="1"/>
        <w:ind w:left="1200"/>
      </w:pPr>
      <w:r>
        <w:rPr/>
        <w:t>Water</w:t>
      </w:r>
      <w:r>
        <w:rPr>
          <w:spacing w:val="-4"/>
        </w:rPr>
        <w:t> </w:t>
      </w:r>
      <w:r>
        <w:rPr/>
        <w:t>bath</w:t>
      </w:r>
      <w:r>
        <w:rPr>
          <w:spacing w:val="-1"/>
        </w:rPr>
        <w:t> </w:t>
      </w:r>
      <w:r>
        <w:rPr/>
        <w:t>(modelBJE</w:t>
      </w:r>
      <w:r>
        <w:rPr>
          <w:spacing w:val="-2"/>
        </w:rPr>
        <w:t> </w:t>
      </w:r>
      <w:r>
        <w:rPr/>
        <w:t>750</w:t>
      </w:r>
      <w:r>
        <w:rPr>
          <w:spacing w:val="-1"/>
        </w:rPr>
        <w:t> </w:t>
      </w:r>
      <w:r>
        <w:rPr/>
        <w:t>AGallenkamp,</w:t>
      </w:r>
      <w:r>
        <w:rPr>
          <w:spacing w:val="-1"/>
        </w:rPr>
        <w:t> </w:t>
      </w:r>
      <w:r>
        <w:rPr>
          <w:spacing w:val="-2"/>
        </w:rPr>
        <w:t>England)</w:t>
      </w:r>
    </w:p>
    <w:p>
      <w:pPr>
        <w:pStyle w:val="BodyText"/>
        <w:spacing w:before="2"/>
      </w:pPr>
    </w:p>
    <w:p>
      <w:pPr>
        <w:spacing w:before="0"/>
        <w:ind w:left="1200" w:right="0" w:firstLine="0"/>
        <w:jc w:val="left"/>
        <w:rPr>
          <w:sz w:val="22"/>
        </w:rPr>
      </w:pPr>
      <w:r>
        <w:rPr>
          <w:sz w:val="22"/>
        </w:rPr>
        <w:t>Thermometer</w:t>
      </w:r>
      <w:r>
        <w:rPr>
          <w:spacing w:val="-8"/>
          <w:sz w:val="22"/>
        </w:rPr>
        <w:t> </w:t>
      </w:r>
      <w:r>
        <w:rPr>
          <w:sz w:val="22"/>
        </w:rPr>
        <w:t>(Mc</w:t>
      </w:r>
      <w:r>
        <w:rPr>
          <w:spacing w:val="-6"/>
          <w:sz w:val="22"/>
        </w:rPr>
        <w:t> </w:t>
      </w:r>
      <w:r>
        <w:rPr>
          <w:sz w:val="22"/>
        </w:rPr>
        <w:t>Donald</w:t>
      </w:r>
      <w:r>
        <w:rPr>
          <w:spacing w:val="-8"/>
          <w:sz w:val="22"/>
        </w:rPr>
        <w:t> </w:t>
      </w:r>
      <w:r>
        <w:rPr>
          <w:sz w:val="22"/>
        </w:rPr>
        <w:t>Scientific</w:t>
      </w:r>
      <w:r>
        <w:rPr>
          <w:spacing w:val="-5"/>
          <w:sz w:val="22"/>
        </w:rPr>
        <w:t> </w:t>
      </w:r>
      <w:r>
        <w:rPr>
          <w:sz w:val="22"/>
        </w:rPr>
        <w:t>International,</w:t>
      </w:r>
      <w:r>
        <w:rPr>
          <w:spacing w:val="-5"/>
          <w:sz w:val="22"/>
        </w:rPr>
        <w:t> </w:t>
      </w:r>
      <w:r>
        <w:rPr>
          <w:spacing w:val="-2"/>
          <w:sz w:val="22"/>
        </w:rPr>
        <w:t>England)</w:t>
      </w:r>
    </w:p>
    <w:p>
      <w:pPr>
        <w:pStyle w:val="BodyText"/>
        <w:spacing w:before="32"/>
        <w:rPr>
          <w:sz w:val="22"/>
        </w:rPr>
      </w:pPr>
    </w:p>
    <w:p>
      <w:pPr>
        <w:pStyle w:val="Heading3"/>
        <w:numPr>
          <w:ilvl w:val="1"/>
          <w:numId w:val="12"/>
        </w:numPr>
        <w:tabs>
          <w:tab w:pos="300" w:val="left" w:leader="none"/>
        </w:tabs>
        <w:spacing w:line="240" w:lineRule="auto" w:before="0" w:after="0"/>
        <w:ind w:left="300" w:right="238" w:hanging="300"/>
        <w:jc w:val="center"/>
      </w:pPr>
      <w:bookmarkStart w:name="_TOC_250011" w:id="23"/>
      <w:bookmarkEnd w:id="23"/>
      <w:r>
        <w:rPr>
          <w:spacing w:val="-2"/>
        </w:rPr>
        <w:t>Methods</w:t>
      </w:r>
    </w:p>
    <w:p>
      <w:pPr>
        <w:pStyle w:val="BodyText"/>
        <w:spacing w:before="240"/>
        <w:rPr>
          <w:b/>
        </w:rPr>
      </w:pPr>
    </w:p>
    <w:p>
      <w:pPr>
        <w:pStyle w:val="ListParagraph"/>
        <w:numPr>
          <w:ilvl w:val="2"/>
          <w:numId w:val="12"/>
        </w:numPr>
        <w:tabs>
          <w:tab w:pos="1680" w:val="left" w:leader="none"/>
        </w:tabs>
        <w:spacing w:line="240" w:lineRule="auto" w:before="0" w:after="0"/>
        <w:ind w:left="1680" w:right="0" w:hanging="480"/>
        <w:jc w:val="left"/>
        <w:rPr>
          <w:b/>
          <w:sz w:val="22"/>
        </w:rPr>
      </w:pPr>
      <w:r>
        <w:rPr>
          <w:b/>
          <w:sz w:val="24"/>
        </w:rPr>
        <w:t>Quality</w:t>
      </w:r>
      <w:r>
        <w:rPr>
          <w:b/>
          <w:spacing w:val="-2"/>
          <w:sz w:val="24"/>
        </w:rPr>
        <w:t> </w:t>
      </w:r>
      <w:r>
        <w:rPr>
          <w:b/>
          <w:sz w:val="24"/>
        </w:rPr>
        <w:t>control</w:t>
      </w:r>
      <w:r>
        <w:rPr>
          <w:b/>
          <w:spacing w:val="-1"/>
          <w:sz w:val="24"/>
        </w:rPr>
        <w:t> </w:t>
      </w:r>
      <w:r>
        <w:rPr>
          <w:b/>
          <w:sz w:val="24"/>
        </w:rPr>
        <w:t>of</w:t>
      </w:r>
      <w:r>
        <w:rPr>
          <w:b/>
          <w:spacing w:val="-1"/>
          <w:sz w:val="24"/>
        </w:rPr>
        <w:t> </w:t>
      </w:r>
      <w:r>
        <w:rPr>
          <w:b/>
          <w:sz w:val="24"/>
        </w:rPr>
        <w:t>isoniazidstandard</w:t>
      </w:r>
      <w:r>
        <w:rPr>
          <w:b/>
          <w:spacing w:val="-3"/>
          <w:sz w:val="24"/>
        </w:rPr>
        <w:t> </w:t>
      </w:r>
      <w:r>
        <w:rPr>
          <w:b/>
          <w:sz w:val="24"/>
        </w:rPr>
        <w:t>powder</w:t>
      </w:r>
      <w:r>
        <w:rPr>
          <w:b/>
          <w:spacing w:val="-2"/>
          <w:sz w:val="24"/>
        </w:rPr>
        <w:t> </w:t>
      </w:r>
      <w:r>
        <w:rPr>
          <w:b/>
          <w:sz w:val="24"/>
        </w:rPr>
        <w:t>and</w:t>
      </w:r>
      <w:r>
        <w:rPr>
          <w:b/>
          <w:spacing w:val="-1"/>
          <w:sz w:val="24"/>
        </w:rPr>
        <w:t> </w:t>
      </w:r>
      <w:r>
        <w:rPr>
          <w:b/>
          <w:spacing w:val="-2"/>
          <w:sz w:val="24"/>
        </w:rPr>
        <w:t>tablet</w:t>
      </w:r>
    </w:p>
    <w:p>
      <w:pPr>
        <w:pStyle w:val="BodyText"/>
        <w:spacing w:before="156"/>
        <w:rPr>
          <w:b/>
        </w:rPr>
      </w:pPr>
    </w:p>
    <w:p>
      <w:pPr>
        <w:pStyle w:val="ListParagraph"/>
        <w:numPr>
          <w:ilvl w:val="3"/>
          <w:numId w:val="12"/>
        </w:numPr>
        <w:tabs>
          <w:tab w:pos="1859" w:val="left" w:leader="none"/>
        </w:tabs>
        <w:spacing w:line="480" w:lineRule="auto" w:before="1" w:after="0"/>
        <w:ind w:left="1200" w:right="6448" w:firstLine="0"/>
        <w:jc w:val="both"/>
        <w:rPr>
          <w:i/>
          <w:sz w:val="24"/>
        </w:rPr>
      </w:pPr>
      <w:r>
        <w:rPr>
          <w:i/>
          <w:sz w:val="24"/>
        </w:rPr>
        <w:t>Identificationof</w:t>
      </w:r>
      <w:r>
        <w:rPr>
          <w:i/>
          <w:spacing w:val="-12"/>
          <w:sz w:val="24"/>
        </w:rPr>
        <w:t> </w:t>
      </w:r>
      <w:r>
        <w:rPr>
          <w:i/>
          <w:sz w:val="24"/>
        </w:rPr>
        <w:t>pure</w:t>
      </w:r>
      <w:r>
        <w:rPr>
          <w:i/>
          <w:spacing w:val="-12"/>
          <w:sz w:val="24"/>
        </w:rPr>
        <w:t> </w:t>
      </w:r>
      <w:r>
        <w:rPr>
          <w:sz w:val="24"/>
        </w:rPr>
        <w:t>isoniazid</w:t>
      </w:r>
      <w:r>
        <w:rPr>
          <w:spacing w:val="-11"/>
          <w:sz w:val="24"/>
        </w:rPr>
        <w:t> </w:t>
      </w:r>
      <w:r>
        <w:rPr>
          <w:i/>
          <w:sz w:val="24"/>
        </w:rPr>
        <w:t>powder Melting point determination</w:t>
      </w:r>
    </w:p>
    <w:p>
      <w:pPr>
        <w:pStyle w:val="BodyText"/>
        <w:spacing w:line="480" w:lineRule="auto"/>
        <w:ind w:left="1200" w:right="1435"/>
        <w:jc w:val="both"/>
      </w:pPr>
      <w:r>
        <w:rPr/>
        <w:t>A capillary tube was filled with the standard isoniazid powder and carefully tapped to about 3.5 mm, placed into the melting point apparatus and machine set at high temperature for rapid determination of melting point. The melting process was observed with magnifying lens and the melting point recorded was compared with reference standard (BP, 2009)</w:t>
      </w:r>
    </w:p>
    <w:p>
      <w:pPr>
        <w:spacing w:line="274" w:lineRule="exact" w:before="0"/>
        <w:ind w:left="1200" w:right="0" w:firstLine="0"/>
        <w:jc w:val="both"/>
        <w:rPr>
          <w:i/>
          <w:sz w:val="24"/>
        </w:rPr>
      </w:pPr>
      <w:r>
        <w:rPr>
          <w:i/>
          <w:sz w:val="24"/>
        </w:rPr>
        <w:t>FTIR </w:t>
      </w:r>
      <w:r>
        <w:rPr>
          <w:i/>
          <w:spacing w:val="-2"/>
          <w:sz w:val="24"/>
        </w:rPr>
        <w:t>analysis</w:t>
      </w:r>
    </w:p>
    <w:p>
      <w:pPr>
        <w:pStyle w:val="BodyText"/>
        <w:rPr>
          <w:i/>
        </w:rPr>
      </w:pPr>
    </w:p>
    <w:p>
      <w:pPr>
        <w:pStyle w:val="BodyText"/>
        <w:spacing w:line="480" w:lineRule="auto"/>
        <w:ind w:left="1200" w:right="1431"/>
      </w:pPr>
      <w:r>
        <w:rPr/>
        <w:t>A</w:t>
      </w:r>
      <w:r>
        <w:rPr>
          <w:spacing w:val="27"/>
        </w:rPr>
        <w:t> </w:t>
      </w:r>
      <w:r>
        <w:rPr/>
        <w:t>portion</w:t>
      </w:r>
      <w:r>
        <w:rPr>
          <w:spacing w:val="27"/>
        </w:rPr>
        <w:t> </w:t>
      </w:r>
      <w:r>
        <w:rPr/>
        <w:t>of</w:t>
      </w:r>
      <w:r>
        <w:rPr>
          <w:spacing w:val="27"/>
        </w:rPr>
        <w:t> </w:t>
      </w:r>
      <w:r>
        <w:rPr/>
        <w:t>pure</w:t>
      </w:r>
      <w:r>
        <w:rPr>
          <w:spacing w:val="26"/>
        </w:rPr>
        <w:t> </w:t>
      </w:r>
      <w:r>
        <w:rPr/>
        <w:t>isoniazid</w:t>
      </w:r>
      <w:r>
        <w:rPr>
          <w:spacing w:val="29"/>
        </w:rPr>
        <w:t> </w:t>
      </w:r>
      <w:r>
        <w:rPr/>
        <w:t>powder</w:t>
      </w:r>
      <w:r>
        <w:rPr>
          <w:spacing w:val="27"/>
        </w:rPr>
        <w:t> </w:t>
      </w:r>
      <w:r>
        <w:rPr/>
        <w:t>was</w:t>
      </w:r>
      <w:r>
        <w:rPr>
          <w:spacing w:val="27"/>
        </w:rPr>
        <w:t> </w:t>
      </w:r>
      <w:r>
        <w:rPr/>
        <w:t>directly</w:t>
      </w:r>
      <w:r>
        <w:rPr>
          <w:spacing w:val="26"/>
        </w:rPr>
        <w:t> </w:t>
      </w:r>
      <w:r>
        <w:rPr/>
        <w:t>subjected</w:t>
      </w:r>
      <w:r>
        <w:rPr>
          <w:spacing w:val="27"/>
        </w:rPr>
        <w:t> </w:t>
      </w:r>
      <w:r>
        <w:rPr/>
        <w:t>to</w:t>
      </w:r>
      <w:r>
        <w:rPr>
          <w:spacing w:val="27"/>
        </w:rPr>
        <w:t> </w:t>
      </w:r>
      <w:r>
        <w:rPr/>
        <w:t>FTIR</w:t>
      </w:r>
      <w:r>
        <w:rPr>
          <w:spacing w:val="29"/>
        </w:rPr>
        <w:t> </w:t>
      </w:r>
      <w:r>
        <w:rPr/>
        <w:t>analysis</w:t>
      </w:r>
      <w:r>
        <w:rPr>
          <w:spacing w:val="31"/>
        </w:rPr>
        <w:t> </w:t>
      </w:r>
      <w:r>
        <w:rPr/>
        <w:t>and</w:t>
      </w:r>
      <w:r>
        <w:rPr>
          <w:spacing w:val="27"/>
        </w:rPr>
        <w:t> </w:t>
      </w:r>
      <w:r>
        <w:rPr/>
        <w:t>the</w:t>
      </w:r>
      <w:r>
        <w:rPr>
          <w:spacing w:val="27"/>
        </w:rPr>
        <w:t> </w:t>
      </w:r>
      <w:r>
        <w:rPr/>
        <w:t>spectrum obtained was compared with the spectrum of a reference.</w:t>
      </w:r>
    </w:p>
    <w:p>
      <w:pPr>
        <w:spacing w:after="0" w:line="480" w:lineRule="auto"/>
        <w:sectPr>
          <w:pgSz w:w="12240" w:h="15840"/>
          <w:pgMar w:header="0" w:footer="1015" w:top="1360" w:bottom="1200" w:left="240" w:right="0"/>
        </w:sectPr>
      </w:pPr>
    </w:p>
    <w:p>
      <w:pPr>
        <w:pStyle w:val="ListParagraph"/>
        <w:numPr>
          <w:ilvl w:val="3"/>
          <w:numId w:val="12"/>
        </w:numPr>
        <w:tabs>
          <w:tab w:pos="1919" w:val="left" w:leader="none"/>
        </w:tabs>
        <w:spacing w:line="240" w:lineRule="auto" w:before="72" w:after="0"/>
        <w:ind w:left="1919" w:right="0" w:hanging="719"/>
        <w:jc w:val="both"/>
        <w:rPr>
          <w:i/>
          <w:sz w:val="24"/>
        </w:rPr>
      </w:pPr>
      <w:r>
        <w:rPr>
          <w:i/>
          <w:sz w:val="24"/>
        </w:rPr>
        <w:t>Assay</w:t>
      </w:r>
      <w:r>
        <w:rPr>
          <w:i/>
          <w:spacing w:val="-1"/>
          <w:sz w:val="24"/>
        </w:rPr>
        <w:t> </w:t>
      </w:r>
      <w:r>
        <w:rPr>
          <w:i/>
          <w:sz w:val="24"/>
        </w:rPr>
        <w:t>of standard</w:t>
      </w:r>
      <w:r>
        <w:rPr>
          <w:i/>
          <w:spacing w:val="1"/>
          <w:sz w:val="24"/>
        </w:rPr>
        <w:t> </w:t>
      </w:r>
      <w:r>
        <w:rPr>
          <w:spacing w:val="-2"/>
          <w:sz w:val="24"/>
        </w:rPr>
        <w:t>isoniazid</w:t>
      </w:r>
      <w:r>
        <w:rPr>
          <w:i/>
          <w:spacing w:val="-2"/>
          <w:sz w:val="24"/>
        </w:rPr>
        <w:t>powder</w:t>
      </w:r>
    </w:p>
    <w:p>
      <w:pPr>
        <w:pStyle w:val="BodyText"/>
        <w:rPr>
          <w:i/>
        </w:rPr>
      </w:pPr>
    </w:p>
    <w:p>
      <w:pPr>
        <w:pStyle w:val="BodyText"/>
        <w:spacing w:line="480" w:lineRule="auto"/>
        <w:ind w:left="1200" w:right="1435"/>
        <w:jc w:val="both"/>
      </w:pPr>
      <w:r>
        <w:rPr/>
        <w:t>The assay was carried out by dissolving the standard isoniazid powder (0.250 g) in 100 mL of distilled water. A portion (20 mL) of the solution was withdrawn and transferredinto a beaker. Water (100 mL), hydrochloric acid (20 mL), potassium bromide (0.2 g) and methyl red solution (0.05</w:t>
      </w:r>
      <w:r>
        <w:rPr>
          <w:spacing w:val="-4"/>
        </w:rPr>
        <w:t> </w:t>
      </w:r>
      <w:r>
        <w:rPr/>
        <w:t>mL)</w:t>
      </w:r>
      <w:r>
        <w:rPr>
          <w:spacing w:val="-3"/>
        </w:rPr>
        <w:t> </w:t>
      </w:r>
      <w:r>
        <w:rPr/>
        <w:t>were</w:t>
      </w:r>
      <w:r>
        <w:rPr>
          <w:spacing w:val="-3"/>
        </w:rPr>
        <w:t> </w:t>
      </w:r>
      <w:r>
        <w:rPr/>
        <w:t>added.</w:t>
      </w:r>
      <w:r>
        <w:rPr>
          <w:spacing w:val="-1"/>
        </w:rPr>
        <w:t> </w:t>
      </w:r>
      <w:r>
        <w:rPr/>
        <w:t>The</w:t>
      </w:r>
      <w:r>
        <w:rPr>
          <w:spacing w:val="-4"/>
        </w:rPr>
        <w:t> </w:t>
      </w:r>
      <w:r>
        <w:rPr/>
        <w:t>resultant</w:t>
      </w:r>
      <w:r>
        <w:rPr>
          <w:spacing w:val="-3"/>
        </w:rPr>
        <w:t> </w:t>
      </w:r>
      <w:r>
        <w:rPr/>
        <w:t>solution</w:t>
      </w:r>
      <w:r>
        <w:rPr>
          <w:spacing w:val="-3"/>
        </w:rPr>
        <w:t> </w:t>
      </w:r>
      <w:r>
        <w:rPr/>
        <w:t>was then</w:t>
      </w:r>
      <w:r>
        <w:rPr>
          <w:spacing w:val="-3"/>
        </w:rPr>
        <w:t> </w:t>
      </w:r>
      <w:r>
        <w:rPr/>
        <w:t>titrated</w:t>
      </w:r>
      <w:r>
        <w:rPr>
          <w:spacing w:val="-3"/>
        </w:rPr>
        <w:t> </w:t>
      </w:r>
      <w:r>
        <w:rPr/>
        <w:t>with 0.0167</w:t>
      </w:r>
      <w:r>
        <w:rPr>
          <w:spacing w:val="-1"/>
        </w:rPr>
        <w:t> </w:t>
      </w:r>
      <w:r>
        <w:rPr/>
        <w:t>M</w:t>
      </w:r>
      <w:r>
        <w:rPr>
          <w:spacing w:val="-3"/>
        </w:rPr>
        <w:t> </w:t>
      </w:r>
      <w:r>
        <w:rPr/>
        <w:t>potassium</w:t>
      </w:r>
      <w:r>
        <w:rPr>
          <w:spacing w:val="-3"/>
        </w:rPr>
        <w:t> </w:t>
      </w:r>
      <w:r>
        <w:rPr/>
        <w:t>bromate with continues shaking until the red colour disappeared.</w:t>
      </w:r>
    </w:p>
    <w:p>
      <w:pPr>
        <w:pStyle w:val="BodyText"/>
        <w:spacing w:line="480" w:lineRule="auto"/>
        <w:ind w:left="1200" w:right="1436"/>
        <w:jc w:val="both"/>
      </w:pPr>
      <w:r>
        <w:rPr/>
        <w:t>Isoniazid content was determined using relation 1 mL of 0.0167 M potassium bromate is equivalent to 3.429 mg of isoniazid (BP, 2009).</w:t>
      </w:r>
    </w:p>
    <w:p>
      <w:pPr>
        <w:pStyle w:val="ListParagraph"/>
        <w:numPr>
          <w:ilvl w:val="3"/>
          <w:numId w:val="12"/>
        </w:numPr>
        <w:tabs>
          <w:tab w:pos="1919" w:val="left" w:leader="none"/>
        </w:tabs>
        <w:spacing w:line="480" w:lineRule="auto" w:before="1" w:after="0"/>
        <w:ind w:left="1200" w:right="7123" w:firstLine="0"/>
        <w:jc w:val="both"/>
        <w:rPr>
          <w:i/>
          <w:sz w:val="24"/>
        </w:rPr>
      </w:pPr>
      <w:r>
        <w:rPr>
          <w:i/>
          <w:sz w:val="24"/>
        </w:rPr>
        <w:t>Identificationof</w:t>
      </w:r>
      <w:r>
        <w:rPr>
          <w:i/>
          <w:spacing w:val="-15"/>
          <w:sz w:val="24"/>
        </w:rPr>
        <w:t> </w:t>
      </w:r>
      <w:r>
        <w:rPr>
          <w:sz w:val="24"/>
        </w:rPr>
        <w:t>isoniazid</w:t>
      </w:r>
      <w:r>
        <w:rPr>
          <w:i/>
          <w:sz w:val="24"/>
        </w:rPr>
        <w:t>tablet FTIR analysis</w:t>
      </w:r>
    </w:p>
    <w:p>
      <w:pPr>
        <w:pStyle w:val="BodyText"/>
        <w:spacing w:line="480" w:lineRule="auto"/>
        <w:ind w:left="1200" w:right="1434"/>
        <w:jc w:val="both"/>
      </w:pPr>
      <w:r>
        <w:rPr/>
        <w:t>Ten tablets of isoniazid were weighed and powdered in pestle and motor. A quantity of powder equivalent to 0.1 g of isoniazid was taken and shaken with 10 mL of ethanol (96 %v/v) for 15 minutes then centrifuged and supernatant liquid was decanted. The residue was further extracted with two 10 mL portions of ethanol (96 %v/v) and the combine extract was evaporated to dryness. The infrared spectrum of the dried residue was determined and compared with the reference spectrum of isoniazid (BP, 2009).</w:t>
      </w:r>
    </w:p>
    <w:p>
      <w:pPr>
        <w:pStyle w:val="ListParagraph"/>
        <w:numPr>
          <w:ilvl w:val="3"/>
          <w:numId w:val="12"/>
        </w:numPr>
        <w:tabs>
          <w:tab w:pos="1859" w:val="left" w:leader="none"/>
        </w:tabs>
        <w:spacing w:line="240" w:lineRule="auto" w:before="1" w:after="0"/>
        <w:ind w:left="1859" w:right="0" w:hanging="659"/>
        <w:jc w:val="both"/>
        <w:rPr>
          <w:i/>
          <w:sz w:val="24"/>
        </w:rPr>
      </w:pPr>
      <w:r>
        <w:rPr>
          <w:i/>
          <w:sz w:val="24"/>
        </w:rPr>
        <w:t>Assay</w:t>
      </w:r>
      <w:r>
        <w:rPr>
          <w:i/>
          <w:spacing w:val="-1"/>
          <w:sz w:val="24"/>
        </w:rPr>
        <w:t> </w:t>
      </w:r>
      <w:r>
        <w:rPr>
          <w:i/>
          <w:sz w:val="24"/>
        </w:rPr>
        <w:t>of isoniazid</w:t>
      </w:r>
      <w:r>
        <w:rPr>
          <w:i/>
          <w:spacing w:val="-1"/>
          <w:sz w:val="24"/>
        </w:rPr>
        <w:t> </w:t>
      </w:r>
      <w:r>
        <w:rPr>
          <w:i/>
          <w:spacing w:val="-2"/>
          <w:sz w:val="24"/>
        </w:rPr>
        <w:t>tablets</w:t>
      </w:r>
    </w:p>
    <w:p>
      <w:pPr>
        <w:pStyle w:val="BodyText"/>
        <w:rPr>
          <w:i/>
        </w:rPr>
      </w:pPr>
    </w:p>
    <w:p>
      <w:pPr>
        <w:pStyle w:val="BodyText"/>
        <w:spacing w:line="480" w:lineRule="auto"/>
        <w:ind w:left="1200" w:right="1431"/>
      </w:pPr>
      <w:r>
        <w:rPr/>
        <w:t>Twenty</w:t>
      </w:r>
      <w:r>
        <w:rPr>
          <w:spacing w:val="40"/>
        </w:rPr>
        <w:t> </w:t>
      </w:r>
      <w:r>
        <w:rPr/>
        <w:t>tablets</w:t>
      </w:r>
      <w:r>
        <w:rPr>
          <w:spacing w:val="40"/>
        </w:rPr>
        <w:t> </w:t>
      </w:r>
      <w:r>
        <w:rPr/>
        <w:t>of</w:t>
      </w:r>
      <w:r>
        <w:rPr>
          <w:spacing w:val="40"/>
        </w:rPr>
        <w:t> </w:t>
      </w:r>
      <w:r>
        <w:rPr/>
        <w:t>isoniazidwere</w:t>
      </w:r>
      <w:r>
        <w:rPr>
          <w:spacing w:val="40"/>
        </w:rPr>
        <w:t> </w:t>
      </w:r>
      <w:r>
        <w:rPr/>
        <w:t>accurately</w:t>
      </w:r>
      <w:r>
        <w:rPr>
          <w:spacing w:val="40"/>
        </w:rPr>
        <w:t> </w:t>
      </w:r>
      <w:r>
        <w:rPr/>
        <w:t>weighed</w:t>
      </w:r>
      <w:r>
        <w:rPr>
          <w:spacing w:val="40"/>
        </w:rPr>
        <w:t> </w:t>
      </w:r>
      <w:r>
        <w:rPr/>
        <w:t>and</w:t>
      </w:r>
      <w:r>
        <w:rPr>
          <w:spacing w:val="40"/>
        </w:rPr>
        <w:t> </w:t>
      </w:r>
      <w:r>
        <w:rPr/>
        <w:t>powdered</w:t>
      </w:r>
      <w:r>
        <w:rPr>
          <w:spacing w:val="40"/>
        </w:rPr>
        <w:t> </w:t>
      </w:r>
      <w:r>
        <w:rPr/>
        <w:t>in</w:t>
      </w:r>
      <w:r>
        <w:rPr>
          <w:spacing w:val="40"/>
        </w:rPr>
        <w:t> </w:t>
      </w:r>
      <w:r>
        <w:rPr/>
        <w:t>pestle</w:t>
      </w:r>
      <w:r>
        <w:rPr>
          <w:spacing w:val="40"/>
        </w:rPr>
        <w:t> </w:t>
      </w:r>
      <w:r>
        <w:rPr/>
        <w:t>and</w:t>
      </w:r>
      <w:r>
        <w:rPr>
          <w:spacing w:val="40"/>
        </w:rPr>
        <w:t> </w:t>
      </w:r>
      <w:r>
        <w:rPr/>
        <w:t>motor.</w:t>
      </w:r>
      <w:r>
        <w:rPr>
          <w:spacing w:val="40"/>
        </w:rPr>
        <w:t> </w:t>
      </w:r>
      <w:r>
        <w:rPr/>
        <w:t>A</w:t>
      </w:r>
      <w:r>
        <w:rPr>
          <w:spacing w:val="80"/>
        </w:rPr>
        <w:t> </w:t>
      </w:r>
      <w:r>
        <w:rPr/>
        <w:t>quantity of powder 0.467 g equivalent to 0.4 g of isoniazid was dissolved in distilled water and</w:t>
      </w:r>
      <w:r>
        <w:rPr>
          <w:spacing w:val="40"/>
        </w:rPr>
        <w:t> </w:t>
      </w:r>
      <w:r>
        <w:rPr/>
        <w:t>filtered.</w:t>
      </w:r>
      <w:r>
        <w:rPr>
          <w:spacing w:val="40"/>
        </w:rPr>
        <w:t> </w:t>
      </w:r>
      <w:r>
        <w:rPr/>
        <w:t>The</w:t>
      </w:r>
      <w:r>
        <w:rPr>
          <w:spacing w:val="40"/>
        </w:rPr>
        <w:t> </w:t>
      </w:r>
      <w:r>
        <w:rPr/>
        <w:t>residue</w:t>
      </w:r>
      <w:r>
        <w:rPr>
          <w:spacing w:val="40"/>
        </w:rPr>
        <w:t> </w:t>
      </w:r>
      <w:r>
        <w:rPr/>
        <w:t>was</w:t>
      </w:r>
      <w:r>
        <w:rPr>
          <w:spacing w:val="40"/>
        </w:rPr>
        <w:t> </w:t>
      </w:r>
      <w:r>
        <w:rPr/>
        <w:t>washed</w:t>
      </w:r>
      <w:r>
        <w:rPr>
          <w:spacing w:val="40"/>
        </w:rPr>
        <w:t> </w:t>
      </w:r>
      <w:r>
        <w:rPr/>
        <w:t>with</w:t>
      </w:r>
      <w:r>
        <w:rPr>
          <w:spacing w:val="40"/>
        </w:rPr>
        <w:t> </w:t>
      </w:r>
      <w:r>
        <w:rPr/>
        <w:t>sufficient</w:t>
      </w:r>
      <w:r>
        <w:rPr>
          <w:spacing w:val="40"/>
        </w:rPr>
        <w:t> </w:t>
      </w:r>
      <w:r>
        <w:rPr/>
        <w:t>water</w:t>
      </w:r>
      <w:r>
        <w:rPr>
          <w:spacing w:val="40"/>
        </w:rPr>
        <w:t> </w:t>
      </w:r>
      <w:r>
        <w:rPr/>
        <w:t>to</w:t>
      </w:r>
      <w:r>
        <w:rPr>
          <w:spacing w:val="40"/>
        </w:rPr>
        <w:t> </w:t>
      </w:r>
      <w:r>
        <w:rPr/>
        <w:t>produced</w:t>
      </w:r>
      <w:r>
        <w:rPr>
          <w:spacing w:val="40"/>
        </w:rPr>
        <w:t> </w:t>
      </w:r>
      <w:r>
        <w:rPr/>
        <w:t>250</w:t>
      </w:r>
      <w:r>
        <w:rPr>
          <w:spacing w:val="40"/>
        </w:rPr>
        <w:t> </w:t>
      </w:r>
      <w:r>
        <w:rPr/>
        <w:t>mL</w:t>
      </w:r>
      <w:r>
        <w:rPr>
          <w:spacing w:val="40"/>
        </w:rPr>
        <w:t> </w:t>
      </w:r>
      <w:r>
        <w:rPr/>
        <w:t>To</w:t>
      </w:r>
      <w:r>
        <w:rPr>
          <w:spacing w:val="40"/>
        </w:rPr>
        <w:t> </w:t>
      </w:r>
      <w:r>
        <w:rPr/>
        <w:t>50</w:t>
      </w:r>
      <w:r>
        <w:rPr>
          <w:spacing w:val="40"/>
        </w:rPr>
        <w:t> </w:t>
      </w:r>
      <w:r>
        <w:rPr/>
        <w:t>mL</w:t>
      </w:r>
      <w:r>
        <w:rPr>
          <w:spacing w:val="40"/>
        </w:rPr>
        <w:t> </w:t>
      </w:r>
      <w:r>
        <w:rPr/>
        <w:t>of</w:t>
      </w:r>
      <w:r>
        <w:rPr>
          <w:spacing w:val="40"/>
        </w:rPr>
        <w:t> </w:t>
      </w:r>
      <w:r>
        <w:rPr/>
        <w:t>resulting solution, water 50 mL, hydrochloric acid 20 mL</w:t>
      </w:r>
      <w:r>
        <w:rPr>
          <w:spacing w:val="-3"/>
        </w:rPr>
        <w:t> </w:t>
      </w:r>
      <w:r>
        <w:rPr/>
        <w:t>and potassium bromide 0.2 g</w:t>
      </w:r>
      <w:r>
        <w:rPr>
          <w:spacing w:val="-1"/>
        </w:rPr>
        <w:t> </w:t>
      </w:r>
      <w:r>
        <w:rPr/>
        <w:t>were add ed</w:t>
      </w:r>
      <w:r>
        <w:rPr>
          <w:spacing w:val="-2"/>
        </w:rPr>
        <w:t> </w:t>
      </w:r>
      <w:r>
        <w:rPr/>
        <w:t>and</w:t>
      </w:r>
      <w:r>
        <w:rPr>
          <w:spacing w:val="-3"/>
        </w:rPr>
        <w:t> </w:t>
      </w:r>
      <w:r>
        <w:rPr/>
        <w:t>titrated</w:t>
      </w:r>
      <w:r>
        <w:rPr>
          <w:spacing w:val="-2"/>
        </w:rPr>
        <w:t> </w:t>
      </w:r>
      <w:r>
        <w:rPr/>
        <w:t>with</w:t>
      </w:r>
      <w:r>
        <w:rPr>
          <w:spacing w:val="-2"/>
        </w:rPr>
        <w:t> </w:t>
      </w:r>
      <w:r>
        <w:rPr/>
        <w:t>0.0167</w:t>
      </w:r>
      <w:r>
        <w:rPr>
          <w:spacing w:val="-2"/>
        </w:rPr>
        <w:t> </w:t>
      </w:r>
      <w:r>
        <w:rPr/>
        <w:t>M</w:t>
      </w:r>
      <w:r>
        <w:rPr>
          <w:spacing w:val="-2"/>
        </w:rPr>
        <w:t> </w:t>
      </w:r>
      <w:r>
        <w:rPr/>
        <w:t>potassium</w:t>
      </w:r>
      <w:r>
        <w:rPr>
          <w:spacing w:val="-1"/>
        </w:rPr>
        <w:t> </w:t>
      </w:r>
      <w:r>
        <w:rPr/>
        <w:t>bromate</w:t>
      </w:r>
      <w:r>
        <w:rPr>
          <w:spacing w:val="-3"/>
        </w:rPr>
        <w:t> </w:t>
      </w:r>
      <w:r>
        <w:rPr/>
        <w:t>with</w:t>
      </w:r>
      <w:r>
        <w:rPr>
          <w:spacing w:val="-2"/>
        </w:rPr>
        <w:t> </w:t>
      </w:r>
      <w:r>
        <w:rPr/>
        <w:t>continues</w:t>
      </w:r>
      <w:r>
        <w:rPr>
          <w:spacing w:val="-2"/>
        </w:rPr>
        <w:t> </w:t>
      </w:r>
      <w:r>
        <w:rPr/>
        <w:t>shaking</w:t>
      </w:r>
      <w:r>
        <w:rPr>
          <w:spacing w:val="-5"/>
        </w:rPr>
        <w:t> </w:t>
      </w:r>
      <w:r>
        <w:rPr/>
        <w:t>until</w:t>
      </w:r>
      <w:r>
        <w:rPr>
          <w:spacing w:val="-1"/>
        </w:rPr>
        <w:t> </w:t>
      </w:r>
      <w:r>
        <w:rPr/>
        <w:t>the</w:t>
      </w:r>
      <w:r>
        <w:rPr>
          <w:spacing w:val="-2"/>
        </w:rPr>
        <w:t> </w:t>
      </w:r>
      <w:r>
        <w:rPr/>
        <w:t>red</w:t>
      </w:r>
      <w:r>
        <w:rPr>
          <w:spacing w:val="-2"/>
        </w:rPr>
        <w:t> </w:t>
      </w:r>
      <w:r>
        <w:rPr/>
        <w:t>colour</w:t>
      </w:r>
      <w:r>
        <w:rPr>
          <w:spacing w:val="-3"/>
        </w:rPr>
        <w:t> </w:t>
      </w:r>
      <w:r>
        <w:rPr/>
        <w:t>disa ppeared.</w:t>
      </w:r>
      <w:r>
        <w:rPr>
          <w:spacing w:val="-1"/>
        </w:rPr>
        <w:t> </w:t>
      </w:r>
      <w:r>
        <w:rPr/>
        <w:t>Each one</w:t>
      </w:r>
      <w:r>
        <w:rPr>
          <w:spacing w:val="-2"/>
        </w:rPr>
        <w:t> </w:t>
      </w:r>
      <w:r>
        <w:rPr/>
        <w:t>mL</w:t>
      </w:r>
      <w:r>
        <w:rPr>
          <w:spacing w:val="-3"/>
        </w:rPr>
        <w:t> </w:t>
      </w:r>
      <w:r>
        <w:rPr/>
        <w:t>of</w:t>
      </w:r>
      <w:r>
        <w:rPr>
          <w:spacing w:val="2"/>
        </w:rPr>
        <w:t> </w:t>
      </w:r>
      <w:r>
        <w:rPr/>
        <w:t>potassium</w:t>
      </w:r>
      <w:r>
        <w:rPr>
          <w:spacing w:val="49"/>
        </w:rPr>
        <w:t> </w:t>
      </w:r>
      <w:r>
        <w:rPr/>
        <w:t>bromate</w:t>
      </w:r>
      <w:r>
        <w:rPr>
          <w:spacing w:val="48"/>
        </w:rPr>
        <w:t> </w:t>
      </w:r>
      <w:r>
        <w:rPr/>
        <w:t>0.</w:t>
      </w:r>
      <w:r>
        <w:rPr>
          <w:spacing w:val="50"/>
        </w:rPr>
        <w:t> </w:t>
      </w:r>
      <w:r>
        <w:rPr/>
        <w:t>0167Mis</w:t>
      </w:r>
      <w:r>
        <w:rPr>
          <w:spacing w:val="49"/>
        </w:rPr>
        <w:t> </w:t>
      </w:r>
      <w:r>
        <w:rPr/>
        <w:t>equivalent</w:t>
      </w:r>
      <w:r>
        <w:rPr>
          <w:spacing w:val="49"/>
        </w:rPr>
        <w:t> </w:t>
      </w:r>
      <w:r>
        <w:rPr/>
        <w:t>to</w:t>
      </w:r>
      <w:r>
        <w:rPr>
          <w:spacing w:val="50"/>
        </w:rPr>
        <w:t> </w:t>
      </w:r>
      <w:r>
        <w:rPr/>
        <w:t>3.429</w:t>
      </w:r>
      <w:r>
        <w:rPr>
          <w:spacing w:val="49"/>
        </w:rPr>
        <w:t> </w:t>
      </w:r>
      <w:r>
        <w:rPr/>
        <w:t>mg</w:t>
      </w:r>
      <w:r>
        <w:rPr>
          <w:spacing w:val="47"/>
        </w:rPr>
        <w:t> </w:t>
      </w:r>
      <w:r>
        <w:rPr/>
        <w:t>of</w:t>
      </w:r>
      <w:r>
        <w:rPr>
          <w:spacing w:val="49"/>
        </w:rPr>
        <w:t> </w:t>
      </w:r>
      <w:r>
        <w:rPr>
          <w:spacing w:val="-2"/>
        </w:rPr>
        <w:t>isoniazid</w:t>
      </w:r>
    </w:p>
    <w:p>
      <w:pPr>
        <w:spacing w:after="0" w:line="480" w:lineRule="auto"/>
        <w:sectPr>
          <w:pgSz w:w="12240" w:h="15840"/>
          <w:pgMar w:header="0" w:footer="1015" w:top="1360" w:bottom="1200" w:left="240" w:right="0"/>
        </w:sectPr>
      </w:pPr>
    </w:p>
    <w:p>
      <w:pPr>
        <w:pStyle w:val="BodyText"/>
        <w:spacing w:before="72"/>
        <w:ind w:left="1200"/>
      </w:pPr>
      <w:r>
        <w:rPr/>
        <w:t>(BP,</w:t>
      </w:r>
      <w:r>
        <w:rPr>
          <w:spacing w:val="-3"/>
        </w:rPr>
        <w:t> </w:t>
      </w:r>
      <w:r>
        <w:rPr>
          <w:spacing w:val="-2"/>
        </w:rPr>
        <w:t>2009).</w:t>
      </w:r>
    </w:p>
    <w:p>
      <w:pPr>
        <w:pStyle w:val="BodyText"/>
        <w:spacing w:before="5"/>
      </w:pPr>
    </w:p>
    <w:p>
      <w:pPr>
        <w:pStyle w:val="Heading3"/>
        <w:numPr>
          <w:ilvl w:val="2"/>
          <w:numId w:val="12"/>
        </w:numPr>
        <w:tabs>
          <w:tab w:pos="1740" w:val="left" w:leader="none"/>
        </w:tabs>
        <w:spacing w:line="240" w:lineRule="auto" w:before="0" w:after="0"/>
        <w:ind w:left="1740" w:right="0" w:hanging="540"/>
        <w:jc w:val="left"/>
      </w:pPr>
      <w:bookmarkStart w:name="_TOC_250010" w:id="24"/>
      <w:r>
        <w:rPr/>
        <w:t>Selection</w:t>
      </w:r>
      <w:r>
        <w:rPr>
          <w:spacing w:val="-2"/>
        </w:rPr>
        <w:t> </w:t>
      </w:r>
      <w:r>
        <w:rPr/>
        <w:t>of </w:t>
      </w:r>
      <w:bookmarkEnd w:id="24"/>
      <w:r>
        <w:rPr>
          <w:spacing w:val="-2"/>
        </w:rPr>
        <w:t>solvents</w:t>
      </w:r>
    </w:p>
    <w:p>
      <w:pPr>
        <w:pStyle w:val="BodyText"/>
        <w:spacing w:line="480" w:lineRule="auto" w:before="271"/>
        <w:ind w:left="1200" w:right="1431"/>
      </w:pPr>
      <w:r>
        <w:rPr/>
        <w:t>The</w:t>
      </w:r>
      <w:r>
        <w:rPr>
          <w:spacing w:val="-2"/>
        </w:rPr>
        <w:t> </w:t>
      </w:r>
      <w:r>
        <w:rPr/>
        <w:t>solubility</w:t>
      </w:r>
      <w:r>
        <w:rPr>
          <w:spacing w:val="-5"/>
        </w:rPr>
        <w:t> </w:t>
      </w:r>
      <w:r>
        <w:rPr/>
        <w:t>of</w:t>
      </w:r>
      <w:r>
        <w:rPr>
          <w:spacing w:val="-2"/>
        </w:rPr>
        <w:t> </w:t>
      </w:r>
      <w:r>
        <w:rPr/>
        <w:t>isoniazid in</w:t>
      </w:r>
      <w:r>
        <w:rPr>
          <w:spacing w:val="-1"/>
        </w:rPr>
        <w:t> </w:t>
      </w:r>
      <w:r>
        <w:rPr/>
        <w:t>distilled</w:t>
      </w:r>
      <w:r>
        <w:rPr>
          <w:spacing w:val="-2"/>
        </w:rPr>
        <w:t> </w:t>
      </w:r>
      <w:r>
        <w:rPr/>
        <w:t>water,</w:t>
      </w:r>
      <w:r>
        <w:rPr>
          <w:spacing w:val="-1"/>
        </w:rPr>
        <w:t> </w:t>
      </w:r>
      <w:r>
        <w:rPr/>
        <w:t>methanol,</w:t>
      </w:r>
      <w:r>
        <w:rPr>
          <w:spacing w:val="-1"/>
        </w:rPr>
        <w:t> </w:t>
      </w:r>
      <w:r>
        <w:rPr/>
        <w:t>ethanol,</w:t>
      </w:r>
      <w:r>
        <w:rPr>
          <w:spacing w:val="-1"/>
        </w:rPr>
        <w:t> </w:t>
      </w:r>
      <w:r>
        <w:rPr/>
        <w:t>chloroform,</w:t>
      </w:r>
      <w:r>
        <w:rPr>
          <w:spacing w:val="-1"/>
        </w:rPr>
        <w:t> </w:t>
      </w:r>
      <w:r>
        <w:rPr/>
        <w:t>ether and</w:t>
      </w:r>
      <w:r>
        <w:rPr>
          <w:spacing w:val="-1"/>
        </w:rPr>
        <w:t> </w:t>
      </w:r>
      <w:r>
        <w:rPr/>
        <w:t>benzene at room temperature was tested.</w:t>
      </w:r>
    </w:p>
    <w:p>
      <w:pPr>
        <w:pStyle w:val="Heading3"/>
        <w:numPr>
          <w:ilvl w:val="2"/>
          <w:numId w:val="12"/>
        </w:numPr>
        <w:tabs>
          <w:tab w:pos="1680" w:val="left" w:leader="none"/>
        </w:tabs>
        <w:spacing w:line="240" w:lineRule="auto" w:before="5" w:after="0"/>
        <w:ind w:left="1680" w:right="0" w:hanging="480"/>
        <w:jc w:val="left"/>
        <w:rPr>
          <w:sz w:val="22"/>
        </w:rPr>
      </w:pPr>
      <w:bookmarkStart w:name="_TOC_250009" w:id="25"/>
      <w:r>
        <w:rPr/>
        <w:t>Preparation</w:t>
      </w:r>
      <w:r>
        <w:rPr>
          <w:spacing w:val="-1"/>
        </w:rPr>
        <w:t> </w:t>
      </w:r>
      <w:r>
        <w:rPr/>
        <w:t>of</w:t>
      </w:r>
      <w:r>
        <w:rPr>
          <w:spacing w:val="-1"/>
        </w:rPr>
        <w:t> </w:t>
      </w:r>
      <w:r>
        <w:rPr/>
        <w:t>solutions</w:t>
      </w:r>
      <w:r>
        <w:rPr>
          <w:spacing w:val="-2"/>
        </w:rPr>
        <w:t> </w:t>
      </w:r>
      <w:r>
        <w:rPr/>
        <w:t>and</w:t>
      </w:r>
      <w:r>
        <w:rPr>
          <w:spacing w:val="-1"/>
        </w:rPr>
        <w:t> </w:t>
      </w:r>
      <w:bookmarkEnd w:id="25"/>
      <w:r>
        <w:rPr>
          <w:spacing w:val="-2"/>
        </w:rPr>
        <w:t>reagents</w:t>
      </w:r>
    </w:p>
    <w:p>
      <w:pPr>
        <w:pStyle w:val="ListParagraph"/>
        <w:numPr>
          <w:ilvl w:val="3"/>
          <w:numId w:val="12"/>
        </w:numPr>
        <w:tabs>
          <w:tab w:pos="1919" w:val="left" w:leader="none"/>
        </w:tabs>
        <w:spacing w:line="240" w:lineRule="auto" w:before="271" w:after="0"/>
        <w:ind w:left="1919" w:right="0" w:hanging="719"/>
        <w:jc w:val="left"/>
        <w:rPr>
          <w:i/>
          <w:sz w:val="24"/>
        </w:rPr>
      </w:pPr>
      <w:r>
        <w:rPr>
          <w:i/>
          <w:sz w:val="24"/>
        </w:rPr>
        <w:t>Preparation</w:t>
      </w:r>
      <w:r>
        <w:rPr>
          <w:i/>
          <w:spacing w:val="-3"/>
          <w:sz w:val="24"/>
        </w:rPr>
        <w:t> </w:t>
      </w:r>
      <w:r>
        <w:rPr>
          <w:i/>
          <w:sz w:val="24"/>
        </w:rPr>
        <w:t>of isoniazidstock</w:t>
      </w:r>
      <w:r>
        <w:rPr>
          <w:i/>
          <w:spacing w:val="-3"/>
          <w:sz w:val="24"/>
        </w:rPr>
        <w:t> </w:t>
      </w:r>
      <w:r>
        <w:rPr>
          <w:i/>
          <w:sz w:val="24"/>
        </w:rPr>
        <w:t>solutions in</w:t>
      </w:r>
      <w:r>
        <w:rPr>
          <w:i/>
          <w:spacing w:val="-2"/>
          <w:sz w:val="24"/>
        </w:rPr>
        <w:t> </w:t>
      </w:r>
      <w:r>
        <w:rPr>
          <w:i/>
          <w:sz w:val="24"/>
        </w:rPr>
        <w:t>distilled</w:t>
      </w:r>
      <w:r>
        <w:rPr>
          <w:i/>
          <w:spacing w:val="-1"/>
          <w:sz w:val="24"/>
        </w:rPr>
        <w:t> </w:t>
      </w:r>
      <w:r>
        <w:rPr>
          <w:i/>
          <w:sz w:val="24"/>
        </w:rPr>
        <w:t>water and </w:t>
      </w:r>
      <w:r>
        <w:rPr>
          <w:i/>
          <w:spacing w:val="-2"/>
          <w:sz w:val="24"/>
        </w:rPr>
        <w:t>methanol.</w:t>
      </w:r>
    </w:p>
    <w:p>
      <w:pPr>
        <w:pStyle w:val="BodyText"/>
        <w:rPr>
          <w:i/>
        </w:rPr>
      </w:pPr>
    </w:p>
    <w:p>
      <w:pPr>
        <w:pStyle w:val="BodyText"/>
        <w:spacing w:line="379" w:lineRule="auto"/>
        <w:ind w:left="1200" w:right="1431"/>
      </w:pPr>
      <w:r>
        <w:rPr/>
        <w:t>Stock solutions(100 µg/mL) of isoniazid were prepared in distilled water and methanol by dissolving</w:t>
      </w:r>
      <w:r>
        <w:rPr>
          <w:spacing w:val="-6"/>
        </w:rPr>
        <w:t> </w:t>
      </w:r>
      <w:r>
        <w:rPr/>
        <w:t>10</w:t>
      </w:r>
      <w:r>
        <w:rPr>
          <w:spacing w:val="-3"/>
        </w:rPr>
        <w:t> </w:t>
      </w:r>
      <w:r>
        <w:rPr/>
        <w:t>mg</w:t>
      </w:r>
      <w:r>
        <w:rPr>
          <w:spacing w:val="-5"/>
        </w:rPr>
        <w:t> </w:t>
      </w:r>
      <w:r>
        <w:rPr/>
        <w:t>isonizid</w:t>
      </w:r>
      <w:r>
        <w:rPr>
          <w:spacing w:val="-2"/>
        </w:rPr>
        <w:t> </w:t>
      </w:r>
      <w:r>
        <w:rPr/>
        <w:t>standard</w:t>
      </w:r>
      <w:r>
        <w:rPr>
          <w:spacing w:val="-3"/>
        </w:rPr>
        <w:t> </w:t>
      </w:r>
      <w:r>
        <w:rPr/>
        <w:t>powder</w:t>
      </w:r>
      <w:r>
        <w:rPr>
          <w:spacing w:val="-3"/>
        </w:rPr>
        <w:t> </w:t>
      </w:r>
      <w:r>
        <w:rPr/>
        <w:t>in</w:t>
      </w:r>
      <w:r>
        <w:rPr>
          <w:spacing w:val="-3"/>
        </w:rPr>
        <w:t> </w:t>
      </w:r>
      <w:r>
        <w:rPr/>
        <w:t>100</w:t>
      </w:r>
      <w:r>
        <w:rPr>
          <w:spacing w:val="-2"/>
        </w:rPr>
        <w:t> </w:t>
      </w:r>
      <w:r>
        <w:rPr/>
        <w:t>mL</w:t>
      </w:r>
      <w:r>
        <w:rPr>
          <w:spacing w:val="-7"/>
        </w:rPr>
        <w:t> </w:t>
      </w:r>
      <w:r>
        <w:rPr/>
        <w:t>distilled</w:t>
      </w:r>
      <w:r>
        <w:rPr>
          <w:spacing w:val="-3"/>
        </w:rPr>
        <w:t> </w:t>
      </w:r>
      <w:r>
        <w:rPr/>
        <w:t>water</w:t>
      </w:r>
      <w:r>
        <w:rPr>
          <w:spacing w:val="-3"/>
        </w:rPr>
        <w:t> </w:t>
      </w:r>
      <w:r>
        <w:rPr/>
        <w:t>and</w:t>
      </w:r>
      <w:r>
        <w:rPr>
          <w:spacing w:val="-1"/>
        </w:rPr>
        <w:t> </w:t>
      </w:r>
      <w:r>
        <w:rPr/>
        <w:t>methanol</w:t>
      </w:r>
      <w:r>
        <w:rPr>
          <w:spacing w:val="-3"/>
        </w:rPr>
        <w:t> </w:t>
      </w:r>
      <w:r>
        <w:rPr/>
        <w:t>respectively.</w:t>
      </w:r>
    </w:p>
    <w:p>
      <w:pPr>
        <w:pStyle w:val="ListParagraph"/>
        <w:numPr>
          <w:ilvl w:val="3"/>
          <w:numId w:val="12"/>
        </w:numPr>
        <w:tabs>
          <w:tab w:pos="1919" w:val="left" w:leader="none"/>
        </w:tabs>
        <w:spacing w:line="276" w:lineRule="exact" w:before="0" w:after="0"/>
        <w:ind w:left="1919" w:right="0" w:hanging="719"/>
        <w:jc w:val="left"/>
        <w:rPr>
          <w:i/>
          <w:sz w:val="24"/>
        </w:rPr>
      </w:pPr>
      <w:r>
        <w:rPr>
          <w:i/>
          <w:sz w:val="24"/>
        </w:rPr>
        <w:t>Preparation</w:t>
      </w:r>
      <w:r>
        <w:rPr>
          <w:i/>
          <w:spacing w:val="-1"/>
          <w:sz w:val="24"/>
        </w:rPr>
        <w:t> </w:t>
      </w:r>
      <w:r>
        <w:rPr>
          <w:i/>
          <w:sz w:val="24"/>
        </w:rPr>
        <w:t>of </w:t>
      </w:r>
      <w:r>
        <w:rPr>
          <w:i/>
          <w:spacing w:val="-2"/>
          <w:sz w:val="24"/>
        </w:rPr>
        <w:t>reagents.</w:t>
      </w:r>
    </w:p>
    <w:p>
      <w:pPr>
        <w:pStyle w:val="BodyText"/>
        <w:spacing w:before="240"/>
        <w:rPr>
          <w:i/>
        </w:rPr>
      </w:pPr>
    </w:p>
    <w:p>
      <w:pPr>
        <w:pStyle w:val="BodyText"/>
        <w:spacing w:line="482" w:lineRule="auto"/>
        <w:ind w:left="1200"/>
      </w:pPr>
      <w:r>
        <w:rPr/>
        <w:t>Preparation</w:t>
      </w:r>
      <w:r>
        <w:rPr>
          <w:spacing w:val="40"/>
        </w:rPr>
        <w:t> </w:t>
      </w:r>
      <w:r>
        <w:rPr/>
        <w:t>of</w:t>
      </w:r>
      <w:r>
        <w:rPr>
          <w:spacing w:val="40"/>
        </w:rPr>
        <w:t> </w:t>
      </w:r>
      <w:r>
        <w:rPr/>
        <w:t>4.5M</w:t>
      </w:r>
      <w:r>
        <w:rPr>
          <w:spacing w:val="40"/>
        </w:rPr>
        <w:t> </w:t>
      </w:r>
      <w:r>
        <w:rPr/>
        <w:t>HCl,</w:t>
      </w:r>
      <w:r>
        <w:rPr>
          <w:spacing w:val="40"/>
        </w:rPr>
        <w:t> </w:t>
      </w:r>
      <w:r>
        <w:rPr/>
        <w:t>2%,</w:t>
      </w:r>
      <w:r>
        <w:rPr>
          <w:spacing w:val="40"/>
        </w:rPr>
        <w:t> </w:t>
      </w:r>
      <w:r>
        <w:rPr/>
        <w:t>85%w/vHCl,</w:t>
      </w:r>
      <w:r>
        <w:rPr>
          <w:spacing w:val="40"/>
        </w:rPr>
        <w:t> </w:t>
      </w:r>
      <w:r>
        <w:rPr/>
        <w:t>1%w/v</w:t>
      </w:r>
      <w:r>
        <w:rPr>
          <w:spacing w:val="40"/>
        </w:rPr>
        <w:t> </w:t>
      </w:r>
      <w:r>
        <w:rPr/>
        <w:t>sodium</w:t>
      </w:r>
      <w:r>
        <w:rPr>
          <w:spacing w:val="40"/>
        </w:rPr>
        <w:t> </w:t>
      </w:r>
      <w:r>
        <w:rPr/>
        <w:t>nitrite,</w:t>
      </w:r>
      <w:r>
        <w:rPr>
          <w:spacing w:val="40"/>
        </w:rPr>
        <w:t> </w:t>
      </w:r>
      <w:r>
        <w:rPr/>
        <w:t>2%</w:t>
      </w:r>
      <w:r>
        <w:rPr>
          <w:spacing w:val="40"/>
        </w:rPr>
        <w:t> </w:t>
      </w:r>
      <w:r>
        <w:rPr/>
        <w:t>sulfamic</w:t>
      </w:r>
      <w:r>
        <w:rPr>
          <w:spacing w:val="40"/>
        </w:rPr>
        <w:t> </w:t>
      </w:r>
      <w:r>
        <w:rPr/>
        <w:t>acid,2,</w:t>
      </w:r>
      <w:r>
        <w:rPr>
          <w:spacing w:val="40"/>
        </w:rPr>
        <w:t> </w:t>
      </w:r>
      <w:r>
        <w:rPr/>
        <w:t>4-</w:t>
      </w:r>
      <w:r>
        <w:rPr>
          <w:spacing w:val="40"/>
        </w:rPr>
        <w:t> </w:t>
      </w:r>
      <w:r>
        <w:rPr/>
        <w:t>dinitrophenylhydrazine and para toluidine solutions were prepared as described in appendix II.</w:t>
      </w:r>
    </w:p>
    <w:p>
      <w:pPr>
        <w:pStyle w:val="ListParagraph"/>
        <w:numPr>
          <w:ilvl w:val="2"/>
          <w:numId w:val="12"/>
        </w:numPr>
        <w:tabs>
          <w:tab w:pos="1641" w:val="left" w:leader="none"/>
        </w:tabs>
        <w:spacing w:line="240" w:lineRule="auto" w:before="201" w:after="0"/>
        <w:ind w:left="1641" w:right="0" w:hanging="441"/>
        <w:jc w:val="left"/>
        <w:rPr>
          <w:b/>
          <w:sz w:val="20"/>
        </w:rPr>
      </w:pPr>
      <w:r>
        <w:rPr>
          <w:b/>
          <w:sz w:val="22"/>
        </w:rPr>
        <w:t>UV</w:t>
      </w:r>
      <w:r>
        <w:rPr>
          <w:b/>
          <w:spacing w:val="-8"/>
          <w:sz w:val="22"/>
        </w:rPr>
        <w:t> </w:t>
      </w:r>
      <w:r>
        <w:rPr>
          <w:b/>
          <w:sz w:val="22"/>
        </w:rPr>
        <w:t>spectrophotometric</w:t>
      </w:r>
      <w:r>
        <w:rPr>
          <w:b/>
          <w:spacing w:val="-7"/>
          <w:sz w:val="22"/>
        </w:rPr>
        <w:t> </w:t>
      </w:r>
      <w:r>
        <w:rPr>
          <w:b/>
          <w:sz w:val="22"/>
        </w:rPr>
        <w:t>method</w:t>
      </w:r>
      <w:r>
        <w:rPr>
          <w:b/>
          <w:spacing w:val="-6"/>
          <w:sz w:val="22"/>
        </w:rPr>
        <w:t> </w:t>
      </w:r>
      <w:r>
        <w:rPr>
          <w:b/>
          <w:sz w:val="22"/>
        </w:rPr>
        <w:t>using</w:t>
      </w:r>
      <w:r>
        <w:rPr>
          <w:b/>
          <w:spacing w:val="-5"/>
          <w:sz w:val="22"/>
        </w:rPr>
        <w:t> </w:t>
      </w:r>
      <w:r>
        <w:rPr>
          <w:b/>
          <w:sz w:val="22"/>
        </w:rPr>
        <w:t>distilled</w:t>
      </w:r>
      <w:r>
        <w:rPr>
          <w:b/>
          <w:spacing w:val="-7"/>
          <w:sz w:val="22"/>
        </w:rPr>
        <w:t> </w:t>
      </w:r>
      <w:r>
        <w:rPr>
          <w:b/>
          <w:spacing w:val="-2"/>
          <w:sz w:val="22"/>
        </w:rPr>
        <w:t>water.</w:t>
      </w:r>
    </w:p>
    <w:p>
      <w:pPr>
        <w:pStyle w:val="BodyText"/>
        <w:spacing w:before="247"/>
        <w:ind w:left="1200"/>
      </w:pPr>
      <w:r>
        <w:rPr/>
        <w:t>This</w:t>
      </w:r>
      <w:r>
        <w:rPr>
          <w:spacing w:val="-3"/>
        </w:rPr>
        <w:t> </w:t>
      </w:r>
      <w:r>
        <w:rPr/>
        <w:t>method was</w:t>
      </w:r>
      <w:r>
        <w:rPr>
          <w:spacing w:val="-1"/>
        </w:rPr>
        <w:t> </w:t>
      </w:r>
      <w:r>
        <w:rPr/>
        <w:t>based onusing</w:t>
      </w:r>
      <w:r>
        <w:rPr>
          <w:spacing w:val="-3"/>
        </w:rPr>
        <w:t> </w:t>
      </w:r>
      <w:r>
        <w:rPr/>
        <w:t>distilled water</w:t>
      </w:r>
      <w:r>
        <w:rPr>
          <w:spacing w:val="-2"/>
        </w:rPr>
        <w:t> </w:t>
      </w:r>
      <w:r>
        <w:rPr/>
        <w:t>as</w:t>
      </w:r>
      <w:r>
        <w:rPr>
          <w:spacing w:val="2"/>
        </w:rPr>
        <w:t> </w:t>
      </w:r>
      <w:r>
        <w:rPr>
          <w:spacing w:val="-2"/>
        </w:rPr>
        <w:t>solvent.</w:t>
      </w:r>
    </w:p>
    <w:p>
      <w:pPr>
        <w:pStyle w:val="BodyText"/>
      </w:pPr>
    </w:p>
    <w:p>
      <w:pPr>
        <w:pStyle w:val="ListParagraph"/>
        <w:numPr>
          <w:ilvl w:val="3"/>
          <w:numId w:val="12"/>
        </w:numPr>
        <w:tabs>
          <w:tab w:pos="1919" w:val="left" w:leader="none"/>
        </w:tabs>
        <w:spacing w:line="240" w:lineRule="auto" w:before="0" w:after="0"/>
        <w:ind w:left="1919" w:right="0" w:hanging="719"/>
        <w:jc w:val="left"/>
        <w:rPr>
          <w:i/>
          <w:sz w:val="24"/>
        </w:rPr>
      </w:pPr>
      <w:r>
        <w:rPr>
          <w:i/>
          <w:sz w:val="24"/>
        </w:rPr>
        <w:t>Determination</w:t>
      </w:r>
      <w:r>
        <w:rPr>
          <w:i/>
          <w:spacing w:val="-4"/>
          <w:sz w:val="24"/>
        </w:rPr>
        <w:t> </w:t>
      </w:r>
      <w:r>
        <w:rPr>
          <w:i/>
          <w:sz w:val="24"/>
        </w:rPr>
        <w:t>of</w:t>
      </w:r>
      <w:r>
        <w:rPr>
          <w:i/>
          <w:spacing w:val="-1"/>
          <w:sz w:val="24"/>
        </w:rPr>
        <w:t> </w:t>
      </w:r>
      <w:r>
        <w:rPr>
          <w:i/>
          <w:sz w:val="24"/>
        </w:rPr>
        <w:t>wavelength</w:t>
      </w:r>
      <w:r>
        <w:rPr>
          <w:i/>
          <w:spacing w:val="-2"/>
          <w:sz w:val="24"/>
        </w:rPr>
        <w:t> </w:t>
      </w:r>
      <w:r>
        <w:rPr>
          <w:i/>
          <w:sz w:val="24"/>
        </w:rPr>
        <w:t>of</w:t>
      </w:r>
      <w:r>
        <w:rPr>
          <w:i/>
          <w:spacing w:val="-1"/>
          <w:sz w:val="24"/>
        </w:rPr>
        <w:t> </w:t>
      </w:r>
      <w:r>
        <w:rPr>
          <w:i/>
          <w:sz w:val="24"/>
        </w:rPr>
        <w:t>maximum</w:t>
      </w:r>
      <w:r>
        <w:rPr>
          <w:i/>
          <w:spacing w:val="-1"/>
          <w:sz w:val="24"/>
        </w:rPr>
        <w:t> </w:t>
      </w:r>
      <w:r>
        <w:rPr>
          <w:i/>
          <w:sz w:val="24"/>
        </w:rPr>
        <w:t>absorption</w:t>
      </w:r>
      <w:r>
        <w:rPr>
          <w:i/>
          <w:spacing w:val="-1"/>
          <w:sz w:val="24"/>
        </w:rPr>
        <w:t> </w:t>
      </w:r>
      <w:r>
        <w:rPr>
          <w:i/>
          <w:spacing w:val="-2"/>
          <w:sz w:val="24"/>
        </w:rPr>
        <w:t>(λmax).</w:t>
      </w:r>
    </w:p>
    <w:p>
      <w:pPr>
        <w:pStyle w:val="BodyText"/>
        <w:rPr>
          <w:i/>
        </w:rPr>
      </w:pPr>
    </w:p>
    <w:p>
      <w:pPr>
        <w:pStyle w:val="BodyText"/>
        <w:spacing w:line="480" w:lineRule="auto"/>
        <w:ind w:left="1200" w:right="1442"/>
      </w:pPr>
      <w:r>
        <w:rPr/>
        <w:t>A working solution (10 µg/mL) was prepared from the stock solution and then scanned through 200-400 nm against reagent blank on the UV spectrophotometer to determine the λmax.</w:t>
      </w:r>
    </w:p>
    <w:p>
      <w:pPr>
        <w:pStyle w:val="ListParagraph"/>
        <w:numPr>
          <w:ilvl w:val="3"/>
          <w:numId w:val="12"/>
        </w:numPr>
        <w:tabs>
          <w:tab w:pos="1859" w:val="left" w:leader="none"/>
        </w:tabs>
        <w:spacing w:line="240" w:lineRule="auto" w:before="0" w:after="0"/>
        <w:ind w:left="1859" w:right="0" w:hanging="659"/>
        <w:jc w:val="left"/>
        <w:rPr>
          <w:i/>
          <w:sz w:val="24"/>
        </w:rPr>
      </w:pPr>
      <w:r>
        <w:rPr>
          <w:i/>
          <w:sz w:val="24"/>
        </w:rPr>
        <w:t>Determination</w:t>
      </w:r>
      <w:r>
        <w:rPr>
          <w:i/>
          <w:spacing w:val="-3"/>
          <w:sz w:val="24"/>
        </w:rPr>
        <w:t> </w:t>
      </w:r>
      <w:r>
        <w:rPr>
          <w:i/>
          <w:sz w:val="24"/>
        </w:rPr>
        <w:t>of</w:t>
      </w:r>
      <w:r>
        <w:rPr>
          <w:i/>
          <w:spacing w:val="-1"/>
          <w:sz w:val="24"/>
        </w:rPr>
        <w:t> </w:t>
      </w:r>
      <w:r>
        <w:rPr>
          <w:i/>
          <w:sz w:val="24"/>
        </w:rPr>
        <w:t>pH</w:t>
      </w:r>
      <w:r>
        <w:rPr>
          <w:i/>
          <w:spacing w:val="-1"/>
          <w:sz w:val="24"/>
        </w:rPr>
        <w:t> </w:t>
      </w:r>
      <w:r>
        <w:rPr>
          <w:i/>
          <w:sz w:val="24"/>
        </w:rPr>
        <w:t>of</w:t>
      </w:r>
      <w:r>
        <w:rPr>
          <w:i/>
          <w:spacing w:val="-1"/>
          <w:sz w:val="24"/>
        </w:rPr>
        <w:t> </w:t>
      </w:r>
      <w:r>
        <w:rPr>
          <w:i/>
          <w:sz w:val="24"/>
        </w:rPr>
        <w:t>maximum </w:t>
      </w:r>
      <w:r>
        <w:rPr>
          <w:i/>
          <w:spacing w:val="-2"/>
          <w:sz w:val="24"/>
        </w:rPr>
        <w:t>absorption.</w:t>
      </w:r>
    </w:p>
    <w:p>
      <w:pPr>
        <w:pStyle w:val="BodyText"/>
        <w:rPr>
          <w:i/>
        </w:rPr>
      </w:pPr>
    </w:p>
    <w:p>
      <w:pPr>
        <w:pStyle w:val="BodyText"/>
        <w:spacing w:line="480" w:lineRule="auto"/>
        <w:ind w:left="1200" w:right="1437"/>
        <w:jc w:val="both"/>
      </w:pPr>
      <w:r>
        <w:rPr/>
        <w:t>Portion (5 mL) of isoniazid solution in distilled water (10 µg/mL) was transferred into 10 different</w:t>
      </w:r>
      <w:r>
        <w:rPr>
          <w:spacing w:val="-1"/>
        </w:rPr>
        <w:t> </w:t>
      </w:r>
      <w:r>
        <w:rPr/>
        <w:t>test</w:t>
      </w:r>
      <w:r>
        <w:rPr>
          <w:spacing w:val="-1"/>
        </w:rPr>
        <w:t> </w:t>
      </w:r>
      <w:r>
        <w:rPr/>
        <w:t>tubes</w:t>
      </w:r>
      <w:r>
        <w:rPr>
          <w:spacing w:val="-2"/>
        </w:rPr>
        <w:t> </w:t>
      </w:r>
      <w:r>
        <w:rPr/>
        <w:t>labeled</w:t>
      </w:r>
      <w:r>
        <w:rPr>
          <w:spacing w:val="-1"/>
        </w:rPr>
        <w:t> </w:t>
      </w:r>
      <w:r>
        <w:rPr/>
        <w:t>1 –</w:t>
      </w:r>
      <w:r>
        <w:rPr>
          <w:spacing w:val="-1"/>
        </w:rPr>
        <w:t> </w:t>
      </w:r>
      <w:r>
        <w:rPr/>
        <w:t>10</w:t>
      </w:r>
      <w:r>
        <w:rPr>
          <w:spacing w:val="-3"/>
        </w:rPr>
        <w:t> </w:t>
      </w:r>
      <w:r>
        <w:rPr/>
        <w:t>and</w:t>
      </w:r>
      <w:r>
        <w:rPr>
          <w:spacing w:val="-1"/>
        </w:rPr>
        <w:t> </w:t>
      </w:r>
      <w:r>
        <w:rPr/>
        <w:t>adjusted</w:t>
      </w:r>
      <w:r>
        <w:rPr>
          <w:spacing w:val="-1"/>
        </w:rPr>
        <w:t> </w:t>
      </w:r>
      <w:r>
        <w:rPr/>
        <w:t>to</w:t>
      </w:r>
      <w:r>
        <w:rPr>
          <w:spacing w:val="-4"/>
        </w:rPr>
        <w:t> </w:t>
      </w:r>
      <w:r>
        <w:rPr/>
        <w:t>pH</w:t>
      </w:r>
      <w:r>
        <w:rPr>
          <w:spacing w:val="-1"/>
        </w:rPr>
        <w:t> </w:t>
      </w:r>
      <w:r>
        <w:rPr/>
        <w:t>1</w:t>
      </w:r>
      <w:r>
        <w:rPr>
          <w:spacing w:val="-1"/>
        </w:rPr>
        <w:t> </w:t>
      </w:r>
      <w:r>
        <w:rPr/>
        <w:t>–</w:t>
      </w:r>
      <w:r>
        <w:rPr>
          <w:spacing w:val="-1"/>
        </w:rPr>
        <w:t> </w:t>
      </w:r>
      <w:r>
        <w:rPr/>
        <w:t>10</w:t>
      </w:r>
      <w:r>
        <w:rPr>
          <w:spacing w:val="-3"/>
        </w:rPr>
        <w:t> </w:t>
      </w:r>
      <w:r>
        <w:rPr/>
        <w:t>respectively.</w:t>
      </w:r>
      <w:r>
        <w:rPr>
          <w:spacing w:val="-1"/>
        </w:rPr>
        <w:t> </w:t>
      </w:r>
      <w:r>
        <w:rPr/>
        <w:t>The</w:t>
      </w:r>
      <w:r>
        <w:rPr>
          <w:spacing w:val="-3"/>
        </w:rPr>
        <w:t> </w:t>
      </w:r>
      <w:r>
        <w:rPr/>
        <w:t>absorbance</w:t>
      </w:r>
      <w:r>
        <w:rPr>
          <w:spacing w:val="-2"/>
        </w:rPr>
        <w:t> </w:t>
      </w:r>
      <w:r>
        <w:rPr/>
        <w:t>of</w:t>
      </w:r>
      <w:r>
        <w:rPr>
          <w:spacing w:val="-2"/>
        </w:rPr>
        <w:t> </w:t>
      </w:r>
      <w:r>
        <w:rPr/>
        <w:t>each solution was then measured at the obtained λ max.</w:t>
      </w:r>
    </w:p>
    <w:p>
      <w:pPr>
        <w:pStyle w:val="ListParagraph"/>
        <w:numPr>
          <w:ilvl w:val="3"/>
          <w:numId w:val="12"/>
        </w:numPr>
        <w:tabs>
          <w:tab w:pos="1859" w:val="left" w:leader="none"/>
        </w:tabs>
        <w:spacing w:line="240" w:lineRule="auto" w:before="1" w:after="0"/>
        <w:ind w:left="1859" w:right="0" w:hanging="659"/>
        <w:jc w:val="both"/>
        <w:rPr>
          <w:i/>
          <w:sz w:val="24"/>
        </w:rPr>
      </w:pPr>
      <w:r>
        <w:rPr>
          <w:i/>
          <w:sz w:val="24"/>
        </w:rPr>
        <w:t>Preparation</w:t>
      </w:r>
      <w:r>
        <w:rPr>
          <w:i/>
          <w:spacing w:val="-1"/>
          <w:sz w:val="24"/>
        </w:rPr>
        <w:t> </w:t>
      </w:r>
      <w:r>
        <w:rPr>
          <w:i/>
          <w:sz w:val="24"/>
        </w:rPr>
        <w:t>of</w:t>
      </w:r>
      <w:r>
        <w:rPr>
          <w:i/>
          <w:spacing w:val="-1"/>
          <w:sz w:val="24"/>
        </w:rPr>
        <w:t> </w:t>
      </w:r>
      <w:r>
        <w:rPr>
          <w:i/>
          <w:sz w:val="24"/>
        </w:rPr>
        <w:t>calibration </w:t>
      </w:r>
      <w:r>
        <w:rPr>
          <w:i/>
          <w:spacing w:val="-2"/>
          <w:sz w:val="24"/>
        </w:rPr>
        <w:t>curve</w:t>
      </w:r>
    </w:p>
    <w:p>
      <w:pPr>
        <w:pStyle w:val="BodyText"/>
        <w:rPr>
          <w:i/>
        </w:rPr>
      </w:pPr>
    </w:p>
    <w:p>
      <w:pPr>
        <w:pStyle w:val="BodyText"/>
        <w:spacing w:line="480" w:lineRule="auto"/>
        <w:ind w:left="1200" w:right="1436"/>
        <w:jc w:val="both"/>
      </w:pPr>
      <w:r>
        <w:rPr/>
        <w:t>Different solutions of isoniazid of concentrations 1,2,3,4,5,6,7,8,9 and 10 µg/mL were preparedfrom</w:t>
      </w:r>
      <w:r>
        <w:rPr>
          <w:spacing w:val="6"/>
        </w:rPr>
        <w:t> </w:t>
      </w:r>
      <w:r>
        <w:rPr/>
        <w:t>the</w:t>
      </w:r>
      <w:r>
        <w:rPr>
          <w:spacing w:val="6"/>
        </w:rPr>
        <w:t> </w:t>
      </w:r>
      <w:r>
        <w:rPr/>
        <w:t>stock</w:t>
      </w:r>
      <w:r>
        <w:rPr>
          <w:spacing w:val="8"/>
        </w:rPr>
        <w:t> </w:t>
      </w:r>
      <w:r>
        <w:rPr/>
        <w:t>solution</w:t>
      </w:r>
      <w:r>
        <w:rPr>
          <w:spacing w:val="7"/>
        </w:rPr>
        <w:t> </w:t>
      </w:r>
      <w:r>
        <w:rPr/>
        <w:t>and</w:t>
      </w:r>
      <w:r>
        <w:rPr>
          <w:spacing w:val="6"/>
        </w:rPr>
        <w:t> </w:t>
      </w:r>
      <w:r>
        <w:rPr/>
        <w:t>adjust</w:t>
      </w:r>
      <w:r>
        <w:rPr>
          <w:spacing w:val="7"/>
        </w:rPr>
        <w:t> </w:t>
      </w:r>
      <w:r>
        <w:rPr/>
        <w:t>to</w:t>
      </w:r>
      <w:r>
        <w:rPr>
          <w:spacing w:val="6"/>
        </w:rPr>
        <w:t> </w:t>
      </w:r>
      <w:r>
        <w:rPr/>
        <w:t>the</w:t>
      </w:r>
      <w:r>
        <w:rPr>
          <w:spacing w:val="12"/>
        </w:rPr>
        <w:t> </w:t>
      </w:r>
      <w:r>
        <w:rPr/>
        <w:t>pH</w:t>
      </w:r>
      <w:r>
        <w:rPr>
          <w:spacing w:val="6"/>
        </w:rPr>
        <w:t> </w:t>
      </w:r>
      <w:r>
        <w:rPr/>
        <w:t>of</w:t>
      </w:r>
      <w:r>
        <w:rPr>
          <w:spacing w:val="8"/>
        </w:rPr>
        <w:t> </w:t>
      </w:r>
      <w:r>
        <w:rPr/>
        <w:t>maximum</w:t>
      </w:r>
      <w:r>
        <w:rPr>
          <w:spacing w:val="7"/>
        </w:rPr>
        <w:t> </w:t>
      </w:r>
      <w:r>
        <w:rPr/>
        <w:t>absorption.</w:t>
      </w:r>
      <w:r>
        <w:rPr>
          <w:spacing w:val="6"/>
        </w:rPr>
        <w:t> </w:t>
      </w:r>
      <w:r>
        <w:rPr/>
        <w:t>Theabsorbance</w:t>
      </w:r>
      <w:r>
        <w:rPr>
          <w:spacing w:val="6"/>
        </w:rPr>
        <w:t> </w:t>
      </w:r>
      <w:r>
        <w:rPr>
          <w:spacing w:val="-5"/>
        </w:rPr>
        <w:t>of</w:t>
      </w:r>
    </w:p>
    <w:p>
      <w:pPr>
        <w:spacing w:after="0" w:line="480" w:lineRule="auto"/>
        <w:jc w:val="both"/>
        <w:sectPr>
          <w:pgSz w:w="12240" w:h="15840"/>
          <w:pgMar w:header="0" w:footer="1015" w:top="1360" w:bottom="1200" w:left="240" w:right="0"/>
        </w:sectPr>
      </w:pPr>
    </w:p>
    <w:p>
      <w:pPr>
        <w:pStyle w:val="BodyText"/>
        <w:spacing w:line="480" w:lineRule="auto" w:before="72"/>
        <w:ind w:left="1200" w:right="1437"/>
        <w:jc w:val="both"/>
      </w:pPr>
      <w:r>
        <w:rPr/>
        <w:t>each solution was then measured at the λ max against reagent blank. Theabsorbances obtained were then plotted against their corresponding concentrations.</w:t>
      </w:r>
    </w:p>
    <w:p>
      <w:pPr>
        <w:spacing w:before="0"/>
        <w:ind w:left="1200" w:right="0" w:firstLine="0"/>
        <w:jc w:val="both"/>
        <w:rPr>
          <w:i/>
          <w:sz w:val="22"/>
        </w:rPr>
      </w:pPr>
      <w:r>
        <w:rPr>
          <w:i/>
          <w:sz w:val="24"/>
        </w:rPr>
        <w:t>3.2.4.</w:t>
      </w:r>
      <w:r>
        <w:rPr>
          <w:i/>
          <w:spacing w:val="-3"/>
          <w:sz w:val="24"/>
        </w:rPr>
        <w:t> </w:t>
      </w:r>
      <w:r>
        <w:rPr>
          <w:i/>
          <w:sz w:val="24"/>
        </w:rPr>
        <w:t>4Assay</w:t>
      </w:r>
      <w:r>
        <w:rPr>
          <w:i/>
          <w:spacing w:val="-4"/>
          <w:sz w:val="24"/>
        </w:rPr>
        <w:t> </w:t>
      </w:r>
      <w:r>
        <w:rPr>
          <w:i/>
          <w:sz w:val="24"/>
        </w:rPr>
        <w:t>of</w:t>
      </w:r>
      <w:r>
        <w:rPr>
          <w:i/>
          <w:spacing w:val="-3"/>
          <w:sz w:val="24"/>
        </w:rPr>
        <w:t> </w:t>
      </w:r>
      <w:r>
        <w:rPr>
          <w:i/>
          <w:sz w:val="24"/>
        </w:rPr>
        <w:t>isoniazidtablets</w:t>
      </w:r>
      <w:r>
        <w:rPr>
          <w:i/>
          <w:spacing w:val="-3"/>
          <w:sz w:val="24"/>
        </w:rPr>
        <w:t> </w:t>
      </w:r>
      <w:r>
        <w:rPr>
          <w:i/>
          <w:sz w:val="24"/>
        </w:rPr>
        <w:t>by</w:t>
      </w:r>
      <w:r>
        <w:rPr>
          <w:i/>
          <w:spacing w:val="-3"/>
          <w:sz w:val="24"/>
        </w:rPr>
        <w:t> </w:t>
      </w:r>
      <w:r>
        <w:rPr>
          <w:i/>
          <w:sz w:val="22"/>
        </w:rPr>
        <w:t>UV</w:t>
      </w:r>
      <w:r>
        <w:rPr>
          <w:i/>
          <w:spacing w:val="-2"/>
          <w:sz w:val="22"/>
        </w:rPr>
        <w:t> </w:t>
      </w:r>
      <w:r>
        <w:rPr>
          <w:i/>
          <w:sz w:val="22"/>
        </w:rPr>
        <w:t>spectrophotometric</w:t>
      </w:r>
      <w:r>
        <w:rPr>
          <w:i/>
          <w:spacing w:val="-3"/>
          <w:sz w:val="22"/>
        </w:rPr>
        <w:t> </w:t>
      </w:r>
      <w:r>
        <w:rPr>
          <w:i/>
          <w:sz w:val="22"/>
        </w:rPr>
        <w:t>method</w:t>
      </w:r>
      <w:r>
        <w:rPr>
          <w:i/>
          <w:spacing w:val="-2"/>
          <w:sz w:val="22"/>
        </w:rPr>
        <w:t> </w:t>
      </w:r>
      <w:r>
        <w:rPr>
          <w:i/>
          <w:sz w:val="22"/>
        </w:rPr>
        <w:t>using</w:t>
      </w:r>
      <w:r>
        <w:rPr>
          <w:i/>
          <w:spacing w:val="-3"/>
          <w:sz w:val="22"/>
        </w:rPr>
        <w:t> </w:t>
      </w:r>
      <w:r>
        <w:rPr>
          <w:i/>
          <w:sz w:val="22"/>
        </w:rPr>
        <w:t>distilled</w:t>
      </w:r>
      <w:r>
        <w:rPr>
          <w:i/>
          <w:spacing w:val="-2"/>
          <w:sz w:val="22"/>
        </w:rPr>
        <w:t> water</w:t>
      </w:r>
    </w:p>
    <w:p>
      <w:pPr>
        <w:pStyle w:val="BodyText"/>
        <w:spacing w:before="23"/>
        <w:rPr>
          <w:i/>
          <w:sz w:val="22"/>
        </w:rPr>
      </w:pPr>
    </w:p>
    <w:p>
      <w:pPr>
        <w:pStyle w:val="BodyText"/>
        <w:spacing w:line="480" w:lineRule="auto"/>
        <w:ind w:left="1200" w:right="1435"/>
        <w:jc w:val="both"/>
      </w:pPr>
      <w:r>
        <w:rPr/>
        <w:t>A quantity of powder containing equivalent to10 mg isoniazid was accurately weighed from the previously crushed 20 isoniazid tablets, transferred into a tovolumetric flask (100 mL) and the volume made up to mark with distilled water. The pH of the mixture was adjusted to the </w:t>
      </w:r>
      <w:r>
        <w:rPr>
          <w:sz w:val="26"/>
        </w:rPr>
        <w:t>pH of maximum absorption </w:t>
      </w:r>
      <w:r>
        <w:rPr/>
        <w:t>and shaken for 10 minutes. The solution was filtered through a Whatman filter paper no. 41. A portion (1mL)was transferred into a volumetric flask (10 mL) and made up to the 10 mL mark with distilled water to obtain a concentrations 10 μg/mL. The absorbance of the resulting solution was then measured at the λmax against the reagent blank.</w:t>
      </w:r>
    </w:p>
    <w:p>
      <w:pPr>
        <w:pStyle w:val="ListParagraph"/>
        <w:numPr>
          <w:ilvl w:val="2"/>
          <w:numId w:val="12"/>
        </w:numPr>
        <w:tabs>
          <w:tab w:pos="1641" w:val="left" w:leader="none"/>
        </w:tabs>
        <w:spacing w:line="240" w:lineRule="auto" w:before="7" w:after="0"/>
        <w:ind w:left="1641" w:right="0" w:hanging="441"/>
        <w:jc w:val="both"/>
        <w:rPr>
          <w:b/>
          <w:sz w:val="20"/>
        </w:rPr>
      </w:pPr>
      <w:r>
        <w:rPr>
          <w:b/>
          <w:sz w:val="22"/>
        </w:rPr>
        <w:t>UV</w:t>
      </w:r>
      <w:r>
        <w:rPr>
          <w:b/>
          <w:spacing w:val="-6"/>
          <w:sz w:val="22"/>
        </w:rPr>
        <w:t> </w:t>
      </w:r>
      <w:r>
        <w:rPr>
          <w:b/>
          <w:sz w:val="22"/>
        </w:rPr>
        <w:t>spectrophotometric</w:t>
      </w:r>
      <w:r>
        <w:rPr>
          <w:b/>
          <w:spacing w:val="-6"/>
          <w:sz w:val="22"/>
        </w:rPr>
        <w:t> </w:t>
      </w:r>
      <w:r>
        <w:rPr>
          <w:b/>
          <w:sz w:val="22"/>
        </w:rPr>
        <w:t>method</w:t>
      </w:r>
      <w:r>
        <w:rPr>
          <w:b/>
          <w:spacing w:val="-5"/>
          <w:sz w:val="22"/>
        </w:rPr>
        <w:t> </w:t>
      </w:r>
      <w:r>
        <w:rPr>
          <w:b/>
          <w:sz w:val="22"/>
        </w:rPr>
        <w:t>using</w:t>
      </w:r>
      <w:r>
        <w:rPr>
          <w:b/>
          <w:spacing w:val="-6"/>
          <w:sz w:val="22"/>
        </w:rPr>
        <w:t> </w:t>
      </w:r>
      <w:r>
        <w:rPr>
          <w:b/>
          <w:spacing w:val="-2"/>
          <w:sz w:val="22"/>
        </w:rPr>
        <w:t>methanol.</w:t>
      </w:r>
    </w:p>
    <w:p>
      <w:pPr>
        <w:pStyle w:val="BodyText"/>
        <w:spacing w:before="247"/>
        <w:ind w:left="1200"/>
        <w:jc w:val="both"/>
      </w:pPr>
      <w:r>
        <w:rPr/>
        <w:t>This</w:t>
      </w:r>
      <w:r>
        <w:rPr>
          <w:spacing w:val="-1"/>
        </w:rPr>
        <w:t> </w:t>
      </w:r>
      <w:r>
        <w:rPr/>
        <w:t>method was</w:t>
      </w:r>
      <w:r>
        <w:rPr>
          <w:spacing w:val="-1"/>
        </w:rPr>
        <w:t> </w:t>
      </w:r>
      <w:r>
        <w:rPr/>
        <w:t>based on using</w:t>
      </w:r>
      <w:r>
        <w:rPr>
          <w:spacing w:val="-2"/>
        </w:rPr>
        <w:t> </w:t>
      </w:r>
      <w:r>
        <w:rPr/>
        <w:t>methanol</w:t>
      </w:r>
      <w:r>
        <w:rPr>
          <w:spacing w:val="-1"/>
        </w:rPr>
        <w:t> </w:t>
      </w:r>
      <w:r>
        <w:rPr/>
        <w:t>as </w:t>
      </w:r>
      <w:r>
        <w:rPr>
          <w:spacing w:val="-2"/>
        </w:rPr>
        <w:t>solvent.</w:t>
      </w:r>
    </w:p>
    <w:p>
      <w:pPr>
        <w:pStyle w:val="BodyText"/>
      </w:pPr>
    </w:p>
    <w:p>
      <w:pPr>
        <w:pStyle w:val="ListParagraph"/>
        <w:numPr>
          <w:ilvl w:val="3"/>
          <w:numId w:val="12"/>
        </w:numPr>
        <w:tabs>
          <w:tab w:pos="1919" w:val="left" w:leader="none"/>
        </w:tabs>
        <w:spacing w:line="240" w:lineRule="auto" w:before="0" w:after="0"/>
        <w:ind w:left="1919" w:right="0" w:hanging="719"/>
        <w:jc w:val="both"/>
        <w:rPr>
          <w:i/>
          <w:sz w:val="24"/>
        </w:rPr>
      </w:pPr>
      <w:r>
        <w:rPr>
          <w:i/>
          <w:sz w:val="24"/>
        </w:rPr>
        <w:t>Determination</w:t>
      </w:r>
      <w:r>
        <w:rPr>
          <w:i/>
          <w:spacing w:val="-4"/>
          <w:sz w:val="24"/>
        </w:rPr>
        <w:t> </w:t>
      </w:r>
      <w:r>
        <w:rPr>
          <w:i/>
          <w:sz w:val="24"/>
        </w:rPr>
        <w:t>λ </w:t>
      </w:r>
      <w:r>
        <w:rPr>
          <w:i/>
          <w:spacing w:val="-4"/>
          <w:sz w:val="24"/>
        </w:rPr>
        <w:t>max.</w:t>
      </w:r>
    </w:p>
    <w:p>
      <w:pPr>
        <w:pStyle w:val="BodyText"/>
        <w:rPr>
          <w:i/>
        </w:rPr>
      </w:pPr>
    </w:p>
    <w:p>
      <w:pPr>
        <w:pStyle w:val="BodyText"/>
        <w:spacing w:line="480" w:lineRule="auto"/>
        <w:ind w:left="1200" w:right="1441"/>
        <w:jc w:val="both"/>
      </w:pPr>
      <w:r>
        <w:rPr/>
        <w:t>A working solution (10 µg/mL) was prepared from the stock solution and then scanned through 200-400 nm against reagent blank on the UV spectrophotometer to determine the λmax.</w:t>
      </w:r>
    </w:p>
    <w:p>
      <w:pPr>
        <w:pStyle w:val="ListParagraph"/>
        <w:numPr>
          <w:ilvl w:val="3"/>
          <w:numId w:val="12"/>
        </w:numPr>
        <w:tabs>
          <w:tab w:pos="1919" w:val="left" w:leader="none"/>
        </w:tabs>
        <w:spacing w:line="240" w:lineRule="auto" w:before="0" w:after="0"/>
        <w:ind w:left="1919" w:right="0" w:hanging="719"/>
        <w:jc w:val="both"/>
        <w:rPr>
          <w:i/>
          <w:sz w:val="24"/>
        </w:rPr>
      </w:pPr>
      <w:r>
        <w:rPr>
          <w:i/>
          <w:sz w:val="24"/>
        </w:rPr>
        <w:t>Determination</w:t>
      </w:r>
      <w:r>
        <w:rPr>
          <w:i/>
          <w:spacing w:val="-1"/>
          <w:sz w:val="24"/>
        </w:rPr>
        <w:t> </w:t>
      </w:r>
      <w:r>
        <w:rPr>
          <w:i/>
          <w:sz w:val="24"/>
        </w:rPr>
        <w:t>of</w:t>
      </w:r>
      <w:r>
        <w:rPr>
          <w:i/>
          <w:spacing w:val="-1"/>
          <w:sz w:val="24"/>
        </w:rPr>
        <w:t> </w:t>
      </w:r>
      <w:r>
        <w:rPr>
          <w:i/>
          <w:sz w:val="24"/>
        </w:rPr>
        <w:t>pH</w:t>
      </w:r>
      <w:r>
        <w:rPr>
          <w:i/>
          <w:spacing w:val="-1"/>
          <w:sz w:val="24"/>
        </w:rPr>
        <w:t> </w:t>
      </w:r>
      <w:r>
        <w:rPr>
          <w:i/>
          <w:sz w:val="24"/>
        </w:rPr>
        <w:t>of</w:t>
      </w:r>
      <w:r>
        <w:rPr>
          <w:i/>
          <w:spacing w:val="-1"/>
          <w:sz w:val="24"/>
        </w:rPr>
        <w:t> </w:t>
      </w:r>
      <w:r>
        <w:rPr>
          <w:i/>
          <w:sz w:val="24"/>
        </w:rPr>
        <w:t>maximum</w:t>
      </w:r>
      <w:r>
        <w:rPr>
          <w:i/>
          <w:spacing w:val="-1"/>
          <w:sz w:val="24"/>
        </w:rPr>
        <w:t> </w:t>
      </w:r>
      <w:r>
        <w:rPr>
          <w:i/>
          <w:spacing w:val="-2"/>
          <w:sz w:val="24"/>
        </w:rPr>
        <w:t>absorption.</w:t>
      </w:r>
    </w:p>
    <w:p>
      <w:pPr>
        <w:pStyle w:val="BodyText"/>
        <w:rPr>
          <w:i/>
        </w:rPr>
      </w:pPr>
    </w:p>
    <w:p>
      <w:pPr>
        <w:pStyle w:val="BodyText"/>
        <w:spacing w:line="480" w:lineRule="auto"/>
        <w:ind w:left="1200" w:right="1440"/>
        <w:jc w:val="both"/>
      </w:pPr>
      <w:r>
        <w:rPr/>
        <w:t>Portion (5 mL) of isoniazid solution in methanol (10 µg/mL) was transferred into 10 different</w:t>
      </w:r>
      <w:r>
        <w:rPr>
          <w:spacing w:val="40"/>
        </w:rPr>
        <w:t> </w:t>
      </w:r>
      <w:r>
        <w:rPr/>
        <w:t>test tubes labeled 1 – 10 and adjusted to pH 1 – 10 respectively. The absorbance of each solution was then measured at the obtained λ max.</w:t>
      </w:r>
    </w:p>
    <w:p>
      <w:pPr>
        <w:pStyle w:val="ListParagraph"/>
        <w:numPr>
          <w:ilvl w:val="3"/>
          <w:numId w:val="12"/>
        </w:numPr>
        <w:tabs>
          <w:tab w:pos="1919" w:val="left" w:leader="none"/>
        </w:tabs>
        <w:spacing w:line="240" w:lineRule="auto" w:before="1" w:after="0"/>
        <w:ind w:left="1919" w:right="0" w:hanging="719"/>
        <w:jc w:val="both"/>
        <w:rPr>
          <w:i/>
          <w:sz w:val="24"/>
        </w:rPr>
      </w:pPr>
      <w:r>
        <w:rPr>
          <w:i/>
          <w:sz w:val="24"/>
        </w:rPr>
        <w:t>Preparation</w:t>
      </w:r>
      <w:r>
        <w:rPr>
          <w:i/>
          <w:spacing w:val="-1"/>
          <w:sz w:val="24"/>
        </w:rPr>
        <w:t> </w:t>
      </w:r>
      <w:r>
        <w:rPr>
          <w:i/>
          <w:sz w:val="24"/>
        </w:rPr>
        <w:t>of</w:t>
      </w:r>
      <w:r>
        <w:rPr>
          <w:i/>
          <w:spacing w:val="-1"/>
          <w:sz w:val="24"/>
        </w:rPr>
        <w:t> </w:t>
      </w:r>
      <w:r>
        <w:rPr>
          <w:i/>
          <w:sz w:val="24"/>
        </w:rPr>
        <w:t>calibration </w:t>
      </w:r>
      <w:r>
        <w:rPr>
          <w:i/>
          <w:spacing w:val="-2"/>
          <w:sz w:val="24"/>
        </w:rPr>
        <w:t>curve</w:t>
      </w:r>
    </w:p>
    <w:p>
      <w:pPr>
        <w:pStyle w:val="BodyText"/>
        <w:rPr>
          <w:i/>
        </w:rPr>
      </w:pPr>
    </w:p>
    <w:p>
      <w:pPr>
        <w:pStyle w:val="BodyText"/>
        <w:spacing w:line="480" w:lineRule="auto"/>
        <w:ind w:left="1200" w:right="1438"/>
        <w:jc w:val="both"/>
      </w:pPr>
      <w:r>
        <w:rPr/>
        <w:t>Different</w:t>
      </w:r>
      <w:r>
        <w:rPr>
          <w:spacing w:val="-3"/>
        </w:rPr>
        <w:t> </w:t>
      </w:r>
      <w:r>
        <w:rPr/>
        <w:t>solutions</w:t>
      </w:r>
      <w:r>
        <w:rPr>
          <w:spacing w:val="-2"/>
        </w:rPr>
        <w:t> </w:t>
      </w:r>
      <w:r>
        <w:rPr/>
        <w:t>of</w:t>
      </w:r>
      <w:r>
        <w:rPr>
          <w:spacing w:val="-4"/>
        </w:rPr>
        <w:t> </w:t>
      </w:r>
      <w:r>
        <w:rPr/>
        <w:t>isoniazid</w:t>
      </w:r>
      <w:r>
        <w:rPr>
          <w:spacing w:val="-2"/>
        </w:rPr>
        <w:t> </w:t>
      </w:r>
      <w:r>
        <w:rPr/>
        <w:t>of</w:t>
      </w:r>
      <w:r>
        <w:rPr>
          <w:spacing w:val="-4"/>
        </w:rPr>
        <w:t> </w:t>
      </w:r>
      <w:r>
        <w:rPr/>
        <w:t>concentrations</w:t>
      </w:r>
      <w:r>
        <w:rPr>
          <w:spacing w:val="-1"/>
        </w:rPr>
        <w:t> </w:t>
      </w:r>
      <w:r>
        <w:rPr/>
        <w:t>1,2,3,4,5,6,7,8,9</w:t>
      </w:r>
      <w:r>
        <w:rPr>
          <w:spacing w:val="-3"/>
        </w:rPr>
        <w:t> </w:t>
      </w:r>
      <w:r>
        <w:rPr/>
        <w:t>and</w:t>
      </w:r>
      <w:r>
        <w:rPr>
          <w:spacing w:val="-3"/>
        </w:rPr>
        <w:t> </w:t>
      </w:r>
      <w:r>
        <w:rPr/>
        <w:t>10</w:t>
      </w:r>
      <w:r>
        <w:rPr>
          <w:spacing w:val="-3"/>
        </w:rPr>
        <w:t> </w:t>
      </w:r>
      <w:r>
        <w:rPr/>
        <w:t>µg/mL</w:t>
      </w:r>
      <w:r>
        <w:rPr>
          <w:spacing w:val="-5"/>
        </w:rPr>
        <w:t> </w:t>
      </w:r>
      <w:r>
        <w:rPr/>
        <w:t>were</w:t>
      </w:r>
      <w:r>
        <w:rPr>
          <w:spacing w:val="80"/>
        </w:rPr>
        <w:t> </w:t>
      </w:r>
      <w:r>
        <w:rPr/>
        <w:t>prepared from</w:t>
      </w:r>
      <w:r>
        <w:rPr>
          <w:spacing w:val="25"/>
        </w:rPr>
        <w:t> </w:t>
      </w:r>
      <w:r>
        <w:rPr/>
        <w:t>the</w:t>
      </w:r>
      <w:r>
        <w:rPr>
          <w:spacing w:val="25"/>
        </w:rPr>
        <w:t> </w:t>
      </w:r>
      <w:r>
        <w:rPr/>
        <w:t>stock</w:t>
      </w:r>
      <w:r>
        <w:rPr>
          <w:spacing w:val="25"/>
        </w:rPr>
        <w:t> </w:t>
      </w:r>
      <w:r>
        <w:rPr/>
        <w:t>solution</w:t>
      </w:r>
      <w:r>
        <w:rPr>
          <w:spacing w:val="23"/>
        </w:rPr>
        <w:t> </w:t>
      </w:r>
      <w:r>
        <w:rPr/>
        <w:t>and</w:t>
      </w:r>
      <w:r>
        <w:rPr>
          <w:spacing w:val="26"/>
        </w:rPr>
        <w:t> </w:t>
      </w:r>
      <w:r>
        <w:rPr/>
        <w:t>adjust</w:t>
      </w:r>
      <w:r>
        <w:rPr>
          <w:spacing w:val="27"/>
        </w:rPr>
        <w:t> </w:t>
      </w:r>
      <w:r>
        <w:rPr/>
        <w:t>to</w:t>
      </w:r>
      <w:r>
        <w:rPr>
          <w:spacing w:val="26"/>
        </w:rPr>
        <w:t> </w:t>
      </w:r>
      <w:r>
        <w:rPr/>
        <w:t>the</w:t>
      </w:r>
      <w:r>
        <w:rPr>
          <w:spacing w:val="24"/>
        </w:rPr>
        <w:t> </w:t>
      </w:r>
      <w:r>
        <w:rPr/>
        <w:t>pH</w:t>
      </w:r>
      <w:r>
        <w:rPr>
          <w:spacing w:val="25"/>
        </w:rPr>
        <w:t> </w:t>
      </w:r>
      <w:r>
        <w:rPr/>
        <w:t>of</w:t>
      </w:r>
      <w:r>
        <w:rPr>
          <w:spacing w:val="25"/>
        </w:rPr>
        <w:t> </w:t>
      </w:r>
      <w:r>
        <w:rPr/>
        <w:t>maximum</w:t>
      </w:r>
      <w:r>
        <w:rPr>
          <w:spacing w:val="24"/>
        </w:rPr>
        <w:t> </w:t>
      </w:r>
      <w:r>
        <w:rPr/>
        <w:t>absorption.</w:t>
      </w:r>
      <w:r>
        <w:rPr>
          <w:spacing w:val="25"/>
        </w:rPr>
        <w:t> </w:t>
      </w:r>
      <w:r>
        <w:rPr/>
        <w:t>The</w:t>
      </w:r>
      <w:r>
        <w:rPr>
          <w:spacing w:val="25"/>
        </w:rPr>
        <w:t> </w:t>
      </w:r>
      <w:r>
        <w:rPr/>
        <w:t>absorbance</w:t>
      </w:r>
      <w:r>
        <w:rPr>
          <w:spacing w:val="25"/>
        </w:rPr>
        <w:t> </w:t>
      </w:r>
      <w:r>
        <w:rPr/>
        <w:t>of</w:t>
      </w:r>
      <w:r>
        <w:rPr>
          <w:spacing w:val="25"/>
        </w:rPr>
        <w:t> </w:t>
      </w:r>
      <w:r>
        <w:rPr>
          <w:spacing w:val="-4"/>
        </w:rPr>
        <w:t>each</w:t>
      </w:r>
    </w:p>
    <w:p>
      <w:pPr>
        <w:spacing w:after="0" w:line="480" w:lineRule="auto"/>
        <w:jc w:val="both"/>
        <w:sectPr>
          <w:pgSz w:w="12240" w:h="15840"/>
          <w:pgMar w:header="0" w:footer="1015" w:top="1360" w:bottom="1200" w:left="240" w:right="0"/>
        </w:sectPr>
      </w:pPr>
    </w:p>
    <w:p>
      <w:pPr>
        <w:pStyle w:val="BodyText"/>
        <w:spacing w:line="480" w:lineRule="auto" w:before="72"/>
        <w:ind w:left="1200" w:right="1440"/>
        <w:jc w:val="both"/>
      </w:pPr>
      <w:r>
        <w:rPr/>
        <w:t>solution was then measured at the λ max against reagent blank. The absorbances obtained were then plotted against their corresponding concentrations.</w:t>
      </w:r>
    </w:p>
    <w:p>
      <w:pPr>
        <w:pStyle w:val="ListParagraph"/>
        <w:numPr>
          <w:ilvl w:val="3"/>
          <w:numId w:val="12"/>
        </w:numPr>
        <w:tabs>
          <w:tab w:pos="1980" w:val="left" w:leader="none"/>
        </w:tabs>
        <w:spacing w:line="240" w:lineRule="auto" w:before="0" w:after="0"/>
        <w:ind w:left="1980" w:right="0" w:hanging="780"/>
        <w:jc w:val="left"/>
        <w:rPr>
          <w:i/>
          <w:sz w:val="22"/>
        </w:rPr>
      </w:pPr>
      <w:r>
        <w:rPr>
          <w:i/>
          <w:sz w:val="24"/>
        </w:rPr>
        <w:t>Assay</w:t>
      </w:r>
      <w:r>
        <w:rPr>
          <w:i/>
          <w:spacing w:val="-4"/>
          <w:sz w:val="24"/>
        </w:rPr>
        <w:t> </w:t>
      </w:r>
      <w:r>
        <w:rPr>
          <w:i/>
          <w:sz w:val="24"/>
        </w:rPr>
        <w:t>of</w:t>
      </w:r>
      <w:r>
        <w:rPr>
          <w:i/>
          <w:spacing w:val="-2"/>
          <w:sz w:val="24"/>
        </w:rPr>
        <w:t> </w:t>
      </w:r>
      <w:r>
        <w:rPr>
          <w:sz w:val="24"/>
        </w:rPr>
        <w:t>isoniazid</w:t>
      </w:r>
      <w:r>
        <w:rPr>
          <w:i/>
          <w:sz w:val="24"/>
        </w:rPr>
        <w:t>tablets</w:t>
      </w:r>
      <w:r>
        <w:rPr>
          <w:i/>
          <w:spacing w:val="-2"/>
          <w:sz w:val="24"/>
        </w:rPr>
        <w:t> </w:t>
      </w:r>
      <w:r>
        <w:rPr>
          <w:i/>
          <w:sz w:val="24"/>
        </w:rPr>
        <w:t>by</w:t>
      </w:r>
      <w:r>
        <w:rPr>
          <w:i/>
          <w:spacing w:val="-2"/>
          <w:sz w:val="24"/>
        </w:rPr>
        <w:t> </w:t>
      </w:r>
      <w:r>
        <w:rPr>
          <w:i/>
          <w:sz w:val="22"/>
        </w:rPr>
        <w:t>UV</w:t>
      </w:r>
      <w:r>
        <w:rPr>
          <w:i/>
          <w:spacing w:val="-2"/>
          <w:sz w:val="22"/>
        </w:rPr>
        <w:t> </w:t>
      </w:r>
      <w:r>
        <w:rPr>
          <w:i/>
          <w:sz w:val="22"/>
        </w:rPr>
        <w:t>spectrophotometric</w:t>
      </w:r>
      <w:r>
        <w:rPr>
          <w:i/>
          <w:spacing w:val="-4"/>
          <w:sz w:val="22"/>
        </w:rPr>
        <w:t> </w:t>
      </w:r>
      <w:r>
        <w:rPr>
          <w:i/>
          <w:sz w:val="22"/>
        </w:rPr>
        <w:t>method</w:t>
      </w:r>
      <w:r>
        <w:rPr>
          <w:i/>
          <w:spacing w:val="-2"/>
          <w:sz w:val="22"/>
        </w:rPr>
        <w:t> </w:t>
      </w:r>
      <w:r>
        <w:rPr>
          <w:i/>
          <w:sz w:val="22"/>
        </w:rPr>
        <w:t>using</w:t>
      </w:r>
      <w:r>
        <w:rPr>
          <w:i/>
          <w:spacing w:val="-2"/>
          <w:sz w:val="22"/>
        </w:rPr>
        <w:t> methanol</w:t>
      </w:r>
    </w:p>
    <w:p>
      <w:pPr>
        <w:pStyle w:val="BodyText"/>
        <w:spacing w:before="23"/>
        <w:rPr>
          <w:i/>
          <w:sz w:val="22"/>
        </w:rPr>
      </w:pPr>
    </w:p>
    <w:p>
      <w:pPr>
        <w:pStyle w:val="BodyText"/>
        <w:spacing w:line="480" w:lineRule="auto"/>
        <w:ind w:left="1200" w:right="1436"/>
        <w:jc w:val="both"/>
      </w:pPr>
      <w:r>
        <w:rPr/>
        <w:t>A quantity ofpowder 12 mg equivalent to 10 mg isoniazid was accurately weighed from the previously crushed 20 isoniazid tablets, transferred into avolumetric flask (100 mL) and the volume made up to mark with methanol. The pH of the mixture was adjusted to </w:t>
      </w:r>
      <w:r>
        <w:rPr>
          <w:sz w:val="26"/>
        </w:rPr>
        <w:t>pH of maximum absorption </w:t>
      </w:r>
      <w:r>
        <w:rPr/>
        <w:t>and shaken for 10 minutes. The solution was filtered through a Whatman filter paper no. 41. A portion (1 mL) was transferred into volumetric flask (10 mL) and made up to the 10 mL mark with methanol to obtain a concentrations 10 μg/mL. The absorbance of the resulting solution was then measured at the λmax against the reagent blank.</w:t>
      </w:r>
    </w:p>
    <w:p>
      <w:pPr>
        <w:pStyle w:val="ListParagraph"/>
        <w:numPr>
          <w:ilvl w:val="2"/>
          <w:numId w:val="12"/>
        </w:numPr>
        <w:tabs>
          <w:tab w:pos="1641" w:val="left" w:leader="none"/>
        </w:tabs>
        <w:spacing w:line="240" w:lineRule="auto" w:before="7" w:after="0"/>
        <w:ind w:left="1641" w:right="0" w:hanging="441"/>
        <w:jc w:val="both"/>
        <w:rPr>
          <w:b/>
          <w:sz w:val="20"/>
        </w:rPr>
      </w:pPr>
      <w:r>
        <w:rPr>
          <w:b/>
          <w:sz w:val="22"/>
        </w:rPr>
        <w:t>Development</w:t>
      </w:r>
      <w:r>
        <w:rPr>
          <w:b/>
          <w:spacing w:val="-8"/>
          <w:sz w:val="22"/>
        </w:rPr>
        <w:t> </w:t>
      </w:r>
      <w:r>
        <w:rPr>
          <w:b/>
          <w:sz w:val="22"/>
        </w:rPr>
        <w:t>of</w:t>
      </w:r>
      <w:r>
        <w:rPr>
          <w:b/>
          <w:spacing w:val="-4"/>
          <w:sz w:val="22"/>
        </w:rPr>
        <w:t> </w:t>
      </w:r>
      <w:r>
        <w:rPr>
          <w:b/>
          <w:sz w:val="22"/>
        </w:rPr>
        <w:t>colorometric</w:t>
      </w:r>
      <w:r>
        <w:rPr>
          <w:b/>
          <w:spacing w:val="-6"/>
          <w:sz w:val="22"/>
        </w:rPr>
        <w:t> </w:t>
      </w:r>
      <w:r>
        <w:rPr>
          <w:b/>
          <w:sz w:val="22"/>
        </w:rPr>
        <w:t>method</w:t>
      </w:r>
      <w:r>
        <w:rPr>
          <w:b/>
          <w:spacing w:val="-8"/>
          <w:sz w:val="22"/>
        </w:rPr>
        <w:t> </w:t>
      </w:r>
      <w:r>
        <w:rPr>
          <w:b/>
          <w:sz w:val="22"/>
        </w:rPr>
        <w:t>using</w:t>
      </w:r>
      <w:r>
        <w:rPr>
          <w:b/>
          <w:spacing w:val="-7"/>
          <w:sz w:val="22"/>
        </w:rPr>
        <w:t> </w:t>
      </w:r>
      <w:r>
        <w:rPr>
          <w:b/>
          <w:sz w:val="22"/>
        </w:rPr>
        <w:t>2,4-dinitrophenylhydrazine</w:t>
      </w:r>
      <w:r>
        <w:rPr>
          <w:b/>
          <w:spacing w:val="-6"/>
          <w:sz w:val="22"/>
        </w:rPr>
        <w:t> </w:t>
      </w:r>
      <w:r>
        <w:rPr>
          <w:b/>
          <w:sz w:val="22"/>
        </w:rPr>
        <w:t>and</w:t>
      </w:r>
      <w:r>
        <w:rPr>
          <w:b/>
          <w:spacing w:val="-6"/>
          <w:sz w:val="22"/>
        </w:rPr>
        <w:t> </w:t>
      </w:r>
      <w:r>
        <w:rPr>
          <w:b/>
          <w:spacing w:val="-2"/>
          <w:sz w:val="22"/>
        </w:rPr>
        <w:t>optimization.</w:t>
      </w:r>
    </w:p>
    <w:p>
      <w:pPr>
        <w:pStyle w:val="BodyText"/>
        <w:spacing w:before="137"/>
        <w:rPr>
          <w:b/>
          <w:sz w:val="22"/>
        </w:rPr>
      </w:pPr>
    </w:p>
    <w:p>
      <w:pPr>
        <w:pStyle w:val="BodyText"/>
        <w:spacing w:line="480" w:lineRule="auto"/>
        <w:ind w:left="1200" w:right="1439"/>
        <w:jc w:val="both"/>
      </w:pPr>
      <w:r>
        <w:rPr/>
        <w:t>This method is based on formation of Schiff</w:t>
      </w:r>
      <w:r>
        <w:rPr>
          <w:vertAlign w:val="superscript"/>
        </w:rPr>
        <w:t>,</w:t>
      </w:r>
      <w:r>
        <w:rPr>
          <w:vertAlign w:val="baseline"/>
        </w:rPr>
        <w:t>sbase between isoniazid and2,4-dinitrophenyl hydrazine under acidic condition (equation 3.1).</w:t>
      </w:r>
    </w:p>
    <w:p>
      <w:pPr>
        <w:spacing w:before="1"/>
        <w:ind w:left="1347" w:right="0" w:firstLine="0"/>
        <w:jc w:val="left"/>
        <w:rPr>
          <w:rFonts w:ascii="Arial MT"/>
          <w:sz w:val="14"/>
        </w:rPr>
      </w:pPr>
      <w:r>
        <w:rPr/>
        <mc:AlternateContent>
          <mc:Choice Requires="wps">
            <w:drawing>
              <wp:anchor distT="0" distB="0" distL="0" distR="0" allowOverlap="1" layoutInCell="1" locked="0" behindDoc="1" simplePos="0" relativeHeight="485009408">
                <wp:simplePos x="0" y="0"/>
                <wp:positionH relativeFrom="page">
                  <wp:posOffset>923675</wp:posOffset>
                </wp:positionH>
                <wp:positionV relativeFrom="paragraph">
                  <wp:posOffset>130628</wp:posOffset>
                </wp:positionV>
                <wp:extent cx="794385" cy="148145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794385" cy="1481455"/>
                          <a:chExt cx="794385" cy="1481455"/>
                        </a:xfrm>
                      </wpg:grpSpPr>
                      <wps:wsp>
                        <wps:cNvPr id="92" name="Graphic 92"/>
                        <wps:cNvSpPr/>
                        <wps:spPr>
                          <a:xfrm>
                            <a:off x="127107" y="0"/>
                            <a:ext cx="608330" cy="1475740"/>
                          </a:xfrm>
                          <a:custGeom>
                            <a:avLst/>
                            <a:gdLst/>
                            <a:ahLst/>
                            <a:cxnLst/>
                            <a:rect l="l" t="t" r="r" b="b"/>
                            <a:pathLst>
                              <a:path w="608330" h="1475740">
                                <a:moveTo>
                                  <a:pt x="0" y="983854"/>
                                </a:moveTo>
                                <a:lnTo>
                                  <a:pt x="0" y="1334867"/>
                                </a:lnTo>
                              </a:path>
                              <a:path w="608330" h="1475740">
                                <a:moveTo>
                                  <a:pt x="40739" y="1009327"/>
                                </a:moveTo>
                                <a:lnTo>
                                  <a:pt x="40739" y="1310981"/>
                                </a:lnTo>
                              </a:path>
                              <a:path w="608330" h="1475740">
                                <a:moveTo>
                                  <a:pt x="0" y="1334867"/>
                                </a:moveTo>
                                <a:lnTo>
                                  <a:pt x="242646" y="1475719"/>
                                </a:lnTo>
                              </a:path>
                              <a:path w="608330" h="1475740">
                                <a:moveTo>
                                  <a:pt x="365483" y="1475719"/>
                                </a:moveTo>
                                <a:lnTo>
                                  <a:pt x="608141" y="1334867"/>
                                </a:lnTo>
                              </a:path>
                              <a:path w="608330" h="1475740">
                                <a:moveTo>
                                  <a:pt x="344199" y="1439146"/>
                                </a:moveTo>
                                <a:lnTo>
                                  <a:pt x="565870" y="1310981"/>
                                </a:lnTo>
                              </a:path>
                              <a:path w="608330" h="1475740">
                                <a:moveTo>
                                  <a:pt x="608141" y="1334867"/>
                                </a:moveTo>
                                <a:lnTo>
                                  <a:pt x="608141" y="983854"/>
                                </a:lnTo>
                              </a:path>
                              <a:path w="608330" h="1475740">
                                <a:moveTo>
                                  <a:pt x="608141" y="983854"/>
                                </a:moveTo>
                                <a:lnTo>
                                  <a:pt x="303150" y="809234"/>
                                </a:lnTo>
                              </a:path>
                              <a:path w="608330" h="1475740">
                                <a:moveTo>
                                  <a:pt x="565870" y="1009327"/>
                                </a:moveTo>
                                <a:lnTo>
                                  <a:pt x="303150" y="858457"/>
                                </a:lnTo>
                              </a:path>
                              <a:path w="608330" h="1475740">
                                <a:moveTo>
                                  <a:pt x="303150" y="809234"/>
                                </a:moveTo>
                                <a:lnTo>
                                  <a:pt x="0" y="983854"/>
                                </a:lnTo>
                              </a:path>
                              <a:path w="608330" h="1475740">
                                <a:moveTo>
                                  <a:pt x="303150" y="809234"/>
                                </a:moveTo>
                                <a:lnTo>
                                  <a:pt x="303150" y="457901"/>
                                </a:lnTo>
                              </a:path>
                              <a:path w="608330" h="1475740">
                                <a:moveTo>
                                  <a:pt x="303150" y="457901"/>
                                </a:moveTo>
                                <a:lnTo>
                                  <a:pt x="63246" y="319829"/>
                                </a:lnTo>
                              </a:path>
                              <a:path w="608330" h="1475740">
                                <a:moveTo>
                                  <a:pt x="0" y="219782"/>
                                </a:moveTo>
                                <a:lnTo>
                                  <a:pt x="0" y="0"/>
                                </a:lnTo>
                              </a:path>
                              <a:path w="608330" h="1475740">
                                <a:moveTo>
                                  <a:pt x="282175" y="445226"/>
                                </a:moveTo>
                                <a:lnTo>
                                  <a:pt x="539114" y="297432"/>
                                </a:lnTo>
                              </a:path>
                              <a:path w="608330" h="1475740">
                                <a:moveTo>
                                  <a:pt x="303150" y="482144"/>
                                </a:moveTo>
                                <a:lnTo>
                                  <a:pt x="560089" y="333981"/>
                                </a:lnTo>
                              </a:path>
                            </a:pathLst>
                          </a:custGeom>
                          <a:ln w="11229">
                            <a:solidFill>
                              <a:srgbClr val="000000"/>
                            </a:solidFill>
                            <a:prstDash val="solid"/>
                          </a:ln>
                        </wps:spPr>
                        <wps:bodyPr wrap="square" lIns="0" tIns="0" rIns="0" bIns="0" rtlCol="0">
                          <a:prstTxWarp prst="textNoShape">
                            <a:avLst/>
                          </a:prstTxWarp>
                          <a:noAutofit/>
                        </wps:bodyPr>
                      </wps:wsp>
                      <wps:wsp>
                        <wps:cNvPr id="93" name="Textbox 93"/>
                        <wps:cNvSpPr txBox="1"/>
                        <wps:spPr>
                          <a:xfrm>
                            <a:off x="0" y="220825"/>
                            <a:ext cx="183515" cy="132715"/>
                          </a:xfrm>
                          <a:prstGeom prst="rect">
                            <a:avLst/>
                          </a:prstGeom>
                        </wps:spPr>
                        <wps:txbx>
                          <w:txbxContent>
                            <w:p>
                              <w:pPr>
                                <w:spacing w:before="0"/>
                                <w:ind w:left="0" w:right="0" w:firstLine="0"/>
                                <w:jc w:val="left"/>
                                <w:rPr>
                                  <w:rFonts w:ascii="Arial MT"/>
                                  <w:sz w:val="18"/>
                                </w:rPr>
                              </w:pPr>
                              <w:r>
                                <w:rPr>
                                  <w:rFonts w:ascii="Arial MT"/>
                                  <w:spacing w:val="-5"/>
                                  <w:w w:val="105"/>
                                  <w:sz w:val="18"/>
                                </w:rPr>
                                <w:t>HN</w:t>
                              </w:r>
                            </w:p>
                          </w:txbxContent>
                        </wps:txbx>
                        <wps:bodyPr wrap="square" lIns="0" tIns="0" rIns="0" bIns="0" rtlCol="0">
                          <a:noAutofit/>
                        </wps:bodyPr>
                      </wps:wsp>
                      <wps:wsp>
                        <wps:cNvPr id="94" name="Textbox 94"/>
                        <wps:cNvSpPr txBox="1"/>
                        <wps:spPr>
                          <a:xfrm>
                            <a:off x="688716" y="220825"/>
                            <a:ext cx="106045" cy="132715"/>
                          </a:xfrm>
                          <a:prstGeom prst="rect">
                            <a:avLst/>
                          </a:prstGeom>
                        </wps:spPr>
                        <wps:txbx>
                          <w:txbxContent>
                            <w:p>
                              <w:pPr>
                                <w:spacing w:before="0"/>
                                <w:ind w:left="0" w:right="0" w:firstLine="0"/>
                                <w:jc w:val="left"/>
                                <w:rPr>
                                  <w:rFonts w:ascii="Arial MT"/>
                                  <w:sz w:val="18"/>
                                </w:rPr>
                              </w:pPr>
                              <w:r>
                                <w:rPr>
                                  <w:rFonts w:ascii="Arial MT"/>
                                  <w:spacing w:val="-10"/>
                                  <w:w w:val="105"/>
                                  <w:sz w:val="18"/>
                                </w:rPr>
                                <w:t>O</w:t>
                              </w:r>
                            </w:p>
                          </w:txbxContent>
                        </wps:txbx>
                        <wps:bodyPr wrap="square" lIns="0" tIns="0" rIns="0" bIns="0" rtlCol="0">
                          <a:noAutofit/>
                        </wps:bodyPr>
                      </wps:wsp>
                    </wpg:wgp>
                  </a:graphicData>
                </a:graphic>
              </wp:anchor>
            </w:drawing>
          </mc:Choice>
          <mc:Fallback>
            <w:pict>
              <v:group style="position:absolute;margin-left:72.730392pt;margin-top:10.285718pt;width:62.55pt;height:116.65pt;mso-position-horizontal-relative:page;mso-position-vertical-relative:paragraph;z-index:-18307072" id="docshapegroup74" coordorigin="1455,206" coordsize="1251,2333">
                <v:shape style="position:absolute;left:1654;top:205;width:958;height:2324" id="docshape75" coordorigin="1655,206" coordsize="958,2324" path="m1655,1755l1655,2308m1719,1795l1719,2270m1655,2308l2037,2530m2230,2530l2612,2308m2197,2472l2546,2270m2612,2308l2612,1755m2612,1755l2132,1480m2546,1795l2132,1558m2132,1480l1655,1755m2132,1480l2132,927m2132,927l1754,709m1655,552l1655,206m2099,907l2504,674m2132,965l2537,732e" filled="false" stroked="true" strokeweight=".884189pt" strokecolor="#000000">
                  <v:path arrowok="t"/>
                  <v:stroke dashstyle="solid"/>
                </v:shape>
                <v:shape style="position:absolute;left:1454;top:553;width:289;height:209" type="#_x0000_t202" id="docshape76" filled="false" stroked="false">
                  <v:textbox inset="0,0,0,0">
                    <w:txbxContent>
                      <w:p>
                        <w:pPr>
                          <w:spacing w:before="0"/>
                          <w:ind w:left="0" w:right="0" w:firstLine="0"/>
                          <w:jc w:val="left"/>
                          <w:rPr>
                            <w:rFonts w:ascii="Arial MT"/>
                            <w:sz w:val="18"/>
                          </w:rPr>
                        </w:pPr>
                        <w:r>
                          <w:rPr>
                            <w:rFonts w:ascii="Arial MT"/>
                            <w:spacing w:val="-5"/>
                            <w:w w:val="105"/>
                            <w:sz w:val="18"/>
                          </w:rPr>
                          <w:t>HN</w:t>
                        </w:r>
                      </w:p>
                    </w:txbxContent>
                  </v:textbox>
                  <w10:wrap type="none"/>
                </v:shape>
                <v:shape style="position:absolute;left:2539;top:553;width:167;height:209" type="#_x0000_t202" id="docshape77" filled="false" stroked="false">
                  <v:textbox inset="0,0,0,0">
                    <w:txbxContent>
                      <w:p>
                        <w:pPr>
                          <w:spacing w:before="0"/>
                          <w:ind w:left="0" w:right="0" w:firstLine="0"/>
                          <w:jc w:val="left"/>
                          <w:rPr>
                            <w:rFonts w:ascii="Arial MT"/>
                            <w:sz w:val="18"/>
                          </w:rPr>
                        </w:pPr>
                        <w:r>
                          <w:rPr>
                            <w:rFonts w:ascii="Arial MT"/>
                            <w:spacing w:val="-10"/>
                            <w:w w:val="105"/>
                            <w:sz w:val="18"/>
                          </w:rPr>
                          <w:t>O</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010432">
                <wp:simplePos x="0" y="0"/>
                <wp:positionH relativeFrom="page">
                  <wp:posOffset>2655304</wp:posOffset>
                </wp:positionH>
                <wp:positionV relativeFrom="paragraph">
                  <wp:posOffset>454642</wp:posOffset>
                </wp:positionV>
                <wp:extent cx="1270" cy="22225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270" cy="222250"/>
                        </a:xfrm>
                        <a:custGeom>
                          <a:avLst/>
                          <a:gdLst/>
                          <a:ahLst/>
                          <a:cxnLst/>
                          <a:rect l="l" t="t" r="r" b="b"/>
                          <a:pathLst>
                            <a:path w="0" h="222250">
                              <a:moveTo>
                                <a:pt x="0" y="221628"/>
                              </a:moveTo>
                              <a:lnTo>
                                <a:pt x="0" y="0"/>
                              </a:lnTo>
                            </a:path>
                          </a:pathLst>
                        </a:custGeom>
                        <a:ln w="112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306048" from="209.079102pt,53.24968pt" to="209.079102pt,35.798599pt" stroked="true" strokeweight=".885873pt" strokecolor="#000000">
                <v:stroke dashstyle="solid"/>
                <w10:wrap type="none"/>
              </v:line>
            </w:pict>
          </mc:Fallback>
        </mc:AlternateContent>
      </w:r>
      <w:r>
        <w:rPr>
          <w:rFonts w:ascii="Arial MT"/>
          <w:spacing w:val="-5"/>
          <w:w w:val="105"/>
          <w:sz w:val="18"/>
        </w:rPr>
        <w:t>NH</w:t>
      </w:r>
      <w:r>
        <w:rPr>
          <w:rFonts w:ascii="Arial MT"/>
          <w:spacing w:val="-5"/>
          <w:w w:val="105"/>
          <w:position w:val="-3"/>
          <w:sz w:val="14"/>
        </w:rPr>
        <w:t>2</w:t>
      </w:r>
    </w:p>
    <w:p>
      <w:pPr>
        <w:pStyle w:val="BodyText"/>
        <w:spacing w:before="10"/>
        <w:rPr>
          <w:rFonts w:ascii="Arial MT"/>
          <w:sz w:val="14"/>
        </w:rPr>
      </w:pPr>
    </w:p>
    <w:p>
      <w:pPr>
        <w:spacing w:after="0"/>
        <w:rPr>
          <w:rFonts w:ascii="Arial MT"/>
          <w:sz w:val="14"/>
        </w:rPr>
        <w:sectPr>
          <w:pgSz w:w="12240" w:h="15840"/>
          <w:pgMar w:header="0" w:footer="1015" w:top="1360" w:bottom="1200" w:left="240" w:right="0"/>
        </w:sectPr>
      </w:pPr>
    </w:p>
    <w:p>
      <w:pPr>
        <w:pStyle w:val="BodyText"/>
        <w:rPr>
          <w:rFonts w:ascii="Arial MT"/>
          <w:sz w:val="22"/>
        </w:rPr>
      </w:pPr>
    </w:p>
    <w:p>
      <w:pPr>
        <w:pStyle w:val="BodyText"/>
        <w:rPr>
          <w:rFonts w:ascii="Arial MT"/>
          <w:sz w:val="22"/>
        </w:rPr>
      </w:pPr>
    </w:p>
    <w:p>
      <w:pPr>
        <w:pStyle w:val="BodyText"/>
        <w:rPr>
          <w:rFonts w:ascii="Arial MT"/>
          <w:sz w:val="22"/>
        </w:rPr>
      </w:pPr>
    </w:p>
    <w:p>
      <w:pPr>
        <w:pStyle w:val="BodyText"/>
        <w:spacing w:before="238"/>
        <w:rPr>
          <w:rFonts w:ascii="Arial MT"/>
          <w:sz w:val="22"/>
        </w:rPr>
      </w:pPr>
    </w:p>
    <w:p>
      <w:pPr>
        <w:spacing w:before="0"/>
        <w:ind w:left="0" w:right="0" w:firstLine="0"/>
        <w:jc w:val="right"/>
        <w:rPr>
          <w:sz w:val="22"/>
        </w:rPr>
      </w:pPr>
      <w:r>
        <w:rPr>
          <w:spacing w:val="-10"/>
          <w:sz w:val="22"/>
        </w:rPr>
        <w:t>+</w:t>
      </w:r>
    </w:p>
    <w:p>
      <w:pPr>
        <w:spacing w:line="604" w:lineRule="auto" w:before="101"/>
        <w:ind w:left="1082" w:right="38" w:firstLine="0"/>
        <w:jc w:val="left"/>
        <w:rPr>
          <w:rFonts w:ascii="Arial MT"/>
          <w:sz w:val="18"/>
        </w:rPr>
      </w:pPr>
      <w:r>
        <w:rPr/>
        <w:br w:type="column"/>
      </w:r>
      <w:r>
        <w:rPr>
          <w:rFonts w:ascii="Arial MT"/>
          <w:spacing w:val="-6"/>
          <w:w w:val="105"/>
          <w:sz w:val="18"/>
        </w:rPr>
        <w:t>NH</w:t>
      </w:r>
      <w:r>
        <w:rPr>
          <w:rFonts w:ascii="Arial MT"/>
          <w:spacing w:val="-6"/>
          <w:w w:val="105"/>
          <w:position w:val="-3"/>
          <w:sz w:val="14"/>
        </w:rPr>
        <w:t>2</w:t>
      </w:r>
      <w:r>
        <w:rPr>
          <w:rFonts w:ascii="Arial MT"/>
          <w:spacing w:val="40"/>
          <w:w w:val="105"/>
          <w:position w:val="-3"/>
          <w:sz w:val="14"/>
        </w:rPr>
        <w:t> </w:t>
      </w:r>
      <w:r>
        <w:rPr>
          <w:rFonts w:ascii="Arial MT"/>
          <w:spacing w:val="-6"/>
          <w:w w:val="105"/>
          <w:sz w:val="18"/>
        </w:rPr>
        <w:t>NH</w:t>
      </w:r>
    </w:p>
    <w:p>
      <w:pPr>
        <w:spacing w:line="240" w:lineRule="auto" w:before="0"/>
        <w:rPr>
          <w:rFonts w:ascii="Arial MT"/>
          <w:sz w:val="18"/>
        </w:rPr>
      </w:pPr>
      <w:r>
        <w:rPr/>
        <w:br w:type="column"/>
      </w:r>
      <w:r>
        <w:rPr>
          <w:rFonts w:ascii="Arial MT"/>
          <w:sz w:val="18"/>
        </w:rPr>
      </w:r>
    </w:p>
    <w:p>
      <w:pPr>
        <w:pStyle w:val="BodyText"/>
        <w:spacing w:before="60"/>
        <w:rPr>
          <w:rFonts w:ascii="Arial MT"/>
          <w:sz w:val="18"/>
        </w:rPr>
      </w:pPr>
    </w:p>
    <w:p>
      <w:pPr>
        <w:spacing w:before="0"/>
        <w:ind w:left="0" w:right="0" w:firstLine="0"/>
        <w:jc w:val="right"/>
        <w:rPr>
          <w:rFonts w:ascii="Arial MT"/>
          <w:sz w:val="14"/>
        </w:rPr>
      </w:pPr>
      <w:r>
        <w:rPr/>
        <mc:AlternateContent>
          <mc:Choice Requires="wps">
            <w:drawing>
              <wp:anchor distT="0" distB="0" distL="0" distR="0" allowOverlap="1" layoutInCell="1" locked="0" behindDoc="1" simplePos="0" relativeHeight="485009920">
                <wp:simplePos x="0" y="0"/>
                <wp:positionH relativeFrom="page">
                  <wp:posOffset>2344811</wp:posOffset>
                </wp:positionH>
                <wp:positionV relativeFrom="paragraph">
                  <wp:posOffset>244344</wp:posOffset>
                </wp:positionV>
                <wp:extent cx="2357120" cy="127444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2357120" cy="1274445"/>
                          <a:chExt cx="2357120" cy="1274445"/>
                        </a:xfrm>
                      </wpg:grpSpPr>
                      <wps:wsp>
                        <wps:cNvPr id="97" name="Graphic 97"/>
                        <wps:cNvSpPr/>
                        <wps:spPr>
                          <a:xfrm>
                            <a:off x="5625" y="0"/>
                            <a:ext cx="849630" cy="1274445"/>
                          </a:xfrm>
                          <a:custGeom>
                            <a:avLst/>
                            <a:gdLst/>
                            <a:ahLst/>
                            <a:cxnLst/>
                            <a:rect l="l" t="t" r="r" b="b"/>
                            <a:pathLst>
                              <a:path w="849630" h="1274445">
                                <a:moveTo>
                                  <a:pt x="0" y="457889"/>
                                </a:moveTo>
                                <a:lnTo>
                                  <a:pt x="0" y="808840"/>
                                </a:lnTo>
                              </a:path>
                              <a:path w="849630" h="1274445">
                                <a:moveTo>
                                  <a:pt x="42246" y="483288"/>
                                </a:moveTo>
                                <a:lnTo>
                                  <a:pt x="42246" y="784966"/>
                                </a:lnTo>
                              </a:path>
                              <a:path w="849630" h="1274445">
                                <a:moveTo>
                                  <a:pt x="0" y="808840"/>
                                </a:moveTo>
                                <a:lnTo>
                                  <a:pt x="304867" y="985072"/>
                                </a:lnTo>
                              </a:path>
                              <a:path w="849630" h="1274445">
                                <a:moveTo>
                                  <a:pt x="304867" y="985072"/>
                                </a:moveTo>
                                <a:lnTo>
                                  <a:pt x="608129" y="808840"/>
                                </a:lnTo>
                              </a:path>
                              <a:path w="849630" h="1274445">
                                <a:moveTo>
                                  <a:pt x="304867" y="935799"/>
                                </a:moveTo>
                                <a:lnTo>
                                  <a:pt x="565759" y="784966"/>
                                </a:lnTo>
                              </a:path>
                              <a:path w="849630" h="1274445">
                                <a:moveTo>
                                  <a:pt x="608129" y="808840"/>
                                </a:moveTo>
                                <a:lnTo>
                                  <a:pt x="608129" y="457889"/>
                                </a:lnTo>
                              </a:path>
                              <a:path w="849630" h="1274445">
                                <a:moveTo>
                                  <a:pt x="608129" y="457889"/>
                                </a:moveTo>
                                <a:lnTo>
                                  <a:pt x="304867" y="283158"/>
                                </a:lnTo>
                              </a:path>
                              <a:path w="849630" h="1274445">
                                <a:moveTo>
                                  <a:pt x="565759" y="483288"/>
                                </a:moveTo>
                                <a:lnTo>
                                  <a:pt x="304867" y="331274"/>
                                </a:lnTo>
                              </a:path>
                              <a:path w="849630" h="1274445">
                                <a:moveTo>
                                  <a:pt x="304867" y="283158"/>
                                </a:moveTo>
                                <a:lnTo>
                                  <a:pt x="0" y="457889"/>
                                </a:lnTo>
                              </a:path>
                              <a:path w="849630" h="1274445">
                                <a:moveTo>
                                  <a:pt x="304867" y="283158"/>
                                </a:moveTo>
                                <a:lnTo>
                                  <a:pt x="304867" y="0"/>
                                </a:lnTo>
                              </a:path>
                              <a:path w="849630" h="1274445">
                                <a:moveTo>
                                  <a:pt x="608129" y="457889"/>
                                </a:moveTo>
                                <a:lnTo>
                                  <a:pt x="849503" y="319706"/>
                                </a:lnTo>
                              </a:path>
                              <a:path w="849630" h="1274445">
                                <a:moveTo>
                                  <a:pt x="304867" y="985072"/>
                                </a:moveTo>
                                <a:lnTo>
                                  <a:pt x="304867" y="1274051"/>
                                </a:lnTo>
                              </a:path>
                            </a:pathLst>
                          </a:custGeom>
                          <a:ln w="11229">
                            <a:solidFill>
                              <a:srgbClr val="000000"/>
                            </a:solidFill>
                            <a:prstDash val="solid"/>
                          </a:ln>
                        </wps:spPr>
                        <wps:bodyPr wrap="square" lIns="0" tIns="0" rIns="0" bIns="0" rtlCol="0">
                          <a:prstTxWarp prst="textNoShape">
                            <a:avLst/>
                          </a:prstTxWarp>
                          <a:noAutofit/>
                        </wps:bodyPr>
                      </wps:wsp>
                      <wps:wsp>
                        <wps:cNvPr id="98" name="Graphic 98"/>
                        <wps:cNvSpPr/>
                        <wps:spPr>
                          <a:xfrm>
                            <a:off x="2239633" y="628682"/>
                            <a:ext cx="117475" cy="62230"/>
                          </a:xfrm>
                          <a:custGeom>
                            <a:avLst/>
                            <a:gdLst/>
                            <a:ahLst/>
                            <a:cxnLst/>
                            <a:rect l="l" t="t" r="r" b="b"/>
                            <a:pathLst>
                              <a:path w="117475" h="62230">
                                <a:moveTo>
                                  <a:pt x="0" y="0"/>
                                </a:moveTo>
                                <a:lnTo>
                                  <a:pt x="13958" y="30838"/>
                                </a:lnTo>
                                <a:lnTo>
                                  <a:pt x="0" y="61972"/>
                                </a:lnTo>
                                <a:lnTo>
                                  <a:pt x="116981" y="30838"/>
                                </a:lnTo>
                                <a:lnTo>
                                  <a:pt x="0"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782000" y="663901"/>
                            <a:ext cx="1473200" cy="1270"/>
                          </a:xfrm>
                          <a:custGeom>
                            <a:avLst/>
                            <a:gdLst/>
                            <a:ahLst/>
                            <a:cxnLst/>
                            <a:rect l="l" t="t" r="r" b="b"/>
                            <a:pathLst>
                              <a:path w="1473200" h="0">
                                <a:moveTo>
                                  <a:pt x="1473198" y="0"/>
                                </a:moveTo>
                                <a:lnTo>
                                  <a:pt x="0" y="0"/>
                                </a:lnTo>
                              </a:path>
                            </a:pathLst>
                          </a:custGeom>
                          <a:ln w="1722">
                            <a:solidFill>
                              <a:srgbClr val="000000"/>
                            </a:solidFill>
                            <a:prstDash val="solid"/>
                          </a:ln>
                        </wps:spPr>
                        <wps:bodyPr wrap="square" lIns="0" tIns="0" rIns="0" bIns="0" rtlCol="0">
                          <a:prstTxWarp prst="textNoShape">
                            <a:avLst/>
                          </a:prstTxWarp>
                          <a:noAutofit/>
                        </wps:bodyPr>
                      </wps:wsp>
                      <wps:wsp>
                        <wps:cNvPr id="100" name="Graphic 100"/>
                        <wps:cNvSpPr/>
                        <wps:spPr>
                          <a:xfrm>
                            <a:off x="774835" y="653768"/>
                            <a:ext cx="1478915" cy="12065"/>
                          </a:xfrm>
                          <a:custGeom>
                            <a:avLst/>
                            <a:gdLst/>
                            <a:ahLst/>
                            <a:cxnLst/>
                            <a:rect l="l" t="t" r="r" b="b"/>
                            <a:pathLst>
                              <a:path w="1478915" h="12065">
                                <a:moveTo>
                                  <a:pt x="1478756" y="0"/>
                                </a:moveTo>
                                <a:lnTo>
                                  <a:pt x="0" y="0"/>
                                </a:lnTo>
                                <a:lnTo>
                                  <a:pt x="0" y="11486"/>
                                </a:lnTo>
                                <a:lnTo>
                                  <a:pt x="1478756" y="11486"/>
                                </a:lnTo>
                                <a:lnTo>
                                  <a:pt x="1478756" y="0"/>
                                </a:lnTo>
                                <a:close/>
                              </a:path>
                            </a:pathLst>
                          </a:custGeom>
                          <a:solidFill>
                            <a:srgbClr val="000000"/>
                          </a:solidFill>
                        </wps:spPr>
                        <wps:bodyPr wrap="square" lIns="0" tIns="0" rIns="0" bIns="0" rtlCol="0">
                          <a:prstTxWarp prst="textNoShape">
                            <a:avLst/>
                          </a:prstTxWarp>
                          <a:noAutofit/>
                        </wps:bodyPr>
                      </wps:wsp>
                      <wps:wsp>
                        <wps:cNvPr id="101" name="Textbox 101"/>
                        <wps:cNvSpPr txBox="1"/>
                        <wps:spPr>
                          <a:xfrm>
                            <a:off x="0" y="0"/>
                            <a:ext cx="2357120" cy="1274445"/>
                          </a:xfrm>
                          <a:prstGeom prst="rect">
                            <a:avLst/>
                          </a:prstGeom>
                        </wps:spPr>
                        <wps:txbx>
                          <w:txbxContent>
                            <w:p>
                              <w:pPr>
                                <w:spacing w:line="240" w:lineRule="auto" w:before="141"/>
                                <w:rPr>
                                  <w:sz w:val="18"/>
                                </w:rPr>
                              </w:pPr>
                            </w:p>
                            <w:p>
                              <w:pPr>
                                <w:spacing w:before="0"/>
                                <w:ind w:left="1382" w:right="0" w:firstLine="0"/>
                                <w:jc w:val="left"/>
                                <w:rPr>
                                  <w:rFonts w:ascii="Arial MT"/>
                                  <w:sz w:val="14"/>
                                </w:rPr>
                              </w:pPr>
                              <w:r>
                                <w:rPr>
                                  <w:rFonts w:ascii="Arial MT"/>
                                  <w:spacing w:val="-5"/>
                                  <w:w w:val="105"/>
                                  <w:sz w:val="18"/>
                                </w:rPr>
                                <w:t>NO</w:t>
                              </w:r>
                              <w:r>
                                <w:rPr>
                                  <w:rFonts w:ascii="Arial MT"/>
                                  <w:spacing w:val="-5"/>
                                  <w:w w:val="105"/>
                                  <w:position w:val="-3"/>
                                  <w:sz w:val="14"/>
                                </w:rPr>
                                <w:t>2</w:t>
                              </w:r>
                            </w:p>
                            <w:p>
                              <w:pPr>
                                <w:spacing w:line="405" w:lineRule="auto" w:before="96"/>
                                <w:ind w:left="1386" w:right="390" w:hanging="56"/>
                                <w:jc w:val="left"/>
                                <w:rPr>
                                  <w:sz w:val="22"/>
                                </w:rPr>
                              </w:pPr>
                              <w:r>
                                <w:rPr>
                                  <w:sz w:val="22"/>
                                </w:rPr>
                                <w:t>Condensation</w:t>
                              </w:r>
                              <w:r>
                                <w:rPr>
                                  <w:spacing w:val="-14"/>
                                  <w:sz w:val="22"/>
                                </w:rPr>
                                <w:t> </w:t>
                              </w:r>
                              <w:r>
                                <w:rPr>
                                  <w:sz w:val="22"/>
                                </w:rPr>
                                <w:t>reaction 2 ml of 85 % HCl</w:t>
                              </w:r>
                            </w:p>
                          </w:txbxContent>
                        </wps:txbx>
                        <wps:bodyPr wrap="square" lIns="0" tIns="0" rIns="0" bIns="0" rtlCol="0">
                          <a:noAutofit/>
                        </wps:bodyPr>
                      </wps:wsp>
                    </wpg:wgp>
                  </a:graphicData>
                </a:graphic>
              </wp:anchor>
            </w:drawing>
          </mc:Choice>
          <mc:Fallback>
            <w:pict>
              <v:group style="position:absolute;margin-left:184.630829pt;margin-top:19.239731pt;width:185.6pt;height:100.35pt;mso-position-horizontal-relative:page;mso-position-vertical-relative:paragraph;z-index:-18306560" id="docshapegroup78" coordorigin="3693,385" coordsize="3712,2007">
                <v:shape style="position:absolute;left:3701;top:384;width:1338;height:2007" id="docshape79" coordorigin="3701,385" coordsize="1338,2007" path="m3701,1106l3701,1659m3768,1146l3768,1621m3701,1659l4182,1936m4182,1936l4659,1659m4182,1858l4592,1621m4659,1659l4659,1106m4659,1106l4182,831m4592,1146l4182,906m4182,831l3701,1106m4182,831l4182,385m4659,1106l5039,888m4182,1936l4182,2391e" filled="false" stroked="true" strokeweight=".884189pt" strokecolor="#000000">
                  <v:path arrowok="t"/>
                  <v:stroke dashstyle="solid"/>
                </v:shape>
                <v:shape style="position:absolute;left:7219;top:1374;width:185;height:98" id="docshape80" coordorigin="7220,1375" coordsize="185,98" path="m7220,1375l7242,1423,7220,1472,7404,1423,7220,1375xe" filled="true" fillcolor="#000000" stroked="false">
                  <v:path arrowok="t"/>
                  <v:fill type="solid"/>
                </v:shape>
                <v:line style="position:absolute" from="7244,1430" to="4924,1430" stroked="true" strokeweight=".135655pt" strokecolor="#000000">
                  <v:stroke dashstyle="solid"/>
                </v:line>
                <v:rect style="position:absolute;left:4912;top:1414;width:2329;height:19" id="docshape81" filled="true" fillcolor="#000000" stroked="false">
                  <v:fill type="solid"/>
                </v:rect>
                <v:shape style="position:absolute;left:3692;top:384;width:3712;height:2007" type="#_x0000_t202" id="docshape82" filled="false" stroked="false">
                  <v:textbox inset="0,0,0,0">
                    <w:txbxContent>
                      <w:p>
                        <w:pPr>
                          <w:spacing w:line="240" w:lineRule="auto" w:before="141"/>
                          <w:rPr>
                            <w:sz w:val="18"/>
                          </w:rPr>
                        </w:pPr>
                      </w:p>
                      <w:p>
                        <w:pPr>
                          <w:spacing w:before="0"/>
                          <w:ind w:left="1382" w:right="0" w:firstLine="0"/>
                          <w:jc w:val="left"/>
                          <w:rPr>
                            <w:rFonts w:ascii="Arial MT"/>
                            <w:sz w:val="14"/>
                          </w:rPr>
                        </w:pPr>
                        <w:r>
                          <w:rPr>
                            <w:rFonts w:ascii="Arial MT"/>
                            <w:spacing w:val="-5"/>
                            <w:w w:val="105"/>
                            <w:sz w:val="18"/>
                          </w:rPr>
                          <w:t>NO</w:t>
                        </w:r>
                        <w:r>
                          <w:rPr>
                            <w:rFonts w:ascii="Arial MT"/>
                            <w:spacing w:val="-5"/>
                            <w:w w:val="105"/>
                            <w:position w:val="-3"/>
                            <w:sz w:val="14"/>
                          </w:rPr>
                          <w:t>2</w:t>
                        </w:r>
                      </w:p>
                      <w:p>
                        <w:pPr>
                          <w:spacing w:line="405" w:lineRule="auto" w:before="96"/>
                          <w:ind w:left="1386" w:right="390" w:hanging="56"/>
                          <w:jc w:val="left"/>
                          <w:rPr>
                            <w:sz w:val="22"/>
                          </w:rPr>
                        </w:pPr>
                        <w:r>
                          <w:rPr>
                            <w:sz w:val="22"/>
                          </w:rPr>
                          <w:t>Condensation</w:t>
                        </w:r>
                        <w:r>
                          <w:rPr>
                            <w:spacing w:val="-14"/>
                            <w:sz w:val="22"/>
                          </w:rPr>
                          <w:t> </w:t>
                        </w:r>
                        <w:r>
                          <w:rPr>
                            <w:sz w:val="22"/>
                          </w:rPr>
                          <w:t>reaction 2 ml of 85 % HCl</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010944">
                <wp:simplePos x="0" y="0"/>
                <wp:positionH relativeFrom="page">
                  <wp:posOffset>4674744</wp:posOffset>
                </wp:positionH>
                <wp:positionV relativeFrom="paragraph">
                  <wp:posOffset>130023</wp:posOffset>
                </wp:positionV>
                <wp:extent cx="981075" cy="148336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981075" cy="1483360"/>
                          <a:chExt cx="981075" cy="1483360"/>
                        </a:xfrm>
                      </wpg:grpSpPr>
                      <wps:wsp>
                        <wps:cNvPr id="103" name="Graphic 103"/>
                        <wps:cNvSpPr/>
                        <wps:spPr>
                          <a:xfrm>
                            <a:off x="127110" y="0"/>
                            <a:ext cx="848360" cy="1477645"/>
                          </a:xfrm>
                          <a:custGeom>
                            <a:avLst/>
                            <a:gdLst/>
                            <a:ahLst/>
                            <a:cxnLst/>
                            <a:rect l="l" t="t" r="r" b="b"/>
                            <a:pathLst>
                              <a:path w="848360" h="1477645">
                                <a:moveTo>
                                  <a:pt x="0" y="985429"/>
                                </a:moveTo>
                                <a:lnTo>
                                  <a:pt x="0" y="1336380"/>
                                </a:lnTo>
                              </a:path>
                              <a:path w="848360" h="1477645">
                                <a:moveTo>
                                  <a:pt x="42246" y="1009315"/>
                                </a:moveTo>
                                <a:lnTo>
                                  <a:pt x="42246" y="1312494"/>
                                </a:lnTo>
                              </a:path>
                              <a:path w="848360" h="1477645">
                                <a:moveTo>
                                  <a:pt x="0" y="1336380"/>
                                </a:moveTo>
                                <a:lnTo>
                                  <a:pt x="242609" y="1477245"/>
                                </a:lnTo>
                              </a:path>
                              <a:path w="848360" h="1477645">
                                <a:moveTo>
                                  <a:pt x="365396" y="1476027"/>
                                </a:moveTo>
                                <a:lnTo>
                                  <a:pt x="608129" y="1336380"/>
                                </a:lnTo>
                              </a:path>
                              <a:path w="848360" h="1477645">
                                <a:moveTo>
                                  <a:pt x="345632" y="1439159"/>
                                </a:moveTo>
                                <a:lnTo>
                                  <a:pt x="565759" y="1312494"/>
                                </a:lnTo>
                              </a:path>
                              <a:path w="848360" h="1477645">
                                <a:moveTo>
                                  <a:pt x="608129" y="1336380"/>
                                </a:moveTo>
                                <a:lnTo>
                                  <a:pt x="608129" y="985429"/>
                                </a:lnTo>
                              </a:path>
                              <a:path w="848360" h="1477645">
                                <a:moveTo>
                                  <a:pt x="608129" y="985429"/>
                                </a:moveTo>
                                <a:lnTo>
                                  <a:pt x="303385" y="809209"/>
                                </a:lnTo>
                              </a:path>
                              <a:path w="848360" h="1477645">
                                <a:moveTo>
                                  <a:pt x="565759" y="1009315"/>
                                </a:moveTo>
                                <a:lnTo>
                                  <a:pt x="303385" y="858469"/>
                                </a:lnTo>
                              </a:path>
                              <a:path w="848360" h="1477645">
                                <a:moveTo>
                                  <a:pt x="303385" y="809209"/>
                                </a:moveTo>
                                <a:lnTo>
                                  <a:pt x="0" y="985429"/>
                                </a:lnTo>
                              </a:path>
                              <a:path w="848360" h="1477645">
                                <a:moveTo>
                                  <a:pt x="303385" y="809209"/>
                                </a:moveTo>
                                <a:lnTo>
                                  <a:pt x="303385" y="457901"/>
                                </a:lnTo>
                              </a:path>
                              <a:path w="848360" h="1477645">
                                <a:moveTo>
                                  <a:pt x="303385" y="457901"/>
                                </a:moveTo>
                                <a:lnTo>
                                  <a:pt x="63493" y="319829"/>
                                </a:lnTo>
                              </a:path>
                              <a:path w="848360" h="1477645">
                                <a:moveTo>
                                  <a:pt x="282138" y="446826"/>
                                </a:moveTo>
                                <a:lnTo>
                                  <a:pt x="534753" y="301616"/>
                                </a:lnTo>
                              </a:path>
                              <a:path w="848360" h="1477645">
                                <a:moveTo>
                                  <a:pt x="303385" y="483374"/>
                                </a:moveTo>
                                <a:lnTo>
                                  <a:pt x="555753" y="338288"/>
                                </a:lnTo>
                              </a:path>
                              <a:path w="848360" h="1477645">
                                <a:moveTo>
                                  <a:pt x="670140" y="246609"/>
                                </a:moveTo>
                                <a:lnTo>
                                  <a:pt x="848021" y="145086"/>
                                </a:lnTo>
                              </a:path>
                              <a:path w="848360" h="1477645">
                                <a:moveTo>
                                  <a:pt x="0" y="221259"/>
                                </a:moveTo>
                                <a:lnTo>
                                  <a:pt x="0" y="0"/>
                                </a:lnTo>
                              </a:path>
                            </a:pathLst>
                          </a:custGeom>
                          <a:ln w="11229">
                            <a:solidFill>
                              <a:srgbClr val="000000"/>
                            </a:solidFill>
                            <a:prstDash val="solid"/>
                          </a:ln>
                        </wps:spPr>
                        <wps:bodyPr wrap="square" lIns="0" tIns="0" rIns="0" bIns="0" rtlCol="0">
                          <a:prstTxWarp prst="textNoShape">
                            <a:avLst/>
                          </a:prstTxWarp>
                          <a:noAutofit/>
                        </wps:bodyPr>
                      </wps:wsp>
                      <wps:wsp>
                        <wps:cNvPr id="104" name="Textbox 104"/>
                        <wps:cNvSpPr txBox="1"/>
                        <wps:spPr>
                          <a:xfrm>
                            <a:off x="0" y="220825"/>
                            <a:ext cx="183515" cy="132715"/>
                          </a:xfrm>
                          <a:prstGeom prst="rect">
                            <a:avLst/>
                          </a:prstGeom>
                        </wps:spPr>
                        <wps:txbx>
                          <w:txbxContent>
                            <w:p>
                              <w:pPr>
                                <w:spacing w:before="0"/>
                                <w:ind w:left="0" w:right="0" w:firstLine="0"/>
                                <w:jc w:val="left"/>
                                <w:rPr>
                                  <w:rFonts w:ascii="Arial MT"/>
                                  <w:sz w:val="18"/>
                                </w:rPr>
                              </w:pPr>
                              <w:r>
                                <w:rPr>
                                  <w:rFonts w:ascii="Arial MT"/>
                                  <w:spacing w:val="-5"/>
                                  <w:w w:val="105"/>
                                  <w:sz w:val="18"/>
                                </w:rPr>
                                <w:t>HN</w:t>
                              </w:r>
                            </w:p>
                          </w:txbxContent>
                        </wps:txbx>
                        <wps:bodyPr wrap="square" lIns="0" tIns="0" rIns="0" bIns="0" rtlCol="0">
                          <a:noAutofit/>
                        </wps:bodyPr>
                      </wps:wsp>
                      <wps:wsp>
                        <wps:cNvPr id="105" name="Textbox 105"/>
                        <wps:cNvSpPr txBox="1"/>
                        <wps:spPr>
                          <a:xfrm>
                            <a:off x="694475" y="220825"/>
                            <a:ext cx="99060" cy="132715"/>
                          </a:xfrm>
                          <a:prstGeom prst="rect">
                            <a:avLst/>
                          </a:prstGeom>
                        </wps:spPr>
                        <wps:txbx>
                          <w:txbxContent>
                            <w:p>
                              <w:pPr>
                                <w:spacing w:before="0"/>
                                <w:ind w:left="0" w:right="0" w:firstLine="0"/>
                                <w:jc w:val="left"/>
                                <w:rPr>
                                  <w:rFonts w:ascii="Arial MT"/>
                                  <w:sz w:val="18"/>
                                </w:rPr>
                              </w:pPr>
                              <w:r>
                                <w:rPr>
                                  <w:rFonts w:ascii="Arial MT"/>
                                  <w:spacing w:val="-10"/>
                                  <w:w w:val="105"/>
                                  <w:sz w:val="18"/>
                                </w:rPr>
                                <w:t>N</w:t>
                              </w:r>
                            </w:p>
                          </w:txbxContent>
                        </wps:txbx>
                        <wps:bodyPr wrap="square" lIns="0" tIns="0" rIns="0" bIns="0" rtlCol="0">
                          <a:noAutofit/>
                        </wps:bodyPr>
                      </wps:wsp>
                    </wpg:wgp>
                  </a:graphicData>
                </a:graphic>
              </wp:anchor>
            </w:drawing>
          </mc:Choice>
          <mc:Fallback>
            <w:pict>
              <v:group style="position:absolute;margin-left:368.090118pt;margin-top:10.238035pt;width:77.25pt;height:116.8pt;mso-position-horizontal-relative:page;mso-position-vertical-relative:paragraph;z-index:-18305536" id="docshapegroup83" coordorigin="7362,205" coordsize="1545,2336">
                <v:shape style="position:absolute;left:7561;top:204;width:1336;height:2327" id="docshape84" coordorigin="7562,205" coordsize="1336,2327" path="m7562,1757l7562,2309m7629,1794l7629,2272m7562,2309l7944,2531m8137,2529l8520,2309m8106,2471l8453,2272m8520,2309l8520,1757m8520,1757l8040,1479m8453,1794l8040,1557m8040,1479l7562,1757m8040,1479l8040,926m8040,926l7662,708m8006,908l8404,680m8040,966l8437,737m8617,593l8897,433m7562,553l7562,205e" filled="false" stroked="true" strokeweight=".884189pt" strokecolor="#000000">
                  <v:path arrowok="t"/>
                  <v:stroke dashstyle="solid"/>
                </v:shape>
                <v:shape style="position:absolute;left:7361;top:552;width:289;height:209" type="#_x0000_t202" id="docshape85" filled="false" stroked="false">
                  <v:textbox inset="0,0,0,0">
                    <w:txbxContent>
                      <w:p>
                        <w:pPr>
                          <w:spacing w:before="0"/>
                          <w:ind w:left="0" w:right="0" w:firstLine="0"/>
                          <w:jc w:val="left"/>
                          <w:rPr>
                            <w:rFonts w:ascii="Arial MT"/>
                            <w:sz w:val="18"/>
                          </w:rPr>
                        </w:pPr>
                        <w:r>
                          <w:rPr>
                            <w:rFonts w:ascii="Arial MT"/>
                            <w:spacing w:val="-5"/>
                            <w:w w:val="105"/>
                            <w:sz w:val="18"/>
                          </w:rPr>
                          <w:t>HN</w:t>
                        </w:r>
                      </w:p>
                    </w:txbxContent>
                  </v:textbox>
                  <w10:wrap type="none"/>
                </v:shape>
                <v:shape style="position:absolute;left:8455;top:552;width:156;height:209" type="#_x0000_t202" id="docshape86" filled="false" stroked="false">
                  <v:textbox inset="0,0,0,0">
                    <w:txbxContent>
                      <w:p>
                        <w:pPr>
                          <w:spacing w:before="0"/>
                          <w:ind w:left="0" w:right="0" w:firstLine="0"/>
                          <w:jc w:val="left"/>
                          <w:rPr>
                            <w:rFonts w:ascii="Arial MT"/>
                            <w:sz w:val="18"/>
                          </w:rPr>
                        </w:pPr>
                        <w:r>
                          <w:rPr>
                            <w:rFonts w:ascii="Arial MT"/>
                            <w:spacing w:val="-10"/>
                            <w:w w:val="105"/>
                            <w:sz w:val="18"/>
                          </w:rPr>
                          <w:t>N</w:t>
                        </w:r>
                      </w:p>
                    </w:txbxContent>
                  </v:textbox>
                  <w10:wrap type="none"/>
                </v:shape>
                <w10:wrap type="none"/>
              </v:group>
            </w:pict>
          </mc:Fallback>
        </mc:AlternateContent>
      </w:r>
      <w:r>
        <w:rPr>
          <w:rFonts w:ascii="Arial MT"/>
          <w:spacing w:val="-5"/>
          <w:w w:val="105"/>
          <w:sz w:val="18"/>
        </w:rPr>
        <w:t>NH</w:t>
      </w:r>
      <w:r>
        <w:rPr>
          <w:rFonts w:ascii="Arial MT"/>
          <w:spacing w:val="-5"/>
          <w:w w:val="105"/>
          <w:position w:val="-3"/>
          <w:sz w:val="14"/>
        </w:rPr>
        <w:t>2</w:t>
      </w:r>
    </w:p>
    <w:p>
      <w:pPr>
        <w:spacing w:line="240" w:lineRule="auto" w:before="0"/>
        <w:rPr>
          <w:rFonts w:ascii="Arial MT"/>
          <w:sz w:val="18"/>
        </w:rPr>
      </w:pPr>
      <w:r>
        <w:rPr/>
        <w:br w:type="column"/>
      </w:r>
      <w:r>
        <w:rPr>
          <w:rFonts w:ascii="Arial MT"/>
          <w:sz w:val="18"/>
        </w:rPr>
      </w:r>
    </w:p>
    <w:p>
      <w:pPr>
        <w:pStyle w:val="BodyText"/>
        <w:spacing w:before="182"/>
        <w:rPr>
          <w:rFonts w:ascii="Arial MT"/>
          <w:sz w:val="18"/>
        </w:rPr>
      </w:pPr>
    </w:p>
    <w:p>
      <w:pPr>
        <w:tabs>
          <w:tab w:pos="2022" w:val="left" w:leader="none"/>
        </w:tabs>
        <w:spacing w:before="0"/>
        <w:ind w:left="1048" w:right="0" w:firstLine="0"/>
        <w:jc w:val="left"/>
        <w:rPr>
          <w:rFonts w:ascii="Arial MT"/>
          <w:sz w:val="14"/>
        </w:rPr>
      </w:pPr>
      <w:r>
        <w:rPr/>
        <mc:AlternateContent>
          <mc:Choice Requires="wps">
            <w:drawing>
              <wp:anchor distT="0" distB="0" distL="0" distR="0" allowOverlap="1" layoutInCell="1" locked="0" behindDoc="1" simplePos="0" relativeHeight="485011456">
                <wp:simplePos x="0" y="0"/>
                <wp:positionH relativeFrom="page">
                  <wp:posOffset>5714975</wp:posOffset>
                </wp:positionH>
                <wp:positionV relativeFrom="paragraph">
                  <wp:posOffset>197639</wp:posOffset>
                </wp:positionV>
                <wp:extent cx="722630" cy="107188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722630" cy="1071880"/>
                        </a:xfrm>
                        <a:custGeom>
                          <a:avLst/>
                          <a:gdLst/>
                          <a:ahLst/>
                          <a:cxnLst/>
                          <a:rect l="l" t="t" r="r" b="b"/>
                          <a:pathLst>
                            <a:path w="722630" h="1071880">
                              <a:moveTo>
                                <a:pt x="39529" y="31133"/>
                              </a:moveTo>
                              <a:lnTo>
                                <a:pt x="174792" y="266668"/>
                              </a:lnTo>
                            </a:path>
                            <a:path w="722630" h="1071880">
                              <a:moveTo>
                                <a:pt x="174792" y="266668"/>
                              </a:moveTo>
                              <a:lnTo>
                                <a:pt x="0" y="571017"/>
                              </a:lnTo>
                            </a:path>
                            <a:path w="722630" h="1071880">
                              <a:moveTo>
                                <a:pt x="198756" y="308631"/>
                              </a:moveTo>
                              <a:lnTo>
                                <a:pt x="47681" y="571017"/>
                              </a:lnTo>
                            </a:path>
                            <a:path w="722630" h="1071880">
                              <a:moveTo>
                                <a:pt x="0" y="571017"/>
                              </a:moveTo>
                              <a:lnTo>
                                <a:pt x="174792" y="874196"/>
                              </a:lnTo>
                            </a:path>
                            <a:path w="722630" h="1071880">
                              <a:moveTo>
                                <a:pt x="174792" y="874196"/>
                              </a:moveTo>
                              <a:lnTo>
                                <a:pt x="526353" y="874196"/>
                              </a:lnTo>
                            </a:path>
                            <a:path w="722630" h="1071880">
                              <a:moveTo>
                                <a:pt x="198756" y="831876"/>
                              </a:moveTo>
                              <a:lnTo>
                                <a:pt x="502265" y="831876"/>
                              </a:lnTo>
                            </a:path>
                            <a:path w="722630" h="1071880">
                              <a:moveTo>
                                <a:pt x="526353" y="874196"/>
                              </a:moveTo>
                              <a:lnTo>
                                <a:pt x="702628" y="571017"/>
                              </a:lnTo>
                            </a:path>
                            <a:path w="722630" h="1071880">
                              <a:moveTo>
                                <a:pt x="702628" y="571017"/>
                              </a:moveTo>
                              <a:lnTo>
                                <a:pt x="526353" y="266668"/>
                              </a:lnTo>
                            </a:path>
                            <a:path w="722630" h="1071880">
                              <a:moveTo>
                                <a:pt x="653093" y="571017"/>
                              </a:moveTo>
                              <a:lnTo>
                                <a:pt x="502265" y="308631"/>
                              </a:lnTo>
                            </a:path>
                            <a:path w="722630" h="1071880">
                              <a:moveTo>
                                <a:pt x="526353" y="266668"/>
                              </a:moveTo>
                              <a:lnTo>
                                <a:pt x="174792" y="266668"/>
                              </a:lnTo>
                            </a:path>
                            <a:path w="722630" h="1071880">
                              <a:moveTo>
                                <a:pt x="526353" y="266668"/>
                              </a:moveTo>
                              <a:lnTo>
                                <a:pt x="598000" y="0"/>
                              </a:lnTo>
                            </a:path>
                            <a:path w="722630" h="1071880">
                              <a:moveTo>
                                <a:pt x="526353" y="874196"/>
                              </a:moveTo>
                              <a:lnTo>
                                <a:pt x="722393" y="1071287"/>
                              </a:lnTo>
                            </a:path>
                          </a:pathLst>
                        </a:custGeom>
                        <a:ln w="11229">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9.998108pt;margin-top:15.562146pt;width:56.9pt;height:84.4pt;mso-position-horizontal-relative:page;mso-position-vertical-relative:paragraph;z-index:-18305024" id="docshape87" coordorigin="9000,311" coordsize="1138,1688" path="m9062,360l9275,731m9275,731l9000,1210m9313,797l9075,1210m9000,1210l9275,1688m9275,1688l9829,1688m9313,1621l9791,1621m9829,1688l10106,1210m10106,1210l9829,731m10028,1210l9791,797m9829,731l9275,731m9829,731l9942,311m9829,1688l10138,1998e" filled="false" stroked="true" strokeweight=".884189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5011968">
                <wp:simplePos x="0" y="0"/>
                <wp:positionH relativeFrom="page">
                  <wp:posOffset>5672358</wp:posOffset>
                </wp:positionH>
                <wp:positionV relativeFrom="paragraph">
                  <wp:posOffset>98635</wp:posOffset>
                </wp:positionV>
                <wp:extent cx="86360" cy="13271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86360" cy="132715"/>
                        </a:xfrm>
                        <a:prstGeom prst="rect">
                          <a:avLst/>
                        </a:prstGeom>
                      </wps:spPr>
                      <wps:txbx>
                        <w:txbxContent>
                          <w:p>
                            <w:pPr>
                              <w:spacing w:before="0"/>
                              <w:ind w:left="0" w:right="0" w:firstLine="0"/>
                              <w:jc w:val="left"/>
                              <w:rPr>
                                <w:rFonts w:ascii="Arial MT"/>
                                <w:sz w:val="18"/>
                              </w:rPr>
                            </w:pPr>
                            <w:r>
                              <w:rPr>
                                <w:rFonts w:ascii="Arial MT"/>
                                <w:spacing w:val="-10"/>
                                <w:sz w:val="18"/>
                              </w:rPr>
                              <w:t>N</w:t>
                            </w:r>
                          </w:p>
                        </w:txbxContent>
                      </wps:txbx>
                      <wps:bodyPr wrap="square" lIns="0" tIns="0" rIns="0" bIns="0" rtlCol="0">
                        <a:noAutofit/>
                      </wps:bodyPr>
                    </wps:wsp>
                  </a:graphicData>
                </a:graphic>
              </wp:anchor>
            </w:drawing>
          </mc:Choice>
          <mc:Fallback>
            <w:pict>
              <v:shape style="position:absolute;margin-left:446.642426pt;margin-top:7.766563pt;width:6.8pt;height:10.45pt;mso-position-horizontal-relative:page;mso-position-vertical-relative:paragraph;z-index:-18304512" type="#_x0000_t202" id="docshape88" filled="false" stroked="false">
                <v:textbox inset="0,0,0,0">
                  <w:txbxContent>
                    <w:p>
                      <w:pPr>
                        <w:spacing w:before="0"/>
                        <w:ind w:left="0" w:right="0" w:firstLine="0"/>
                        <w:jc w:val="left"/>
                        <w:rPr>
                          <w:rFonts w:ascii="Arial MT"/>
                          <w:sz w:val="18"/>
                        </w:rPr>
                      </w:pPr>
                      <w:r>
                        <w:rPr>
                          <w:rFonts w:ascii="Arial MT"/>
                          <w:spacing w:val="-10"/>
                          <w:sz w:val="18"/>
                        </w:rPr>
                        <w:t>N</w:t>
                      </w:r>
                    </w:p>
                  </w:txbxContent>
                </v:textbox>
                <w10:wrap type="none"/>
              </v:shape>
            </w:pict>
          </mc:Fallback>
        </mc:AlternateContent>
      </w:r>
      <w:r>
        <w:rPr>
          <w:rFonts w:ascii="Arial MT"/>
          <w:spacing w:val="-10"/>
          <w:w w:val="105"/>
          <w:position w:val="10"/>
          <w:sz w:val="18"/>
        </w:rPr>
        <w:t>H</w:t>
      </w:r>
      <w:r>
        <w:rPr>
          <w:rFonts w:ascii="Arial MT"/>
          <w:position w:val="10"/>
          <w:sz w:val="18"/>
        </w:rPr>
        <w:tab/>
      </w:r>
      <w:r>
        <w:rPr>
          <w:rFonts w:ascii="Arial MT"/>
          <w:spacing w:val="-5"/>
          <w:w w:val="105"/>
          <w:sz w:val="18"/>
        </w:rPr>
        <w:t>NO</w:t>
      </w:r>
      <w:r>
        <w:rPr>
          <w:rFonts w:ascii="Arial MT"/>
          <w:spacing w:val="-5"/>
          <w:w w:val="105"/>
          <w:position w:val="-3"/>
          <w:sz w:val="14"/>
        </w:rPr>
        <w:t>2</w:t>
      </w:r>
    </w:p>
    <w:p>
      <w:pPr>
        <w:pStyle w:val="BodyText"/>
        <w:spacing w:before="164"/>
        <w:rPr>
          <w:rFonts w:ascii="Arial MT"/>
          <w:sz w:val="18"/>
        </w:rPr>
      </w:pPr>
    </w:p>
    <w:p>
      <w:pPr>
        <w:spacing w:before="0"/>
        <w:ind w:left="2204" w:right="0" w:firstLine="0"/>
        <w:jc w:val="left"/>
        <w:rPr>
          <w:sz w:val="22"/>
        </w:rPr>
      </w:pPr>
      <w:r>
        <w:rPr>
          <w:position w:val="-2"/>
          <w:sz w:val="22"/>
        </w:rPr>
        <w:t>+</w:t>
      </w:r>
      <w:r>
        <w:rPr>
          <w:spacing w:val="67"/>
          <w:w w:val="150"/>
          <w:position w:val="-2"/>
          <w:sz w:val="22"/>
        </w:rPr>
        <w:t> </w:t>
      </w:r>
      <w:r>
        <w:rPr>
          <w:spacing w:val="-5"/>
          <w:sz w:val="22"/>
        </w:rPr>
        <w:t>H2O</w:t>
      </w:r>
    </w:p>
    <w:p>
      <w:pPr>
        <w:spacing w:after="0"/>
        <w:jc w:val="left"/>
        <w:rPr>
          <w:sz w:val="22"/>
        </w:rPr>
        <w:sectPr>
          <w:type w:val="continuous"/>
          <w:pgSz w:w="12240" w:h="15840"/>
          <w:pgMar w:header="0" w:footer="1015" w:top="1360" w:bottom="1200" w:left="240" w:right="0"/>
          <w:cols w:num="4" w:equalWidth="0">
            <w:col w:w="2752" w:space="40"/>
            <w:col w:w="1472" w:space="365"/>
            <w:col w:w="2975" w:space="40"/>
            <w:col w:w="4356"/>
          </w:cols>
        </w:sectPr>
      </w:pPr>
    </w:p>
    <w:p>
      <w:pPr>
        <w:pStyle w:val="BodyText"/>
        <w:spacing w:before="158"/>
        <w:rPr>
          <w:sz w:val="20"/>
        </w:rPr>
      </w:pPr>
    </w:p>
    <w:p>
      <w:pPr>
        <w:spacing w:after="0"/>
        <w:rPr>
          <w:sz w:val="20"/>
        </w:rPr>
        <w:sectPr>
          <w:type w:val="continuous"/>
          <w:pgSz w:w="12240" w:h="15840"/>
          <w:pgMar w:header="0" w:footer="1015" w:top="1360" w:bottom="1200" w:left="240" w:right="0"/>
        </w:sectPr>
      </w:pPr>
    </w:p>
    <w:p>
      <w:pPr>
        <w:spacing w:line="187" w:lineRule="exact" w:before="100"/>
        <w:ind w:left="604" w:right="0" w:firstLine="0"/>
        <w:jc w:val="center"/>
        <w:rPr>
          <w:rFonts w:ascii="Arial MT"/>
          <w:sz w:val="18"/>
        </w:rPr>
      </w:pPr>
      <w:r>
        <w:rPr>
          <w:rFonts w:ascii="Arial MT"/>
          <w:spacing w:val="-10"/>
          <w:w w:val="105"/>
          <w:sz w:val="18"/>
        </w:rPr>
        <w:t>N</w:t>
      </w:r>
    </w:p>
    <w:p>
      <w:pPr>
        <w:spacing w:line="231" w:lineRule="exact" w:before="0"/>
        <w:ind w:left="1201" w:right="0" w:firstLine="0"/>
        <w:jc w:val="left"/>
        <w:rPr>
          <w:sz w:val="22"/>
        </w:rPr>
      </w:pPr>
      <w:r>
        <w:rPr>
          <w:sz w:val="22"/>
        </w:rPr>
        <w:t>5</w:t>
      </w:r>
      <w:r>
        <w:rPr>
          <w:spacing w:val="-2"/>
          <w:sz w:val="22"/>
        </w:rPr>
        <w:t> </w:t>
      </w:r>
      <w:r>
        <w:rPr>
          <w:sz w:val="22"/>
        </w:rPr>
        <w:t>ml</w:t>
      </w:r>
      <w:r>
        <w:rPr>
          <w:spacing w:val="-2"/>
          <w:sz w:val="22"/>
        </w:rPr>
        <w:t> </w:t>
      </w:r>
      <w:r>
        <w:rPr>
          <w:sz w:val="22"/>
        </w:rPr>
        <w:t>of</w:t>
      </w:r>
      <w:r>
        <w:rPr>
          <w:spacing w:val="1"/>
          <w:sz w:val="22"/>
        </w:rPr>
        <w:t> </w:t>
      </w:r>
      <w:r>
        <w:rPr>
          <w:sz w:val="22"/>
        </w:rPr>
        <w:t>10</w:t>
      </w:r>
      <w:r>
        <w:rPr>
          <w:spacing w:val="-2"/>
          <w:sz w:val="22"/>
        </w:rPr>
        <w:t> </w:t>
      </w:r>
      <w:r>
        <w:rPr>
          <w:sz w:val="22"/>
        </w:rPr>
        <w:t>micro</w:t>
      </w:r>
      <w:r>
        <w:rPr>
          <w:spacing w:val="-1"/>
          <w:sz w:val="22"/>
        </w:rPr>
        <w:t> </w:t>
      </w:r>
      <w:r>
        <w:rPr>
          <w:spacing w:val="-5"/>
          <w:sz w:val="22"/>
        </w:rPr>
        <w:t>grm</w:t>
      </w:r>
    </w:p>
    <w:p>
      <w:pPr>
        <w:spacing w:line="251" w:lineRule="exact" w:before="0"/>
        <w:ind w:left="1201" w:right="0" w:firstLine="0"/>
        <w:jc w:val="left"/>
        <w:rPr>
          <w:sz w:val="22"/>
        </w:rPr>
      </w:pPr>
      <w:r>
        <w:rPr>
          <w:sz w:val="22"/>
        </w:rPr>
        <w:t>INH</w:t>
      </w:r>
      <w:r>
        <w:rPr>
          <w:spacing w:val="-1"/>
          <w:sz w:val="22"/>
        </w:rPr>
        <w:t> </w:t>
      </w:r>
      <w:r>
        <w:rPr>
          <w:sz w:val="22"/>
        </w:rPr>
        <w:t>in</w:t>
      </w:r>
      <w:r>
        <w:rPr>
          <w:spacing w:val="-1"/>
          <w:sz w:val="22"/>
        </w:rPr>
        <w:t> </w:t>
      </w:r>
      <w:r>
        <w:rPr>
          <w:sz w:val="22"/>
        </w:rPr>
        <w:t>Distilled</w:t>
      </w:r>
      <w:r>
        <w:rPr>
          <w:spacing w:val="-1"/>
          <w:sz w:val="22"/>
        </w:rPr>
        <w:t> </w:t>
      </w:r>
      <w:r>
        <w:rPr>
          <w:spacing w:val="-4"/>
          <w:sz w:val="22"/>
        </w:rPr>
        <w:t>water</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spacing w:before="60"/>
        <w:rPr>
          <w:sz w:val="18"/>
        </w:rPr>
      </w:pPr>
    </w:p>
    <w:p>
      <w:pPr>
        <w:spacing w:before="1"/>
        <w:ind w:left="647" w:right="0" w:firstLine="0"/>
        <w:jc w:val="left"/>
        <w:rPr>
          <w:rFonts w:ascii="Arial MT"/>
          <w:sz w:val="14"/>
        </w:rPr>
      </w:pPr>
      <w:r>
        <w:rPr>
          <w:rFonts w:ascii="Arial MT"/>
          <w:spacing w:val="-5"/>
          <w:w w:val="105"/>
          <w:sz w:val="18"/>
        </w:rPr>
        <w:t>NO</w:t>
      </w:r>
      <w:r>
        <w:rPr>
          <w:rFonts w:ascii="Arial MT"/>
          <w:spacing w:val="-5"/>
          <w:w w:val="105"/>
          <w:position w:val="-3"/>
          <w:sz w:val="14"/>
        </w:rPr>
        <w:t>2</w:t>
      </w:r>
    </w:p>
    <w:p>
      <w:pPr>
        <w:spacing w:before="26"/>
        <w:ind w:left="21" w:right="0" w:firstLine="0"/>
        <w:jc w:val="left"/>
        <w:rPr>
          <w:sz w:val="22"/>
        </w:rPr>
      </w:pPr>
      <w:r>
        <w:rPr>
          <w:sz w:val="22"/>
        </w:rPr>
        <w:t>2</w:t>
      </w:r>
      <w:r>
        <w:rPr>
          <w:spacing w:val="-1"/>
          <w:sz w:val="22"/>
        </w:rPr>
        <w:t> </w:t>
      </w:r>
      <w:r>
        <w:rPr>
          <w:sz w:val="22"/>
        </w:rPr>
        <w:t>ml</w:t>
      </w:r>
      <w:r>
        <w:rPr>
          <w:spacing w:val="-1"/>
          <w:sz w:val="22"/>
        </w:rPr>
        <w:t> </w:t>
      </w:r>
      <w:r>
        <w:rPr>
          <w:sz w:val="22"/>
        </w:rPr>
        <w:t>2,4-DNPH in 4.5 M </w:t>
      </w:r>
      <w:r>
        <w:rPr>
          <w:spacing w:val="-5"/>
          <w:sz w:val="22"/>
        </w:rPr>
        <w:t>HC</w:t>
      </w:r>
      <w:r>
        <w:rPr>
          <w:spacing w:val="-5"/>
          <w:sz w:val="22"/>
        </w:rPr>
        <w:t>l</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spacing w:before="158"/>
        <w:rPr>
          <w:sz w:val="18"/>
        </w:rPr>
      </w:pPr>
    </w:p>
    <w:p>
      <w:pPr>
        <w:spacing w:line="194" w:lineRule="exact" w:before="0"/>
        <w:ind w:left="514" w:right="0" w:firstLine="0"/>
        <w:jc w:val="center"/>
        <w:rPr>
          <w:rFonts w:ascii="Arial MT"/>
          <w:sz w:val="18"/>
        </w:rPr>
      </w:pPr>
      <w:r>
        <w:rPr>
          <w:rFonts w:ascii="Arial MT"/>
          <w:spacing w:val="-10"/>
          <w:w w:val="105"/>
          <w:sz w:val="18"/>
        </w:rPr>
        <w:t>N</w:t>
      </w:r>
    </w:p>
    <w:p>
      <w:pPr>
        <w:spacing w:line="240" w:lineRule="exact" w:before="0"/>
        <w:ind w:left="1115" w:right="0" w:firstLine="0"/>
        <w:jc w:val="left"/>
        <w:rPr>
          <w:sz w:val="22"/>
        </w:rPr>
      </w:pPr>
      <w:r>
        <w:rPr>
          <w:sz w:val="22"/>
        </w:rPr>
        <w:t>Orange - red</w:t>
      </w:r>
      <w:r>
        <w:rPr>
          <w:spacing w:val="1"/>
          <w:sz w:val="22"/>
        </w:rPr>
        <w:t> </w:t>
      </w:r>
      <w:r>
        <w:rPr>
          <w:spacing w:val="-2"/>
          <w:sz w:val="22"/>
        </w:rPr>
        <w:t>hydrazone</w:t>
      </w:r>
    </w:p>
    <w:p>
      <w:pPr>
        <w:spacing w:line="240" w:lineRule="auto" w:before="0"/>
        <w:rPr>
          <w:sz w:val="18"/>
        </w:rPr>
      </w:pPr>
      <w:r>
        <w:rPr/>
        <w:br w:type="column"/>
      </w:r>
      <w:r>
        <w:rPr>
          <w:sz w:val="18"/>
        </w:rPr>
      </w:r>
    </w:p>
    <w:p>
      <w:pPr>
        <w:pStyle w:val="BodyText"/>
        <w:spacing w:before="188"/>
        <w:rPr>
          <w:sz w:val="18"/>
        </w:rPr>
      </w:pPr>
    </w:p>
    <w:p>
      <w:pPr>
        <w:spacing w:before="0"/>
        <w:ind w:left="720" w:right="0" w:firstLine="0"/>
        <w:jc w:val="left"/>
        <w:rPr>
          <w:rFonts w:ascii="Arial MT"/>
          <w:sz w:val="14"/>
        </w:rPr>
      </w:pPr>
      <w:r>
        <w:rPr>
          <w:rFonts w:ascii="Arial MT"/>
          <w:spacing w:val="-5"/>
          <w:w w:val="105"/>
          <w:sz w:val="18"/>
        </w:rPr>
        <w:t>NO</w:t>
      </w:r>
      <w:r>
        <w:rPr>
          <w:rFonts w:ascii="Arial MT"/>
          <w:spacing w:val="-5"/>
          <w:w w:val="105"/>
          <w:position w:val="-3"/>
          <w:sz w:val="14"/>
        </w:rPr>
        <w:t>2</w:t>
      </w:r>
    </w:p>
    <w:p>
      <w:pPr>
        <w:spacing w:after="0"/>
        <w:jc w:val="left"/>
        <w:rPr>
          <w:rFonts w:ascii="Arial MT"/>
          <w:sz w:val="14"/>
        </w:rPr>
        <w:sectPr>
          <w:type w:val="continuous"/>
          <w:pgSz w:w="12240" w:h="15840"/>
          <w:pgMar w:header="0" w:footer="1015" w:top="1360" w:bottom="1200" w:left="240" w:right="0"/>
          <w:cols w:num="4" w:equalWidth="0">
            <w:col w:w="3187" w:space="40"/>
            <w:col w:w="2671" w:space="39"/>
            <w:col w:w="3218" w:space="40"/>
            <w:col w:w="2805"/>
          </w:cols>
        </w:sectPr>
      </w:pPr>
    </w:p>
    <w:p>
      <w:pPr>
        <w:pStyle w:val="BodyText"/>
        <w:spacing w:before="253"/>
        <w:rPr>
          <w:rFonts w:ascii="Arial MT"/>
        </w:rPr>
      </w:pPr>
    </w:p>
    <w:p>
      <w:pPr>
        <w:pStyle w:val="BodyText"/>
        <w:tabs>
          <w:tab w:pos="2520" w:val="left" w:leader="dot"/>
        </w:tabs>
        <w:ind w:left="1200"/>
      </w:pPr>
      <w:r>
        <w:rPr>
          <w:spacing w:val="-10"/>
        </w:rPr>
        <w:t>…</w:t>
      </w:r>
      <w:r>
        <w:rPr/>
        <w:tab/>
        <w:t>equation</w:t>
      </w:r>
      <w:r>
        <w:rPr>
          <w:spacing w:val="-2"/>
        </w:rPr>
        <w:t> </w:t>
      </w:r>
      <w:r>
        <w:rPr>
          <w:spacing w:val="-5"/>
        </w:rPr>
        <w:t>3.1</w:t>
      </w:r>
    </w:p>
    <w:p>
      <w:pPr>
        <w:spacing w:after="0"/>
        <w:sectPr>
          <w:type w:val="continuous"/>
          <w:pgSz w:w="12240" w:h="15840"/>
          <w:pgMar w:header="0" w:footer="1015" w:top="1360" w:bottom="1200" w:left="240" w:right="0"/>
        </w:sectPr>
      </w:pPr>
    </w:p>
    <w:p>
      <w:pPr>
        <w:pStyle w:val="ListParagraph"/>
        <w:numPr>
          <w:ilvl w:val="3"/>
          <w:numId w:val="12"/>
        </w:numPr>
        <w:tabs>
          <w:tab w:pos="1859" w:val="left" w:leader="none"/>
        </w:tabs>
        <w:spacing w:line="240" w:lineRule="auto" w:before="72" w:after="0"/>
        <w:ind w:left="1859" w:right="0" w:hanging="659"/>
        <w:jc w:val="left"/>
        <w:rPr>
          <w:i/>
          <w:sz w:val="24"/>
        </w:rPr>
      </w:pPr>
      <w:r>
        <w:rPr>
          <w:i/>
          <w:sz w:val="24"/>
        </w:rPr>
        <w:t>Determination</w:t>
      </w:r>
      <w:r>
        <w:rPr>
          <w:i/>
          <w:spacing w:val="-5"/>
          <w:sz w:val="24"/>
        </w:rPr>
        <w:t> </w:t>
      </w:r>
      <w:r>
        <w:rPr>
          <w:i/>
          <w:sz w:val="24"/>
        </w:rPr>
        <w:t>of</w:t>
      </w:r>
      <w:r>
        <w:rPr>
          <w:i/>
          <w:spacing w:val="-2"/>
          <w:sz w:val="24"/>
        </w:rPr>
        <w:t> </w:t>
      </w:r>
      <w:r>
        <w:rPr>
          <w:i/>
          <w:sz w:val="24"/>
        </w:rPr>
        <w:t>λ</w:t>
      </w:r>
      <w:r>
        <w:rPr>
          <w:i/>
          <w:spacing w:val="-2"/>
          <w:sz w:val="24"/>
        </w:rPr>
        <w:t> </w:t>
      </w:r>
      <w:r>
        <w:rPr>
          <w:i/>
          <w:spacing w:val="-4"/>
          <w:sz w:val="24"/>
        </w:rPr>
        <w:t>max.</w:t>
      </w:r>
    </w:p>
    <w:p>
      <w:pPr>
        <w:pStyle w:val="BodyText"/>
        <w:spacing w:before="7"/>
        <w:rPr>
          <w:i/>
        </w:rPr>
      </w:pPr>
    </w:p>
    <w:p>
      <w:pPr>
        <w:pStyle w:val="BodyText"/>
        <w:spacing w:line="480" w:lineRule="auto" w:before="1"/>
        <w:ind w:left="1200" w:right="1433"/>
        <w:jc w:val="both"/>
      </w:pPr>
      <w:r>
        <w:rPr/>
        <w:t>A portion (5 mL) of isoniazid solution (10 </w:t>
      </w:r>
      <w:r>
        <w:rPr>
          <w:rFonts w:ascii="Calibri" w:hAnsi="Calibri"/>
        </w:rPr>
        <w:t>μ</w:t>
      </w:r>
      <w:r>
        <w:rPr/>
        <w:t>g/mL) in distilled water was treated 2,4- dintrophenyihydrazine in the presence of 4.5 M HCl (2 mL). The resulting solution and also the reagent blank (containing 5 mL distilled water, 2 mL reagent and 2 mL of chilled 85 % HCl) wereheated at 100°C in a thermostatic water bath for 10 minutes. Thereafter, the solution containing isoniazid was treated with 2 mL of chilled 85 %v/v HClto form an orange-red colouredhydrazone (equation 3.1). The hydrazone formed was allowed to stand for 15 minutes for complete color development then scanned through a wavelength range 400 – 750 nm against the</w:t>
      </w:r>
      <w:r>
        <w:rPr>
          <w:spacing w:val="-2"/>
        </w:rPr>
        <w:t> </w:t>
      </w:r>
      <w:r>
        <w:rPr/>
        <w:t>reagent</w:t>
      </w:r>
      <w:r>
        <w:rPr>
          <w:spacing w:val="-2"/>
        </w:rPr>
        <w:t> </w:t>
      </w:r>
      <w:r>
        <w:rPr/>
        <w:t>blank</w:t>
      </w:r>
      <w:r>
        <w:rPr>
          <w:spacing w:val="-2"/>
        </w:rPr>
        <w:t> </w:t>
      </w:r>
      <w:r>
        <w:rPr/>
        <w:t>of</w:t>
      </w:r>
      <w:r>
        <w:rPr>
          <w:spacing w:val="-2"/>
        </w:rPr>
        <w:t> </w:t>
      </w:r>
      <w:r>
        <w:rPr/>
        <w:t>5</w:t>
      </w:r>
      <w:r>
        <w:rPr>
          <w:spacing w:val="-2"/>
        </w:rPr>
        <w:t> </w:t>
      </w:r>
      <w:r>
        <w:rPr/>
        <w:t>mL</w:t>
      </w:r>
      <w:r>
        <w:rPr>
          <w:spacing w:val="-4"/>
        </w:rPr>
        <w:t> </w:t>
      </w:r>
      <w:r>
        <w:rPr/>
        <w:t>distilled</w:t>
      </w:r>
      <w:r>
        <w:rPr>
          <w:spacing w:val="-2"/>
        </w:rPr>
        <w:t> </w:t>
      </w:r>
      <w:r>
        <w:rPr/>
        <w:t>water,2</w:t>
      </w:r>
      <w:r>
        <w:rPr>
          <w:spacing w:val="-2"/>
        </w:rPr>
        <w:t> </w:t>
      </w:r>
      <w:r>
        <w:rPr/>
        <w:t>mL</w:t>
      </w:r>
      <w:r>
        <w:rPr>
          <w:spacing w:val="-4"/>
        </w:rPr>
        <w:t> </w:t>
      </w:r>
      <w:r>
        <w:rPr/>
        <w:t>2,4-dinitrophenylhydrazine,</w:t>
      </w:r>
      <w:r>
        <w:rPr>
          <w:spacing w:val="-2"/>
        </w:rPr>
        <w:t> </w:t>
      </w:r>
      <w:r>
        <w:rPr/>
        <w:t>2</w:t>
      </w:r>
      <w:r>
        <w:rPr>
          <w:spacing w:val="-2"/>
        </w:rPr>
        <w:t> </w:t>
      </w:r>
      <w:r>
        <w:rPr/>
        <w:t>mL</w:t>
      </w:r>
      <w:r>
        <w:rPr>
          <w:spacing w:val="-4"/>
        </w:rPr>
        <w:t> </w:t>
      </w:r>
      <w:r>
        <w:rPr/>
        <w:t>85%</w:t>
      </w:r>
      <w:r>
        <w:rPr>
          <w:spacing w:val="-3"/>
        </w:rPr>
        <w:t> </w:t>
      </w:r>
      <w:r>
        <w:rPr/>
        <w:t>HClon</w:t>
      </w:r>
      <w:r>
        <w:rPr>
          <w:spacing w:val="-2"/>
        </w:rPr>
        <w:t> </w:t>
      </w:r>
      <w:r>
        <w:rPr/>
        <w:t>the UV spectrometer to obtain the λ max.</w:t>
      </w:r>
    </w:p>
    <w:p>
      <w:pPr>
        <w:pStyle w:val="ListParagraph"/>
        <w:numPr>
          <w:ilvl w:val="3"/>
          <w:numId w:val="12"/>
        </w:numPr>
        <w:tabs>
          <w:tab w:pos="1919" w:val="left" w:leader="none"/>
        </w:tabs>
        <w:spacing w:line="269" w:lineRule="exact" w:before="0" w:after="0"/>
        <w:ind w:left="1919" w:right="0" w:hanging="719"/>
        <w:jc w:val="left"/>
        <w:rPr>
          <w:i/>
          <w:sz w:val="24"/>
        </w:rPr>
      </w:pPr>
      <w:r>
        <w:rPr>
          <w:i/>
          <w:sz w:val="24"/>
        </w:rPr>
        <w:t>Optimization</w:t>
      </w:r>
      <w:r>
        <w:rPr>
          <w:i/>
          <w:spacing w:val="-1"/>
          <w:sz w:val="24"/>
        </w:rPr>
        <w:t> </w:t>
      </w:r>
      <w:r>
        <w:rPr>
          <w:i/>
          <w:sz w:val="24"/>
        </w:rPr>
        <w:t>of analytical working </w:t>
      </w:r>
      <w:r>
        <w:rPr>
          <w:i/>
          <w:spacing w:val="-2"/>
          <w:sz w:val="24"/>
        </w:rPr>
        <w:t>conditions.</w:t>
      </w:r>
    </w:p>
    <w:p>
      <w:pPr>
        <w:pStyle w:val="BodyText"/>
        <w:spacing w:before="239"/>
        <w:rPr>
          <w:i/>
        </w:rPr>
      </w:pPr>
    </w:p>
    <w:p>
      <w:pPr>
        <w:spacing w:before="1"/>
        <w:ind w:left="1200" w:right="0" w:firstLine="0"/>
        <w:jc w:val="left"/>
        <w:rPr>
          <w:i/>
          <w:sz w:val="24"/>
        </w:rPr>
      </w:pPr>
      <w:r>
        <w:rPr>
          <w:i/>
          <w:sz w:val="24"/>
        </w:rPr>
        <w:t>Determination</w:t>
      </w:r>
      <w:r>
        <w:rPr>
          <w:i/>
          <w:spacing w:val="59"/>
          <w:w w:val="150"/>
          <w:sz w:val="24"/>
        </w:rPr>
        <w:t> </w:t>
      </w:r>
      <w:r>
        <w:rPr>
          <w:i/>
          <w:sz w:val="24"/>
        </w:rPr>
        <w:t>of</w:t>
      </w:r>
      <w:r>
        <w:rPr>
          <w:i/>
          <w:spacing w:val="63"/>
          <w:w w:val="150"/>
          <w:sz w:val="24"/>
        </w:rPr>
        <w:t> </w:t>
      </w:r>
      <w:r>
        <w:rPr>
          <w:i/>
          <w:sz w:val="24"/>
        </w:rPr>
        <w:t>effective</w:t>
      </w:r>
      <w:r>
        <w:rPr>
          <w:i/>
          <w:spacing w:val="59"/>
          <w:w w:val="150"/>
          <w:sz w:val="24"/>
        </w:rPr>
        <w:t> </w:t>
      </w:r>
      <w:r>
        <w:rPr>
          <w:i/>
          <w:sz w:val="24"/>
        </w:rPr>
        <w:t>concentration</w:t>
      </w:r>
      <w:r>
        <w:rPr>
          <w:i/>
          <w:spacing w:val="63"/>
          <w:w w:val="150"/>
          <w:sz w:val="24"/>
        </w:rPr>
        <w:t> </w:t>
      </w:r>
      <w:r>
        <w:rPr>
          <w:i/>
          <w:sz w:val="24"/>
        </w:rPr>
        <w:t>of</w:t>
      </w:r>
      <w:r>
        <w:rPr>
          <w:i/>
          <w:spacing w:val="62"/>
          <w:w w:val="150"/>
          <w:sz w:val="24"/>
        </w:rPr>
        <w:t> </w:t>
      </w:r>
      <w:r>
        <w:rPr>
          <w:i/>
          <w:sz w:val="24"/>
        </w:rPr>
        <w:t>the</w:t>
      </w:r>
      <w:r>
        <w:rPr>
          <w:i/>
          <w:spacing w:val="60"/>
          <w:w w:val="150"/>
          <w:sz w:val="24"/>
        </w:rPr>
        <w:t> </w:t>
      </w:r>
      <w:r>
        <w:rPr>
          <w:i/>
          <w:sz w:val="24"/>
        </w:rPr>
        <w:t>reagent.</w:t>
      </w:r>
      <w:r>
        <w:rPr>
          <w:i/>
          <w:spacing w:val="64"/>
          <w:w w:val="150"/>
          <w:sz w:val="24"/>
        </w:rPr>
        <w:t> </w:t>
      </w:r>
      <w:r>
        <w:rPr>
          <w:i/>
          <w:sz w:val="24"/>
        </w:rPr>
        <w:t>2,4-dinitrophenylhydrazine</w:t>
      </w:r>
      <w:r>
        <w:rPr>
          <w:i/>
          <w:spacing w:val="64"/>
          <w:w w:val="150"/>
          <w:sz w:val="24"/>
        </w:rPr>
        <w:t> </w:t>
      </w:r>
      <w:r>
        <w:rPr>
          <w:i/>
          <w:sz w:val="24"/>
        </w:rPr>
        <w:t>(1-</w:t>
      </w:r>
      <w:r>
        <w:rPr>
          <w:i/>
          <w:spacing w:val="-5"/>
          <w:sz w:val="24"/>
        </w:rPr>
        <w:t>20</w:t>
      </w:r>
    </w:p>
    <w:p>
      <w:pPr>
        <w:pStyle w:val="BodyText"/>
        <w:spacing w:before="2"/>
        <w:rPr>
          <w:i/>
        </w:rPr>
      </w:pPr>
    </w:p>
    <w:p>
      <w:pPr>
        <w:pStyle w:val="BodyText"/>
        <w:spacing w:before="1"/>
        <w:ind w:left="1200"/>
      </w:pPr>
      <w:r>
        <w:rPr>
          <w:spacing w:val="-2"/>
        </w:rPr>
        <w:t>µg/mL)</w:t>
      </w:r>
    </w:p>
    <w:p>
      <w:pPr>
        <w:pStyle w:val="BodyText"/>
        <w:spacing w:before="237"/>
      </w:pPr>
    </w:p>
    <w:p>
      <w:pPr>
        <w:pStyle w:val="BodyText"/>
        <w:spacing w:line="480" w:lineRule="auto"/>
        <w:ind w:left="1200" w:right="1435"/>
        <w:jc w:val="both"/>
      </w:pPr>
      <w:r>
        <w:rPr/>
        <w:t>Different concentrations (1-20 µg/mL) of 2, 4-DNPH (2 mL each) were added to separate 5 mL solutions of isoniazid (10 µg/mL) in distilled water in twenty different flasks and treated as described earlier to form orange-red colouredhydrazone. Absorbances were recorded at the fixed λ maxto determine the effective concentration of reagent.</w:t>
      </w:r>
    </w:p>
    <w:p>
      <w:pPr>
        <w:spacing w:before="241"/>
        <w:ind w:left="1200" w:right="0" w:firstLine="0"/>
        <w:jc w:val="both"/>
        <w:rPr>
          <w:i/>
          <w:sz w:val="24"/>
        </w:rPr>
      </w:pPr>
      <w:r>
        <w:rPr>
          <w:i/>
          <w:sz w:val="24"/>
        </w:rPr>
        <w:t>Determination</w:t>
      </w:r>
      <w:r>
        <w:rPr>
          <w:i/>
          <w:spacing w:val="-1"/>
          <w:sz w:val="24"/>
        </w:rPr>
        <w:t> </w:t>
      </w:r>
      <w:r>
        <w:rPr>
          <w:i/>
          <w:sz w:val="24"/>
        </w:rPr>
        <w:t>of</w:t>
      </w:r>
      <w:r>
        <w:rPr>
          <w:i/>
          <w:spacing w:val="-1"/>
          <w:sz w:val="24"/>
        </w:rPr>
        <w:t> </w:t>
      </w:r>
      <w:r>
        <w:rPr>
          <w:i/>
          <w:sz w:val="24"/>
        </w:rPr>
        <w:t>effective</w:t>
      </w:r>
      <w:r>
        <w:rPr>
          <w:i/>
          <w:spacing w:val="-1"/>
          <w:sz w:val="24"/>
        </w:rPr>
        <w:t> </w:t>
      </w:r>
      <w:r>
        <w:rPr>
          <w:i/>
          <w:sz w:val="24"/>
        </w:rPr>
        <w:t>volume</w:t>
      </w:r>
      <w:r>
        <w:rPr>
          <w:i/>
          <w:spacing w:val="-2"/>
          <w:sz w:val="24"/>
        </w:rPr>
        <w:t> </w:t>
      </w:r>
      <w:r>
        <w:rPr>
          <w:i/>
          <w:sz w:val="24"/>
        </w:rPr>
        <w:t>of</w:t>
      </w:r>
      <w:r>
        <w:rPr>
          <w:i/>
          <w:spacing w:val="-1"/>
          <w:sz w:val="24"/>
        </w:rPr>
        <w:t> </w:t>
      </w:r>
      <w:r>
        <w:rPr>
          <w:i/>
          <w:sz w:val="24"/>
        </w:rPr>
        <w:t>the</w:t>
      </w:r>
      <w:r>
        <w:rPr>
          <w:i/>
          <w:spacing w:val="-1"/>
          <w:sz w:val="24"/>
        </w:rPr>
        <w:t> </w:t>
      </w:r>
      <w:r>
        <w:rPr>
          <w:i/>
          <w:spacing w:val="-2"/>
          <w:sz w:val="24"/>
        </w:rPr>
        <w:t>reagent.</w:t>
      </w:r>
    </w:p>
    <w:p>
      <w:pPr>
        <w:pStyle w:val="BodyText"/>
        <w:spacing w:before="240"/>
        <w:rPr>
          <w:i/>
        </w:rPr>
      </w:pPr>
    </w:p>
    <w:p>
      <w:pPr>
        <w:pStyle w:val="BodyText"/>
        <w:spacing w:line="480" w:lineRule="auto"/>
        <w:ind w:left="1200" w:right="1438"/>
        <w:jc w:val="both"/>
      </w:pPr>
      <w:r>
        <w:rPr/>
        <w:t>Different volumes (1,2,3,4 and 5 mL) of 2,4-DNPH at effective concentration were condensed with 5 mL</w:t>
      </w:r>
      <w:r>
        <w:rPr>
          <w:spacing w:val="-5"/>
        </w:rPr>
        <w:t> </w:t>
      </w:r>
      <w:r>
        <w:rPr/>
        <w:t>of</w:t>
      </w:r>
      <w:r>
        <w:rPr>
          <w:spacing w:val="-1"/>
        </w:rPr>
        <w:t> </w:t>
      </w:r>
      <w:r>
        <w:rPr/>
        <w:t>10 µg/mL</w:t>
      </w:r>
      <w:r>
        <w:rPr>
          <w:spacing w:val="-4"/>
        </w:rPr>
        <w:t> </w:t>
      </w:r>
      <w:r>
        <w:rPr/>
        <w:t>isoniazid in distilled</w:t>
      </w:r>
      <w:r>
        <w:rPr>
          <w:spacing w:val="-1"/>
        </w:rPr>
        <w:t> </w:t>
      </w:r>
      <w:r>
        <w:rPr/>
        <w:t>water and absorbance</w:t>
      </w:r>
      <w:r>
        <w:rPr>
          <w:spacing w:val="-1"/>
        </w:rPr>
        <w:t> </w:t>
      </w:r>
      <w:r>
        <w:rPr/>
        <w:t>of</w:t>
      </w:r>
      <w:r>
        <w:rPr>
          <w:spacing w:val="-1"/>
        </w:rPr>
        <w:t> </w:t>
      </w:r>
      <w:r>
        <w:rPr/>
        <w:t>the</w:t>
      </w:r>
      <w:r>
        <w:rPr>
          <w:spacing w:val="-1"/>
        </w:rPr>
        <w:t> </w:t>
      </w:r>
      <w:r>
        <w:rPr/>
        <w:t>hydrazine</w:t>
      </w:r>
      <w:r>
        <w:rPr>
          <w:spacing w:val="-1"/>
        </w:rPr>
        <w:t> </w:t>
      </w:r>
      <w:r>
        <w:rPr/>
        <w:t>formed</w:t>
      </w:r>
      <w:r>
        <w:rPr>
          <w:spacing w:val="-1"/>
        </w:rPr>
        <w:t> </w:t>
      </w:r>
      <w:r>
        <w:rPr/>
        <w:t>were measured at λmax to determine the effective volume.</w:t>
      </w:r>
    </w:p>
    <w:p>
      <w:pPr>
        <w:spacing w:after="0" w:line="480" w:lineRule="auto"/>
        <w:jc w:val="both"/>
        <w:sectPr>
          <w:pgSz w:w="12240" w:h="15840"/>
          <w:pgMar w:header="0" w:footer="1015" w:top="1360" w:bottom="1200" w:left="240" w:right="0"/>
        </w:sectPr>
      </w:pPr>
    </w:p>
    <w:p>
      <w:pPr>
        <w:spacing w:before="72"/>
        <w:ind w:left="1200" w:right="0" w:firstLine="0"/>
        <w:jc w:val="both"/>
        <w:rPr>
          <w:i/>
          <w:sz w:val="24"/>
        </w:rPr>
      </w:pPr>
      <w:r>
        <w:rPr>
          <w:i/>
          <w:sz w:val="24"/>
        </w:rPr>
        <w:t>Determination</w:t>
      </w:r>
      <w:r>
        <w:rPr>
          <w:i/>
          <w:spacing w:val="-1"/>
          <w:sz w:val="24"/>
        </w:rPr>
        <w:t> </w:t>
      </w:r>
      <w:r>
        <w:rPr>
          <w:i/>
          <w:sz w:val="24"/>
        </w:rPr>
        <w:t>of</w:t>
      </w:r>
      <w:r>
        <w:rPr>
          <w:i/>
          <w:spacing w:val="-1"/>
          <w:sz w:val="24"/>
        </w:rPr>
        <w:t> </w:t>
      </w:r>
      <w:r>
        <w:rPr>
          <w:i/>
          <w:sz w:val="24"/>
        </w:rPr>
        <w:t>effective</w:t>
      </w:r>
      <w:r>
        <w:rPr>
          <w:i/>
          <w:spacing w:val="-1"/>
          <w:sz w:val="24"/>
        </w:rPr>
        <w:t> </w:t>
      </w:r>
      <w:r>
        <w:rPr>
          <w:i/>
          <w:sz w:val="24"/>
        </w:rPr>
        <w:t>time</w:t>
      </w:r>
      <w:r>
        <w:rPr>
          <w:i/>
          <w:spacing w:val="-3"/>
          <w:sz w:val="24"/>
        </w:rPr>
        <w:t> </w:t>
      </w:r>
      <w:r>
        <w:rPr>
          <w:i/>
          <w:sz w:val="24"/>
        </w:rPr>
        <w:t>for</w:t>
      </w:r>
      <w:r>
        <w:rPr>
          <w:i/>
          <w:spacing w:val="-1"/>
          <w:sz w:val="24"/>
        </w:rPr>
        <w:t> </w:t>
      </w:r>
      <w:r>
        <w:rPr>
          <w:i/>
          <w:sz w:val="24"/>
        </w:rPr>
        <w:t>complete color</w:t>
      </w:r>
      <w:r>
        <w:rPr>
          <w:i/>
          <w:spacing w:val="-1"/>
          <w:sz w:val="24"/>
        </w:rPr>
        <w:t> </w:t>
      </w:r>
      <w:r>
        <w:rPr>
          <w:i/>
          <w:spacing w:val="-2"/>
          <w:sz w:val="24"/>
        </w:rPr>
        <w:t>development</w:t>
      </w:r>
    </w:p>
    <w:p>
      <w:pPr>
        <w:pStyle w:val="BodyText"/>
        <w:spacing w:before="240"/>
        <w:rPr>
          <w:i/>
        </w:rPr>
      </w:pPr>
    </w:p>
    <w:p>
      <w:pPr>
        <w:pStyle w:val="BodyText"/>
        <w:spacing w:line="480" w:lineRule="auto"/>
        <w:ind w:left="1200" w:right="1436"/>
        <w:jc w:val="both"/>
      </w:pPr>
      <w:r>
        <w:rPr/>
        <w:t>A solution of 5 mL of10 µg/mLisoniazid in distilled water was reacted with 2,4-DNPH at the effective</w:t>
      </w:r>
      <w:r>
        <w:rPr>
          <w:spacing w:val="-5"/>
        </w:rPr>
        <w:t> </w:t>
      </w:r>
      <w:r>
        <w:rPr/>
        <w:t>concentration</w:t>
      </w:r>
      <w:r>
        <w:rPr>
          <w:spacing w:val="-4"/>
        </w:rPr>
        <w:t> </w:t>
      </w:r>
      <w:r>
        <w:rPr/>
        <w:t>and</w:t>
      </w:r>
      <w:r>
        <w:rPr>
          <w:spacing w:val="-4"/>
        </w:rPr>
        <w:t> </w:t>
      </w:r>
      <w:r>
        <w:rPr/>
        <w:t>volume,</w:t>
      </w:r>
      <w:r>
        <w:rPr>
          <w:spacing w:val="-4"/>
        </w:rPr>
        <w:t> </w:t>
      </w:r>
      <w:r>
        <w:rPr/>
        <w:t>the</w:t>
      </w:r>
      <w:r>
        <w:rPr>
          <w:spacing w:val="-5"/>
        </w:rPr>
        <w:t> </w:t>
      </w:r>
      <w:r>
        <w:rPr/>
        <w:t>absorbance</w:t>
      </w:r>
      <w:r>
        <w:rPr>
          <w:spacing w:val="-5"/>
        </w:rPr>
        <w:t> </w:t>
      </w:r>
      <w:r>
        <w:rPr/>
        <w:t>of colouredhydrazone formed was measured at λ max attime intervals of 5, 10, 15, 20, 25 and 30 minutes to determine the time at which maximum absorbance is observed. This isthe effective time for complete colourdevelopment.</w:t>
      </w:r>
    </w:p>
    <w:p>
      <w:pPr>
        <w:pStyle w:val="ListParagraph"/>
        <w:numPr>
          <w:ilvl w:val="3"/>
          <w:numId w:val="12"/>
        </w:numPr>
        <w:tabs>
          <w:tab w:pos="1919" w:val="left" w:leader="none"/>
        </w:tabs>
        <w:spacing w:line="240" w:lineRule="auto" w:before="240" w:after="0"/>
        <w:ind w:left="1919" w:right="0" w:hanging="719"/>
        <w:jc w:val="both"/>
        <w:rPr>
          <w:i/>
          <w:sz w:val="24"/>
        </w:rPr>
      </w:pPr>
      <w:r>
        <w:rPr>
          <w:i/>
          <w:sz w:val="24"/>
        </w:rPr>
        <w:t>Preparation</w:t>
      </w:r>
      <w:r>
        <w:rPr>
          <w:i/>
          <w:spacing w:val="-3"/>
          <w:sz w:val="24"/>
        </w:rPr>
        <w:t> </w:t>
      </w:r>
      <w:r>
        <w:rPr>
          <w:i/>
          <w:sz w:val="24"/>
        </w:rPr>
        <w:t>of calibration curve</w:t>
      </w:r>
      <w:r>
        <w:rPr>
          <w:i/>
          <w:spacing w:val="-2"/>
          <w:sz w:val="24"/>
        </w:rPr>
        <w:t> </w:t>
      </w:r>
      <w:r>
        <w:rPr>
          <w:i/>
          <w:sz w:val="24"/>
        </w:rPr>
        <w:t>for</w:t>
      </w:r>
      <w:r>
        <w:rPr>
          <w:i/>
          <w:spacing w:val="-1"/>
          <w:sz w:val="24"/>
        </w:rPr>
        <w:t> </w:t>
      </w:r>
      <w:r>
        <w:rPr>
          <w:i/>
          <w:sz w:val="24"/>
        </w:rPr>
        <w:t>concentration</w:t>
      </w:r>
      <w:r>
        <w:rPr>
          <w:i/>
          <w:spacing w:val="1"/>
          <w:sz w:val="24"/>
        </w:rPr>
        <w:t> </w:t>
      </w:r>
      <w:r>
        <w:rPr>
          <w:i/>
          <w:sz w:val="24"/>
        </w:rPr>
        <w:t>of</w:t>
      </w:r>
      <w:r>
        <w:rPr>
          <w:i/>
          <w:spacing w:val="-1"/>
          <w:sz w:val="24"/>
        </w:rPr>
        <w:t> </w:t>
      </w:r>
      <w:r>
        <w:rPr>
          <w:i/>
          <w:sz w:val="24"/>
        </w:rPr>
        <w:t>the</w:t>
      </w:r>
      <w:r>
        <w:rPr>
          <w:i/>
          <w:spacing w:val="-1"/>
          <w:sz w:val="24"/>
        </w:rPr>
        <w:t> </w:t>
      </w:r>
      <w:r>
        <w:rPr>
          <w:i/>
          <w:spacing w:val="-2"/>
          <w:sz w:val="24"/>
        </w:rPr>
        <w:t>reagent.</w:t>
      </w:r>
    </w:p>
    <w:p>
      <w:pPr>
        <w:pStyle w:val="BodyText"/>
        <w:spacing w:before="3"/>
        <w:rPr>
          <w:i/>
        </w:rPr>
      </w:pPr>
    </w:p>
    <w:p>
      <w:pPr>
        <w:spacing w:before="0"/>
        <w:ind w:left="1200" w:right="0" w:firstLine="0"/>
        <w:jc w:val="both"/>
        <w:rPr>
          <w:sz w:val="24"/>
        </w:rPr>
      </w:pPr>
      <w:r>
        <w:rPr>
          <w:i/>
          <w:sz w:val="24"/>
        </w:rPr>
        <w:t>2,4-dinitrophenylhydrazine</w:t>
      </w:r>
      <w:r>
        <w:rPr>
          <w:i/>
          <w:spacing w:val="-3"/>
          <w:sz w:val="24"/>
        </w:rPr>
        <w:t> </w:t>
      </w:r>
      <w:r>
        <w:rPr>
          <w:i/>
          <w:sz w:val="24"/>
        </w:rPr>
        <w:t>(1-20</w:t>
      </w:r>
      <w:r>
        <w:rPr>
          <w:i/>
          <w:spacing w:val="-3"/>
          <w:sz w:val="24"/>
        </w:rPr>
        <w:t> </w:t>
      </w:r>
      <w:r>
        <w:rPr>
          <w:spacing w:val="-2"/>
          <w:sz w:val="24"/>
        </w:rPr>
        <w:t>µg/mL)</w:t>
      </w:r>
    </w:p>
    <w:p>
      <w:pPr>
        <w:pStyle w:val="BodyText"/>
        <w:spacing w:before="238"/>
      </w:pPr>
    </w:p>
    <w:p>
      <w:pPr>
        <w:pStyle w:val="BodyText"/>
        <w:spacing w:line="480" w:lineRule="auto"/>
        <w:ind w:left="1200" w:right="1437"/>
        <w:jc w:val="both"/>
      </w:pPr>
      <w:r>
        <w:rPr/>
        <w:t>Different solutions of isoniazid in distilled water of concentrations 2, 4, 6, 8, and 10 µg/mLwere treated with 2,4-DNPH at the effective concentration and volume. Thecolours of the hydrazone formed</w:t>
      </w:r>
      <w:r>
        <w:rPr>
          <w:spacing w:val="-2"/>
        </w:rPr>
        <w:t> </w:t>
      </w:r>
      <w:r>
        <w:rPr/>
        <w:t>were</w:t>
      </w:r>
      <w:r>
        <w:rPr>
          <w:spacing w:val="-2"/>
        </w:rPr>
        <w:t> </w:t>
      </w:r>
      <w:r>
        <w:rPr/>
        <w:t>allowed</w:t>
      </w:r>
      <w:r>
        <w:rPr>
          <w:spacing w:val="-1"/>
        </w:rPr>
        <w:t> </w:t>
      </w:r>
      <w:r>
        <w:rPr/>
        <w:t>to</w:t>
      </w:r>
      <w:r>
        <w:rPr>
          <w:spacing w:val="-2"/>
        </w:rPr>
        <w:t> </w:t>
      </w:r>
      <w:r>
        <w:rPr/>
        <w:t>stand</w:t>
      </w:r>
      <w:r>
        <w:rPr>
          <w:spacing w:val="-2"/>
        </w:rPr>
        <w:t> </w:t>
      </w:r>
      <w:r>
        <w:rPr/>
        <w:t>up</w:t>
      </w:r>
      <w:r>
        <w:rPr>
          <w:spacing w:val="-2"/>
        </w:rPr>
        <w:t> </w:t>
      </w:r>
      <w:r>
        <w:rPr/>
        <w:t>to</w:t>
      </w:r>
      <w:r>
        <w:rPr>
          <w:spacing w:val="-2"/>
        </w:rPr>
        <w:t> </w:t>
      </w:r>
      <w:r>
        <w:rPr/>
        <w:t>the</w:t>
      </w:r>
      <w:r>
        <w:rPr>
          <w:spacing w:val="-2"/>
        </w:rPr>
        <w:t> </w:t>
      </w:r>
      <w:r>
        <w:rPr/>
        <w:t>effective</w:t>
      </w:r>
      <w:r>
        <w:rPr>
          <w:spacing w:val="-3"/>
        </w:rPr>
        <w:t> </w:t>
      </w:r>
      <w:r>
        <w:rPr/>
        <w:t>time</w:t>
      </w:r>
      <w:r>
        <w:rPr>
          <w:spacing w:val="-2"/>
        </w:rPr>
        <w:t> </w:t>
      </w:r>
      <w:r>
        <w:rPr/>
        <w:t>for</w:t>
      </w:r>
      <w:r>
        <w:rPr>
          <w:spacing w:val="-2"/>
        </w:rPr>
        <w:t> </w:t>
      </w:r>
      <w:r>
        <w:rPr/>
        <w:t>complete</w:t>
      </w:r>
      <w:r>
        <w:rPr>
          <w:spacing w:val="-2"/>
        </w:rPr>
        <w:t> </w:t>
      </w:r>
      <w:r>
        <w:rPr/>
        <w:t>development.</w:t>
      </w:r>
      <w:r>
        <w:rPr>
          <w:spacing w:val="-2"/>
        </w:rPr>
        <w:t> </w:t>
      </w:r>
      <w:r>
        <w:rPr/>
        <w:t>The</w:t>
      </w:r>
      <w:r>
        <w:rPr>
          <w:spacing w:val="-4"/>
        </w:rPr>
        <w:t> </w:t>
      </w:r>
      <w:r>
        <w:rPr/>
        <w:t>absorbance of each solution was measured at the λmax against reagent blank. The calibration curve was constructed by plotting the absorbance against their corresponding concentrations.</w:t>
      </w:r>
    </w:p>
    <w:p>
      <w:pPr>
        <w:pStyle w:val="ListParagraph"/>
        <w:numPr>
          <w:ilvl w:val="3"/>
          <w:numId w:val="12"/>
        </w:numPr>
        <w:tabs>
          <w:tab w:pos="1919" w:val="left" w:leader="none"/>
        </w:tabs>
        <w:spacing w:line="482" w:lineRule="auto" w:before="241" w:after="0"/>
        <w:ind w:left="1200" w:right="2261" w:firstLine="0"/>
        <w:jc w:val="both"/>
        <w:rPr>
          <w:i/>
          <w:sz w:val="20"/>
        </w:rPr>
      </w:pPr>
      <w:r>
        <w:rPr>
          <w:i/>
          <w:sz w:val="24"/>
        </w:rPr>
        <w:t>Assay</w:t>
      </w:r>
      <w:r>
        <w:rPr>
          <w:i/>
          <w:spacing w:val="-6"/>
          <w:sz w:val="24"/>
        </w:rPr>
        <w:t> </w:t>
      </w:r>
      <w:r>
        <w:rPr>
          <w:i/>
          <w:sz w:val="24"/>
        </w:rPr>
        <w:t>of</w:t>
      </w:r>
      <w:r>
        <w:rPr>
          <w:i/>
          <w:spacing w:val="-5"/>
          <w:sz w:val="24"/>
        </w:rPr>
        <w:t> </w:t>
      </w:r>
      <w:r>
        <w:rPr>
          <w:sz w:val="24"/>
        </w:rPr>
        <w:t>isoniazid</w:t>
      </w:r>
      <w:r>
        <w:rPr>
          <w:spacing w:val="-6"/>
          <w:sz w:val="24"/>
        </w:rPr>
        <w:t> </w:t>
      </w:r>
      <w:r>
        <w:rPr>
          <w:i/>
          <w:sz w:val="24"/>
        </w:rPr>
        <w:t>tablets</w:t>
      </w:r>
      <w:r>
        <w:rPr>
          <w:i/>
          <w:spacing w:val="-4"/>
          <w:sz w:val="24"/>
        </w:rPr>
        <w:t> </w:t>
      </w:r>
      <w:r>
        <w:rPr>
          <w:i/>
          <w:sz w:val="24"/>
        </w:rPr>
        <w:t>using</w:t>
      </w:r>
      <w:r>
        <w:rPr>
          <w:i/>
          <w:spacing w:val="-5"/>
          <w:sz w:val="24"/>
        </w:rPr>
        <w:t> </w:t>
      </w:r>
      <w:r>
        <w:rPr>
          <w:i/>
          <w:sz w:val="20"/>
        </w:rPr>
        <w:t>colorometric</w:t>
      </w:r>
      <w:r>
        <w:rPr>
          <w:i/>
          <w:spacing w:val="-4"/>
          <w:sz w:val="20"/>
        </w:rPr>
        <w:t> </w:t>
      </w:r>
      <w:r>
        <w:rPr>
          <w:i/>
          <w:sz w:val="20"/>
        </w:rPr>
        <w:t>method</w:t>
      </w:r>
      <w:r>
        <w:rPr>
          <w:i/>
          <w:spacing w:val="-2"/>
          <w:sz w:val="20"/>
        </w:rPr>
        <w:t> </w:t>
      </w:r>
      <w:r>
        <w:rPr>
          <w:i/>
          <w:sz w:val="20"/>
        </w:rPr>
        <w:t>using</w:t>
      </w:r>
      <w:r>
        <w:rPr>
          <w:i/>
          <w:spacing w:val="-5"/>
          <w:sz w:val="20"/>
        </w:rPr>
        <w:t> </w:t>
      </w:r>
      <w:r>
        <w:rPr>
          <w:i/>
          <w:sz w:val="20"/>
        </w:rPr>
        <w:t>2,4-dinitrophenylhydrazine</w:t>
      </w:r>
      <w:r>
        <w:rPr>
          <w:i/>
          <w:spacing w:val="-1"/>
          <w:sz w:val="20"/>
        </w:rPr>
        <w:t> </w:t>
      </w:r>
      <w:r>
        <w:rPr>
          <w:i/>
          <w:sz w:val="20"/>
        </w:rPr>
        <w:t>and </w:t>
      </w:r>
      <w:r>
        <w:rPr>
          <w:i/>
          <w:spacing w:val="-2"/>
          <w:sz w:val="20"/>
        </w:rPr>
        <w:t>optimization.</w:t>
      </w:r>
    </w:p>
    <w:p>
      <w:pPr>
        <w:pStyle w:val="BodyText"/>
        <w:spacing w:line="480" w:lineRule="auto" w:before="175"/>
        <w:ind w:left="1200" w:right="1435"/>
        <w:jc w:val="both"/>
      </w:pPr>
      <w:r>
        <w:rPr/>
        <w:t>A quantity of powder tablet 12 mg, equivalent of 10 mg isoniazid was accurately weighed from the previously crushed 20 isoniazid tablets, transferred to volumetric flask (100 mL) and the volume</w:t>
      </w:r>
      <w:r>
        <w:rPr>
          <w:spacing w:val="-1"/>
        </w:rPr>
        <w:t> </w:t>
      </w:r>
      <w:r>
        <w:rPr/>
        <w:t>made</w:t>
      </w:r>
      <w:r>
        <w:rPr>
          <w:spacing w:val="-2"/>
        </w:rPr>
        <w:t> </w:t>
      </w:r>
      <w:r>
        <w:rPr/>
        <w:t>up</w:t>
      </w:r>
      <w:r>
        <w:rPr>
          <w:spacing w:val="-1"/>
        </w:rPr>
        <w:t> </w:t>
      </w:r>
      <w:r>
        <w:rPr/>
        <w:t>to</w:t>
      </w:r>
      <w:r>
        <w:rPr>
          <w:spacing w:val="-1"/>
        </w:rPr>
        <w:t> </w:t>
      </w:r>
      <w:r>
        <w:rPr/>
        <w:t>mark</w:t>
      </w:r>
      <w:r>
        <w:rPr>
          <w:spacing w:val="-1"/>
        </w:rPr>
        <w:t> </w:t>
      </w:r>
      <w:r>
        <w:rPr/>
        <w:t>with</w:t>
      </w:r>
      <w:r>
        <w:rPr>
          <w:spacing w:val="-1"/>
        </w:rPr>
        <w:t> </w:t>
      </w:r>
      <w:r>
        <w:rPr/>
        <w:t>distilled</w:t>
      </w:r>
      <w:r>
        <w:rPr>
          <w:spacing w:val="-1"/>
        </w:rPr>
        <w:t> </w:t>
      </w:r>
      <w:r>
        <w:rPr/>
        <w:t>waterand</w:t>
      </w:r>
      <w:r>
        <w:rPr>
          <w:spacing w:val="-1"/>
        </w:rPr>
        <w:t> </w:t>
      </w:r>
      <w:r>
        <w:rPr/>
        <w:t>shaken</w:t>
      </w:r>
      <w:r>
        <w:rPr>
          <w:spacing w:val="-1"/>
        </w:rPr>
        <w:t> </w:t>
      </w:r>
      <w:r>
        <w:rPr/>
        <w:t>for</w:t>
      </w:r>
      <w:r>
        <w:rPr>
          <w:spacing w:val="-2"/>
        </w:rPr>
        <w:t> </w:t>
      </w:r>
      <w:r>
        <w:rPr/>
        <w:t>10</w:t>
      </w:r>
      <w:r>
        <w:rPr>
          <w:spacing w:val="-1"/>
        </w:rPr>
        <w:t> </w:t>
      </w:r>
      <w:r>
        <w:rPr/>
        <w:t>minutes. The</w:t>
      </w:r>
      <w:r>
        <w:rPr>
          <w:spacing w:val="-2"/>
        </w:rPr>
        <w:t> </w:t>
      </w:r>
      <w:r>
        <w:rPr/>
        <w:t>mixture</w:t>
      </w:r>
      <w:r>
        <w:rPr>
          <w:spacing w:val="-1"/>
        </w:rPr>
        <w:t> </w:t>
      </w:r>
      <w:r>
        <w:rPr/>
        <w:t>was</w:t>
      </w:r>
      <w:r>
        <w:rPr>
          <w:spacing w:val="-1"/>
        </w:rPr>
        <w:t> </w:t>
      </w:r>
      <w:r>
        <w:rPr/>
        <w:t>filtered through a Whatman filter paper no. 41. A portion (1 mL) was transferred to a volumetric flask (10 mL) and the volume made up to mark with distilled water to obtaina 10 μg/mL solution. A portion (5 mL) of this solution wastreated with 2, 4 DNPH at effective concentration and</w:t>
      </w:r>
      <w:r>
        <w:rPr>
          <w:spacing w:val="40"/>
        </w:rPr>
        <w:t> </w:t>
      </w:r>
      <w:r>
        <w:rPr/>
        <w:t>volume, then heated at 100 °C in a thermostatic water bath for 10 minutes. Thereafter, 2 mL of chilled</w:t>
      </w:r>
      <w:r>
        <w:rPr>
          <w:spacing w:val="26"/>
        </w:rPr>
        <w:t> </w:t>
      </w:r>
      <w:r>
        <w:rPr/>
        <w:t>85</w:t>
      </w:r>
      <w:r>
        <w:rPr>
          <w:spacing w:val="28"/>
        </w:rPr>
        <w:t> </w:t>
      </w:r>
      <w:r>
        <w:rPr/>
        <w:t>%v/v</w:t>
      </w:r>
      <w:r>
        <w:rPr>
          <w:spacing w:val="30"/>
        </w:rPr>
        <w:t> </w:t>
      </w:r>
      <w:r>
        <w:rPr/>
        <w:t>HCl</w:t>
      </w:r>
      <w:r>
        <w:rPr>
          <w:spacing w:val="29"/>
        </w:rPr>
        <w:t> </w:t>
      </w:r>
      <w:r>
        <w:rPr/>
        <w:t>was</w:t>
      </w:r>
      <w:r>
        <w:rPr>
          <w:spacing w:val="30"/>
        </w:rPr>
        <w:t> </w:t>
      </w:r>
      <w:r>
        <w:rPr/>
        <w:t>added</w:t>
      </w:r>
      <w:r>
        <w:rPr>
          <w:spacing w:val="28"/>
        </w:rPr>
        <w:t> </w:t>
      </w:r>
      <w:r>
        <w:rPr/>
        <w:t>to</w:t>
      </w:r>
      <w:r>
        <w:rPr>
          <w:spacing w:val="30"/>
        </w:rPr>
        <w:t> </w:t>
      </w:r>
      <w:r>
        <w:rPr/>
        <w:t>form</w:t>
      </w:r>
      <w:r>
        <w:rPr>
          <w:spacing w:val="29"/>
        </w:rPr>
        <w:t> </w:t>
      </w:r>
      <w:r>
        <w:rPr/>
        <w:t>orange-red</w:t>
      </w:r>
      <w:r>
        <w:rPr>
          <w:spacing w:val="29"/>
        </w:rPr>
        <w:t> </w:t>
      </w:r>
      <w:r>
        <w:rPr/>
        <w:t>colouredhydrazone</w:t>
      </w:r>
      <w:r>
        <w:rPr>
          <w:spacing w:val="28"/>
        </w:rPr>
        <w:t> </w:t>
      </w:r>
      <w:r>
        <w:rPr/>
        <w:t>which</w:t>
      </w:r>
      <w:r>
        <w:rPr>
          <w:spacing w:val="29"/>
        </w:rPr>
        <w:t> </w:t>
      </w:r>
      <w:r>
        <w:rPr/>
        <w:t>was</w:t>
      </w:r>
      <w:r>
        <w:rPr>
          <w:spacing w:val="32"/>
        </w:rPr>
        <w:t> </w:t>
      </w:r>
      <w:r>
        <w:rPr/>
        <w:t>allowed</w:t>
      </w:r>
      <w:r>
        <w:rPr>
          <w:spacing w:val="29"/>
        </w:rPr>
        <w:t> </w:t>
      </w:r>
      <w:r>
        <w:rPr>
          <w:spacing w:val="-5"/>
        </w:rPr>
        <w:t>to</w:t>
      </w:r>
    </w:p>
    <w:p>
      <w:pPr>
        <w:spacing w:after="0" w:line="480" w:lineRule="auto"/>
        <w:jc w:val="both"/>
        <w:sectPr>
          <w:pgSz w:w="12240" w:h="15840"/>
          <w:pgMar w:header="0" w:footer="1015" w:top="1360" w:bottom="1200" w:left="240" w:right="0"/>
        </w:sectPr>
      </w:pPr>
    </w:p>
    <w:p>
      <w:pPr>
        <w:pStyle w:val="BodyText"/>
        <w:spacing w:line="480" w:lineRule="auto" w:before="72"/>
        <w:ind w:left="1200" w:right="1431"/>
      </w:pPr>
      <w:r>
        <w:rPr/>
        <w:t>stand</w:t>
      </w:r>
      <w:r>
        <w:rPr>
          <w:spacing w:val="40"/>
        </w:rPr>
        <w:t> </w:t>
      </w:r>
      <w:r>
        <w:rPr/>
        <w:t>up</w:t>
      </w:r>
      <w:r>
        <w:rPr>
          <w:spacing w:val="40"/>
        </w:rPr>
        <w:t> </w:t>
      </w:r>
      <w:r>
        <w:rPr/>
        <w:t>to</w:t>
      </w:r>
      <w:r>
        <w:rPr>
          <w:spacing w:val="40"/>
        </w:rPr>
        <w:t> </w:t>
      </w:r>
      <w:r>
        <w:rPr/>
        <w:t>the</w:t>
      </w:r>
      <w:r>
        <w:rPr>
          <w:spacing w:val="40"/>
        </w:rPr>
        <w:t> </w:t>
      </w:r>
      <w:r>
        <w:rPr/>
        <w:t>effective</w:t>
      </w:r>
      <w:r>
        <w:rPr>
          <w:spacing w:val="40"/>
        </w:rPr>
        <w:t> </w:t>
      </w:r>
      <w:r>
        <w:rPr/>
        <w:t>time</w:t>
      </w:r>
      <w:r>
        <w:rPr>
          <w:spacing w:val="40"/>
        </w:rPr>
        <w:t> </w:t>
      </w:r>
      <w:r>
        <w:rPr/>
        <w:t>for</w:t>
      </w:r>
      <w:r>
        <w:rPr>
          <w:spacing w:val="40"/>
        </w:rPr>
        <w:t> </w:t>
      </w:r>
      <w:r>
        <w:rPr/>
        <w:t>complete</w:t>
      </w:r>
      <w:r>
        <w:rPr>
          <w:spacing w:val="40"/>
        </w:rPr>
        <w:t> </w:t>
      </w:r>
      <w:r>
        <w:rPr/>
        <w:t>colour</w:t>
      </w:r>
      <w:r>
        <w:rPr>
          <w:spacing w:val="40"/>
        </w:rPr>
        <w:t> </w:t>
      </w:r>
      <w:r>
        <w:rPr/>
        <w:t>development.</w:t>
      </w:r>
      <w:r>
        <w:rPr>
          <w:spacing w:val="40"/>
        </w:rPr>
        <w:t> </w:t>
      </w:r>
      <w:r>
        <w:rPr/>
        <w:t>The</w:t>
      </w:r>
      <w:r>
        <w:rPr>
          <w:spacing w:val="40"/>
        </w:rPr>
        <w:t> </w:t>
      </w:r>
      <w:r>
        <w:rPr/>
        <w:t>absorbance</w:t>
      </w:r>
      <w:r>
        <w:rPr>
          <w:spacing w:val="40"/>
        </w:rPr>
        <w:t> </w:t>
      </w:r>
      <w:r>
        <w:rPr/>
        <w:t>was</w:t>
      </w:r>
      <w:r>
        <w:rPr>
          <w:spacing w:val="40"/>
        </w:rPr>
        <w:t> </w:t>
      </w:r>
      <w:r>
        <w:rPr/>
        <w:t>then</w:t>
      </w:r>
      <w:r>
        <w:rPr>
          <w:spacing w:val="40"/>
        </w:rPr>
        <w:t> </w:t>
      </w:r>
      <w:r>
        <w:rPr/>
        <w:t>measured at λ max determined against reagent blank.</w:t>
      </w:r>
    </w:p>
    <w:p>
      <w:pPr>
        <w:pStyle w:val="ListParagraph"/>
        <w:numPr>
          <w:ilvl w:val="2"/>
          <w:numId w:val="12"/>
        </w:numPr>
        <w:tabs>
          <w:tab w:pos="1680" w:val="left" w:leader="none"/>
        </w:tabs>
        <w:spacing w:line="477" w:lineRule="auto" w:before="5" w:after="0"/>
        <w:ind w:left="1200" w:right="1432" w:firstLine="0"/>
        <w:jc w:val="left"/>
        <w:rPr>
          <w:b/>
          <w:sz w:val="22"/>
        </w:rPr>
      </w:pPr>
      <w:r>
        <w:rPr>
          <w:b/>
          <w:sz w:val="24"/>
        </w:rPr>
        <w:t>Development of colorometric method by using paraaminotoluidine and optimization. </w:t>
      </w:r>
      <w:r>
        <w:rPr>
          <w:sz w:val="24"/>
        </w:rPr>
        <w:t>This</w:t>
      </w:r>
      <w:r>
        <w:rPr>
          <w:spacing w:val="34"/>
          <w:sz w:val="24"/>
        </w:rPr>
        <w:t> </w:t>
      </w:r>
      <w:r>
        <w:rPr>
          <w:sz w:val="24"/>
        </w:rPr>
        <w:t>method</w:t>
      </w:r>
      <w:r>
        <w:rPr>
          <w:spacing w:val="33"/>
          <w:sz w:val="24"/>
        </w:rPr>
        <w:t> </w:t>
      </w:r>
      <w:r>
        <w:rPr>
          <w:sz w:val="24"/>
        </w:rPr>
        <w:t>is</w:t>
      </w:r>
      <w:r>
        <w:rPr>
          <w:spacing w:val="34"/>
          <w:sz w:val="24"/>
        </w:rPr>
        <w:t> </w:t>
      </w:r>
      <w:r>
        <w:rPr>
          <w:sz w:val="24"/>
        </w:rPr>
        <w:t>based</w:t>
      </w:r>
      <w:r>
        <w:rPr>
          <w:spacing w:val="33"/>
          <w:sz w:val="24"/>
        </w:rPr>
        <w:t> </w:t>
      </w:r>
      <w:r>
        <w:rPr>
          <w:sz w:val="24"/>
        </w:rPr>
        <w:t>on</w:t>
      </w:r>
      <w:r>
        <w:rPr>
          <w:spacing w:val="33"/>
          <w:sz w:val="24"/>
        </w:rPr>
        <w:t> </w:t>
      </w:r>
      <w:r>
        <w:rPr>
          <w:sz w:val="24"/>
        </w:rPr>
        <w:t>the</w:t>
      </w:r>
      <w:r>
        <w:rPr>
          <w:spacing w:val="33"/>
          <w:sz w:val="24"/>
        </w:rPr>
        <w:t> </w:t>
      </w:r>
      <w:r>
        <w:rPr>
          <w:sz w:val="24"/>
        </w:rPr>
        <w:t>formation</w:t>
      </w:r>
      <w:r>
        <w:rPr>
          <w:spacing w:val="34"/>
          <w:sz w:val="24"/>
        </w:rPr>
        <w:t> </w:t>
      </w:r>
      <w:r>
        <w:rPr>
          <w:sz w:val="24"/>
        </w:rPr>
        <w:t>of</w:t>
      </w:r>
      <w:r>
        <w:rPr>
          <w:spacing w:val="33"/>
          <w:sz w:val="24"/>
        </w:rPr>
        <w:t> </w:t>
      </w:r>
      <w:r>
        <w:rPr>
          <w:sz w:val="24"/>
        </w:rPr>
        <w:t>a</w:t>
      </w:r>
      <w:r>
        <w:rPr>
          <w:spacing w:val="32"/>
          <w:sz w:val="24"/>
        </w:rPr>
        <w:t> </w:t>
      </w:r>
      <w:r>
        <w:rPr>
          <w:sz w:val="24"/>
        </w:rPr>
        <w:t>diazo</w:t>
      </w:r>
      <w:r>
        <w:rPr>
          <w:spacing w:val="34"/>
          <w:sz w:val="24"/>
        </w:rPr>
        <w:t> </w:t>
      </w:r>
      <w:r>
        <w:rPr>
          <w:sz w:val="24"/>
        </w:rPr>
        <w:t>dye</w:t>
      </w:r>
      <w:r>
        <w:rPr>
          <w:spacing w:val="32"/>
          <w:sz w:val="24"/>
        </w:rPr>
        <w:t> </w:t>
      </w:r>
      <w:r>
        <w:rPr>
          <w:sz w:val="24"/>
        </w:rPr>
        <w:t>from</w:t>
      </w:r>
      <w:r>
        <w:rPr>
          <w:spacing w:val="34"/>
          <w:sz w:val="24"/>
        </w:rPr>
        <w:t> </w:t>
      </w:r>
      <w:r>
        <w:rPr>
          <w:sz w:val="24"/>
        </w:rPr>
        <w:t>the</w:t>
      </w:r>
      <w:r>
        <w:rPr>
          <w:spacing w:val="33"/>
          <w:sz w:val="24"/>
        </w:rPr>
        <w:t> </w:t>
      </w:r>
      <w:r>
        <w:rPr>
          <w:sz w:val="24"/>
        </w:rPr>
        <w:t>reaction</w:t>
      </w:r>
      <w:r>
        <w:rPr>
          <w:spacing w:val="33"/>
          <w:sz w:val="24"/>
        </w:rPr>
        <w:t> </w:t>
      </w:r>
      <w:r>
        <w:rPr>
          <w:sz w:val="24"/>
        </w:rPr>
        <w:t>of</w:t>
      </w:r>
      <w:r>
        <w:rPr>
          <w:spacing w:val="33"/>
          <w:sz w:val="24"/>
        </w:rPr>
        <w:t> </w:t>
      </w:r>
      <w:r>
        <w:rPr>
          <w:sz w:val="24"/>
        </w:rPr>
        <w:t>isoniazid</w:t>
      </w:r>
      <w:r>
        <w:rPr>
          <w:spacing w:val="38"/>
          <w:sz w:val="24"/>
        </w:rPr>
        <w:t> </w:t>
      </w:r>
      <w:r>
        <w:rPr>
          <w:sz w:val="24"/>
        </w:rPr>
        <w:t>with</w:t>
      </w:r>
      <w:r>
        <w:rPr>
          <w:spacing w:val="34"/>
          <w:sz w:val="24"/>
        </w:rPr>
        <w:t> </w:t>
      </w:r>
      <w:r>
        <w:rPr>
          <w:sz w:val="24"/>
        </w:rPr>
        <w:t>p- </w:t>
      </w:r>
      <w:r>
        <w:rPr>
          <w:spacing w:val="-2"/>
          <w:sz w:val="24"/>
        </w:rPr>
        <w:t>toluidine.</w:t>
      </w:r>
    </w:p>
    <w:p>
      <w:pPr>
        <w:pStyle w:val="BodyText"/>
        <w:rPr>
          <w:sz w:val="12"/>
        </w:rPr>
      </w:pPr>
    </w:p>
    <w:p>
      <w:pPr>
        <w:spacing w:after="0"/>
        <w:rPr>
          <w:sz w:val="12"/>
        </w:rPr>
        <w:sectPr>
          <w:pgSz w:w="12240" w:h="15840"/>
          <w:pgMar w:header="0" w:footer="1015" w:top="1360" w:bottom="1200" w:left="240" w:right="0"/>
        </w:sectPr>
      </w:pPr>
    </w:p>
    <w:p>
      <w:pPr>
        <w:spacing w:before="99"/>
        <w:ind w:left="4630" w:right="0" w:firstLine="0"/>
        <w:jc w:val="left"/>
        <w:rPr>
          <w:rFonts w:ascii="Arial MT"/>
          <w:sz w:val="12"/>
        </w:rPr>
      </w:pPr>
      <w:r>
        <w:rPr/>
        <mc:AlternateContent>
          <mc:Choice Requires="wps">
            <w:drawing>
              <wp:anchor distT="0" distB="0" distL="0" distR="0" allowOverlap="1" layoutInCell="1" locked="0" behindDoc="1" simplePos="0" relativeHeight="485015040">
                <wp:simplePos x="0" y="0"/>
                <wp:positionH relativeFrom="page">
                  <wp:posOffset>3087984</wp:posOffset>
                </wp:positionH>
                <wp:positionV relativeFrom="paragraph">
                  <wp:posOffset>149593</wp:posOffset>
                </wp:positionV>
                <wp:extent cx="135890" cy="20129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135890" cy="201295"/>
                          <a:chExt cx="135890" cy="201295"/>
                        </a:xfrm>
                      </wpg:grpSpPr>
                      <wps:wsp>
                        <wps:cNvPr id="109" name="Graphic 109"/>
                        <wps:cNvSpPr/>
                        <wps:spPr>
                          <a:xfrm>
                            <a:off x="3443" y="0"/>
                            <a:ext cx="54610" cy="153670"/>
                          </a:xfrm>
                          <a:custGeom>
                            <a:avLst/>
                            <a:gdLst/>
                            <a:ahLst/>
                            <a:cxnLst/>
                            <a:rect l="l" t="t" r="r" b="b"/>
                            <a:pathLst>
                              <a:path w="54610" h="153670">
                                <a:moveTo>
                                  <a:pt x="0" y="153602"/>
                                </a:moveTo>
                                <a:lnTo>
                                  <a:pt x="0" y="0"/>
                                </a:lnTo>
                              </a:path>
                              <a:path w="54610" h="153670">
                                <a:moveTo>
                                  <a:pt x="27733" y="153602"/>
                                </a:moveTo>
                                <a:lnTo>
                                  <a:pt x="27733" y="0"/>
                                </a:lnTo>
                              </a:path>
                              <a:path w="54610" h="153670">
                                <a:moveTo>
                                  <a:pt x="54494" y="153602"/>
                                </a:moveTo>
                                <a:lnTo>
                                  <a:pt x="54494" y="0"/>
                                </a:lnTo>
                              </a:path>
                            </a:pathLst>
                          </a:custGeom>
                          <a:ln w="7100">
                            <a:solidFill>
                              <a:srgbClr val="000000"/>
                            </a:solidFill>
                            <a:prstDash val="solid"/>
                          </a:ln>
                        </wps:spPr>
                        <wps:bodyPr wrap="square" lIns="0" tIns="0" rIns="0" bIns="0" rtlCol="0">
                          <a:prstTxWarp prst="textNoShape">
                            <a:avLst/>
                          </a:prstTxWarp>
                          <a:noAutofit/>
                        </wps:bodyPr>
                      </wps:wsp>
                      <wps:wsp>
                        <wps:cNvPr id="110" name="Graphic 110"/>
                        <wps:cNvSpPr/>
                        <wps:spPr>
                          <a:xfrm>
                            <a:off x="105134" y="168588"/>
                            <a:ext cx="31115" cy="32384"/>
                          </a:xfrm>
                          <a:custGeom>
                            <a:avLst/>
                            <a:gdLst/>
                            <a:ahLst/>
                            <a:cxnLst/>
                            <a:rect l="l" t="t" r="r" b="b"/>
                            <a:pathLst>
                              <a:path w="31115" h="32384">
                                <a:moveTo>
                                  <a:pt x="0" y="16148"/>
                                </a:moveTo>
                                <a:lnTo>
                                  <a:pt x="30653" y="16148"/>
                                </a:lnTo>
                              </a:path>
                              <a:path w="31115" h="32384">
                                <a:moveTo>
                                  <a:pt x="15326" y="0"/>
                                </a:moveTo>
                                <a:lnTo>
                                  <a:pt x="15326" y="32296"/>
                                </a:lnTo>
                              </a:path>
                            </a:pathLst>
                          </a:custGeom>
                          <a:ln w="586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148376pt;margin-top:11.779044pt;width:10.7pt;height:15.85pt;mso-position-horizontal-relative:page;mso-position-vertical-relative:paragraph;z-index:-18301440" id="docshapegroup89" coordorigin="4863,236" coordsize="214,317">
                <v:shape style="position:absolute;left:4868;top:235;width:86;height:242" id="docshape90" coordorigin="4868,236" coordsize="86,242" path="m4868,477l4868,236m4912,477l4912,236m4954,477l4954,236e" filled="false" stroked="true" strokeweight=".559087pt" strokecolor="#000000">
                  <v:path arrowok="t"/>
                  <v:stroke dashstyle="solid"/>
                </v:shape>
                <v:shape style="position:absolute;left:5028;top:501;width:49;height:51" id="docshape91" coordorigin="5029,501" coordsize="49,51" path="m5029,527l5077,527m5053,501l5053,552e" filled="false" stroked="true" strokeweight=".461847pt" strokecolor="#000000">
                  <v:path arrowok="t"/>
                  <v:stroke dashstyle="solid"/>
                </v:shape>
                <w10:wrap type="none"/>
              </v:group>
            </w:pict>
          </mc:Fallback>
        </mc:AlternateContent>
      </w:r>
      <w:r>
        <w:rPr>
          <w:rFonts w:ascii="Arial MT"/>
          <w:spacing w:val="-13"/>
          <w:sz w:val="12"/>
        </w:rPr>
        <w:t>N</w:t>
      </w:r>
    </w:p>
    <w:p>
      <w:pPr>
        <w:spacing w:line="370" w:lineRule="atLeast" w:before="10"/>
        <w:ind w:left="4547" w:right="-10" w:firstLine="83"/>
        <w:jc w:val="left"/>
        <w:rPr>
          <w:rFonts w:ascii="Arial MT"/>
          <w:sz w:val="12"/>
        </w:rPr>
      </w:pPr>
      <w:r>
        <w:rPr/>
        <mc:AlternateContent>
          <mc:Choice Requires="wps">
            <w:drawing>
              <wp:anchor distT="0" distB="0" distL="0" distR="0" allowOverlap="1" layoutInCell="1" locked="0" behindDoc="0" simplePos="0" relativeHeight="15754752">
                <wp:simplePos x="0" y="0"/>
                <wp:positionH relativeFrom="page">
                  <wp:posOffset>1122668</wp:posOffset>
                </wp:positionH>
                <wp:positionV relativeFrom="paragraph">
                  <wp:posOffset>124781</wp:posOffset>
                </wp:positionV>
                <wp:extent cx="507365" cy="97980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507365" cy="979805"/>
                          <a:chExt cx="507365" cy="979805"/>
                        </a:xfrm>
                      </wpg:grpSpPr>
                      <wps:wsp>
                        <wps:cNvPr id="112" name="Graphic 112"/>
                        <wps:cNvSpPr/>
                        <wps:spPr>
                          <a:xfrm>
                            <a:off x="80842" y="85415"/>
                            <a:ext cx="422275" cy="890905"/>
                          </a:xfrm>
                          <a:custGeom>
                            <a:avLst/>
                            <a:gdLst/>
                            <a:ahLst/>
                            <a:cxnLst/>
                            <a:rect l="l" t="t" r="r" b="b"/>
                            <a:pathLst>
                              <a:path w="422275" h="890905">
                                <a:moveTo>
                                  <a:pt x="29035" y="554054"/>
                                </a:moveTo>
                                <a:lnTo>
                                  <a:pt x="29035" y="794587"/>
                                </a:lnTo>
                              </a:path>
                              <a:path w="422275" h="890905">
                                <a:moveTo>
                                  <a:pt x="56891" y="571507"/>
                                </a:moveTo>
                                <a:lnTo>
                                  <a:pt x="56891" y="778413"/>
                                </a:lnTo>
                              </a:path>
                              <a:path w="422275" h="890905">
                                <a:moveTo>
                                  <a:pt x="29035" y="794587"/>
                                </a:moveTo>
                                <a:lnTo>
                                  <a:pt x="186535" y="890740"/>
                                </a:lnTo>
                              </a:path>
                              <a:path w="422275" h="890905">
                                <a:moveTo>
                                  <a:pt x="262888" y="890740"/>
                                </a:moveTo>
                                <a:lnTo>
                                  <a:pt x="421884" y="794587"/>
                                </a:lnTo>
                              </a:path>
                              <a:path w="422275" h="890905">
                                <a:moveTo>
                                  <a:pt x="250615" y="865355"/>
                                </a:moveTo>
                                <a:lnTo>
                                  <a:pt x="394041" y="778413"/>
                                </a:lnTo>
                              </a:path>
                              <a:path w="422275" h="890905">
                                <a:moveTo>
                                  <a:pt x="421884" y="794587"/>
                                </a:moveTo>
                                <a:lnTo>
                                  <a:pt x="421884" y="554054"/>
                                </a:lnTo>
                              </a:path>
                              <a:path w="422275" h="890905">
                                <a:moveTo>
                                  <a:pt x="421884" y="554054"/>
                                </a:moveTo>
                                <a:lnTo>
                                  <a:pt x="225460" y="434415"/>
                                </a:lnTo>
                              </a:path>
                              <a:path w="422275" h="890905">
                                <a:moveTo>
                                  <a:pt x="394041" y="571507"/>
                                </a:moveTo>
                                <a:lnTo>
                                  <a:pt x="225460" y="468378"/>
                                </a:lnTo>
                              </a:path>
                              <a:path w="422275" h="890905">
                                <a:moveTo>
                                  <a:pt x="225460" y="434415"/>
                                </a:moveTo>
                                <a:lnTo>
                                  <a:pt x="29035" y="554054"/>
                                </a:lnTo>
                              </a:path>
                              <a:path w="422275" h="890905">
                                <a:moveTo>
                                  <a:pt x="225460" y="434415"/>
                                </a:moveTo>
                                <a:lnTo>
                                  <a:pt x="225460" y="195200"/>
                                </a:lnTo>
                              </a:path>
                              <a:path w="422275" h="890905">
                                <a:moveTo>
                                  <a:pt x="225460" y="195200"/>
                                </a:moveTo>
                                <a:lnTo>
                                  <a:pt x="34728" y="195200"/>
                                </a:lnTo>
                              </a:path>
                              <a:path w="422275" h="890905">
                                <a:moveTo>
                                  <a:pt x="205997" y="195200"/>
                                </a:moveTo>
                                <a:lnTo>
                                  <a:pt x="345227" y="47282"/>
                                </a:lnTo>
                              </a:path>
                              <a:path w="422275" h="890905">
                                <a:moveTo>
                                  <a:pt x="225460" y="215741"/>
                                </a:moveTo>
                                <a:lnTo>
                                  <a:pt x="364689" y="68210"/>
                                </a:lnTo>
                              </a:path>
                              <a:path w="422275" h="890905">
                                <a:moveTo>
                                  <a:pt x="0" y="153602"/>
                                </a:moveTo>
                                <a:lnTo>
                                  <a:pt x="0" y="0"/>
                                </a:lnTo>
                              </a:path>
                            </a:pathLst>
                          </a:custGeom>
                          <a:ln w="7100">
                            <a:solidFill>
                              <a:srgbClr val="000000"/>
                            </a:solidFill>
                            <a:prstDash val="solid"/>
                          </a:ln>
                        </wps:spPr>
                        <wps:bodyPr wrap="square" lIns="0" tIns="0" rIns="0" bIns="0" rtlCol="0">
                          <a:prstTxWarp prst="textNoShape">
                            <a:avLst/>
                          </a:prstTxWarp>
                          <a:noAutofit/>
                        </wps:bodyPr>
                      </wps:wsp>
                      <wps:wsp>
                        <wps:cNvPr id="113" name="Textbox 113"/>
                        <wps:cNvSpPr txBox="1"/>
                        <wps:spPr>
                          <a:xfrm>
                            <a:off x="54190" y="0"/>
                            <a:ext cx="144780" cy="99060"/>
                          </a:xfrm>
                          <a:prstGeom prst="rect">
                            <a:avLst/>
                          </a:prstGeom>
                        </wps:spPr>
                        <wps:txbx>
                          <w:txbxContent>
                            <w:p>
                              <w:pPr>
                                <w:spacing w:line="156" w:lineRule="exact" w:before="0"/>
                                <w:ind w:left="0" w:right="0" w:firstLine="0"/>
                                <w:jc w:val="left"/>
                                <w:rPr>
                                  <w:rFonts w:ascii="Arial MT"/>
                                  <w:sz w:val="7"/>
                                </w:rPr>
                              </w:pPr>
                              <w:r>
                                <w:rPr>
                                  <w:rFonts w:ascii="Arial MT"/>
                                  <w:spacing w:val="-5"/>
                                  <w:sz w:val="12"/>
                                </w:rPr>
                                <w:t>NH</w:t>
                              </w:r>
                              <w:r>
                                <w:rPr>
                                  <w:rFonts w:ascii="Arial MT"/>
                                  <w:spacing w:val="-5"/>
                                  <w:position w:val="-2"/>
                                  <w:sz w:val="7"/>
                                </w:rPr>
                                <w:t>2</w:t>
                              </w:r>
                            </w:p>
                          </w:txbxContent>
                        </wps:txbx>
                        <wps:bodyPr wrap="square" lIns="0" tIns="0" rIns="0" bIns="0" rtlCol="0">
                          <a:noAutofit/>
                        </wps:bodyPr>
                      </wps:wsp>
                      <wps:wsp>
                        <wps:cNvPr id="114" name="Textbox 114"/>
                        <wps:cNvSpPr txBox="1"/>
                        <wps:spPr>
                          <a:xfrm>
                            <a:off x="437150" y="70794"/>
                            <a:ext cx="70485" cy="87630"/>
                          </a:xfrm>
                          <a:prstGeom prst="rect">
                            <a:avLst/>
                          </a:prstGeom>
                        </wps:spPr>
                        <wps:txbx>
                          <w:txbxContent>
                            <w:p>
                              <w:pPr>
                                <w:spacing w:line="137" w:lineRule="exact" w:before="0"/>
                                <w:ind w:left="0" w:right="0" w:firstLine="0"/>
                                <w:jc w:val="left"/>
                                <w:rPr>
                                  <w:rFonts w:ascii="Arial MT"/>
                                  <w:sz w:val="12"/>
                                </w:rPr>
                              </w:pPr>
                              <w:r>
                                <w:rPr>
                                  <w:rFonts w:ascii="Arial MT"/>
                                  <w:spacing w:val="-10"/>
                                  <w:sz w:val="12"/>
                                </w:rPr>
                                <w:t>O</w:t>
                              </w:r>
                            </w:p>
                          </w:txbxContent>
                        </wps:txbx>
                        <wps:bodyPr wrap="square" lIns="0" tIns="0" rIns="0" bIns="0" rtlCol="0">
                          <a:noAutofit/>
                        </wps:bodyPr>
                      </wps:wsp>
                      <wps:wsp>
                        <wps:cNvPr id="115" name="Textbox 115"/>
                        <wps:cNvSpPr txBox="1"/>
                        <wps:spPr>
                          <a:xfrm>
                            <a:off x="0" y="240545"/>
                            <a:ext cx="120650" cy="87630"/>
                          </a:xfrm>
                          <a:prstGeom prst="rect">
                            <a:avLst/>
                          </a:prstGeom>
                        </wps:spPr>
                        <wps:txbx>
                          <w:txbxContent>
                            <w:p>
                              <w:pPr>
                                <w:spacing w:line="137" w:lineRule="exact" w:before="0"/>
                                <w:ind w:left="0" w:right="0" w:firstLine="0"/>
                                <w:jc w:val="left"/>
                                <w:rPr>
                                  <w:rFonts w:ascii="Arial MT"/>
                                  <w:sz w:val="12"/>
                                </w:rPr>
                              </w:pPr>
                              <w:r>
                                <w:rPr>
                                  <w:rFonts w:ascii="Arial MT"/>
                                  <w:spacing w:val="-5"/>
                                  <w:sz w:val="12"/>
                                </w:rPr>
                                <w:t>HN</w:t>
                              </w:r>
                            </w:p>
                          </w:txbxContent>
                        </wps:txbx>
                        <wps:bodyPr wrap="square" lIns="0" tIns="0" rIns="0" bIns="0" rtlCol="0">
                          <a:noAutofit/>
                        </wps:bodyPr>
                      </wps:wsp>
                    </wpg:wgp>
                  </a:graphicData>
                </a:graphic>
              </wp:anchor>
            </w:drawing>
          </mc:Choice>
          <mc:Fallback>
            <w:pict>
              <v:group style="position:absolute;margin-left:88.399063pt;margin-top:9.825315pt;width:39.950pt;height:77.150pt;mso-position-horizontal-relative:page;mso-position-vertical-relative:paragraph;z-index:15754752" id="docshapegroup92" coordorigin="1768,197" coordsize="799,1543">
                <v:shape style="position:absolute;left:1895;top:331;width:665;height:1403" id="docshape93" coordorigin="1895,331" coordsize="665,1403" path="m1941,1204l1941,1582m1985,1231l1985,1557m1941,1582l2189,1734m2309,1734l2560,1582m2290,1694l2516,1557m2560,1582l2560,1204m2560,1204l2250,1015m2516,1231l2250,1069m2250,1015l1941,1204m2250,1015l2250,638m2250,638l1950,638m2220,638l2439,405m2250,671l2470,438m1895,573l1895,331e" filled="false" stroked="true" strokeweight=".559087pt" strokecolor="#000000">
                  <v:path arrowok="t"/>
                  <v:stroke dashstyle="solid"/>
                </v:shape>
                <v:shape style="position:absolute;left:1853;top:196;width:228;height:156" type="#_x0000_t202" id="docshape94" filled="false" stroked="false">
                  <v:textbox inset="0,0,0,0">
                    <w:txbxContent>
                      <w:p>
                        <w:pPr>
                          <w:spacing w:line="156" w:lineRule="exact" w:before="0"/>
                          <w:ind w:left="0" w:right="0" w:firstLine="0"/>
                          <w:jc w:val="left"/>
                          <w:rPr>
                            <w:rFonts w:ascii="Arial MT"/>
                            <w:sz w:val="7"/>
                          </w:rPr>
                        </w:pPr>
                        <w:r>
                          <w:rPr>
                            <w:rFonts w:ascii="Arial MT"/>
                            <w:spacing w:val="-5"/>
                            <w:sz w:val="12"/>
                          </w:rPr>
                          <w:t>NH</w:t>
                        </w:r>
                        <w:r>
                          <w:rPr>
                            <w:rFonts w:ascii="Arial MT"/>
                            <w:spacing w:val="-5"/>
                            <w:position w:val="-2"/>
                            <w:sz w:val="7"/>
                          </w:rPr>
                          <w:t>2</w:t>
                        </w:r>
                      </w:p>
                    </w:txbxContent>
                  </v:textbox>
                  <w10:wrap type="none"/>
                </v:shape>
                <v:shape style="position:absolute;left:2456;top:308;width:111;height:138" type="#_x0000_t202" id="docshape95" filled="false" stroked="false">
                  <v:textbox inset="0,0,0,0">
                    <w:txbxContent>
                      <w:p>
                        <w:pPr>
                          <w:spacing w:line="137" w:lineRule="exact" w:before="0"/>
                          <w:ind w:left="0" w:right="0" w:firstLine="0"/>
                          <w:jc w:val="left"/>
                          <w:rPr>
                            <w:rFonts w:ascii="Arial MT"/>
                            <w:sz w:val="12"/>
                          </w:rPr>
                        </w:pPr>
                        <w:r>
                          <w:rPr>
                            <w:rFonts w:ascii="Arial MT"/>
                            <w:spacing w:val="-10"/>
                            <w:sz w:val="12"/>
                          </w:rPr>
                          <w:t>O</w:t>
                        </w:r>
                      </w:p>
                    </w:txbxContent>
                  </v:textbox>
                  <w10:wrap type="none"/>
                </v:shape>
                <v:shape style="position:absolute;left:1767;top:575;width:190;height:138" type="#_x0000_t202" id="docshape96" filled="false" stroked="false">
                  <v:textbox inset="0,0,0,0">
                    <w:txbxContent>
                      <w:p>
                        <w:pPr>
                          <w:spacing w:line="137" w:lineRule="exact" w:before="0"/>
                          <w:ind w:left="0" w:right="0" w:firstLine="0"/>
                          <w:jc w:val="left"/>
                          <w:rPr>
                            <w:rFonts w:ascii="Arial MT"/>
                            <w:sz w:val="12"/>
                          </w:rPr>
                        </w:pPr>
                        <w:r>
                          <w:rPr>
                            <w:rFonts w:ascii="Arial MT"/>
                            <w:spacing w:val="-5"/>
                            <w:sz w:val="12"/>
                          </w:rPr>
                          <w:t>HN</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014016">
                <wp:simplePos x="0" y="0"/>
                <wp:positionH relativeFrom="page">
                  <wp:posOffset>3119161</wp:posOffset>
                </wp:positionH>
                <wp:positionV relativeFrom="paragraph">
                  <wp:posOffset>443766</wp:posOffset>
                </wp:positionV>
                <wp:extent cx="391795" cy="80645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391795" cy="806450"/>
                        </a:xfrm>
                        <a:custGeom>
                          <a:avLst/>
                          <a:gdLst/>
                          <a:ahLst/>
                          <a:cxnLst/>
                          <a:rect l="l" t="t" r="r" b="b"/>
                          <a:pathLst>
                            <a:path w="391795" h="806450">
                              <a:moveTo>
                                <a:pt x="0" y="469631"/>
                              </a:moveTo>
                              <a:lnTo>
                                <a:pt x="0" y="710163"/>
                              </a:lnTo>
                            </a:path>
                            <a:path w="391795" h="806450">
                              <a:moveTo>
                                <a:pt x="26760" y="485818"/>
                              </a:moveTo>
                              <a:lnTo>
                                <a:pt x="26760" y="692400"/>
                              </a:lnTo>
                            </a:path>
                            <a:path w="391795" h="806450">
                              <a:moveTo>
                                <a:pt x="0" y="710163"/>
                              </a:moveTo>
                              <a:lnTo>
                                <a:pt x="157524" y="806317"/>
                              </a:lnTo>
                            </a:path>
                            <a:path w="391795" h="806450">
                              <a:moveTo>
                                <a:pt x="234157" y="806317"/>
                              </a:moveTo>
                              <a:lnTo>
                                <a:pt x="391438" y="710163"/>
                              </a:lnTo>
                            </a:path>
                            <a:path w="391795" h="806450">
                              <a:moveTo>
                                <a:pt x="220168" y="780932"/>
                              </a:moveTo>
                              <a:lnTo>
                                <a:pt x="365042" y="692400"/>
                              </a:lnTo>
                            </a:path>
                            <a:path w="391795" h="806450">
                              <a:moveTo>
                                <a:pt x="391438" y="710163"/>
                              </a:moveTo>
                              <a:lnTo>
                                <a:pt x="391438" y="469631"/>
                              </a:lnTo>
                            </a:path>
                            <a:path w="391795" h="806450">
                              <a:moveTo>
                                <a:pt x="391438" y="469631"/>
                              </a:moveTo>
                              <a:lnTo>
                                <a:pt x="196449" y="349991"/>
                              </a:lnTo>
                            </a:path>
                            <a:path w="391795" h="806450">
                              <a:moveTo>
                                <a:pt x="365042" y="485818"/>
                              </a:moveTo>
                              <a:lnTo>
                                <a:pt x="196449" y="382366"/>
                              </a:lnTo>
                            </a:path>
                            <a:path w="391795" h="806450">
                              <a:moveTo>
                                <a:pt x="196449" y="349991"/>
                              </a:moveTo>
                              <a:lnTo>
                                <a:pt x="0" y="469631"/>
                              </a:lnTo>
                            </a:path>
                            <a:path w="391795" h="806450">
                              <a:moveTo>
                                <a:pt x="196449" y="349991"/>
                              </a:moveTo>
                              <a:lnTo>
                                <a:pt x="196449" y="109162"/>
                              </a:lnTo>
                            </a:path>
                            <a:path w="391795" h="806450">
                              <a:moveTo>
                                <a:pt x="196449" y="109162"/>
                              </a:moveTo>
                              <a:lnTo>
                                <a:pt x="40506" y="14598"/>
                              </a:lnTo>
                            </a:path>
                            <a:path w="391795" h="806450">
                              <a:moveTo>
                                <a:pt x="182703" y="101798"/>
                              </a:moveTo>
                              <a:lnTo>
                                <a:pt x="348256" y="0"/>
                              </a:lnTo>
                            </a:path>
                            <a:path w="391795" h="806450">
                              <a:moveTo>
                                <a:pt x="196449" y="126861"/>
                              </a:moveTo>
                              <a:lnTo>
                                <a:pt x="362366" y="25062"/>
                              </a:lnTo>
                            </a:path>
                          </a:pathLst>
                        </a:custGeom>
                        <a:ln w="7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5.603287pt;margin-top:34.942211pt;width:30.85pt;height:63.5pt;mso-position-horizontal-relative:page;mso-position-vertical-relative:paragraph;z-index:-18302464" id="docshape97" coordorigin="4912,699" coordsize="617,1270" path="m4912,1438l4912,1817m4954,1464l4954,1789m4912,1817l5160,1969m5281,1969l5529,1817m5259,1929l5487,1789m5529,1817l5529,1438m5529,1438l5221,1250m5487,1464l5221,1301m5221,1250l4912,1438m5221,1250l5221,871m5221,871l4976,722m5200,859l5461,699m5221,899l5483,738e" filled="false" stroked="true" strokeweight=".559087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3119161</wp:posOffset>
                </wp:positionH>
                <wp:positionV relativeFrom="paragraph">
                  <wp:posOffset>240039</wp:posOffset>
                </wp:positionV>
                <wp:extent cx="1270" cy="15240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270" cy="152400"/>
                        </a:xfrm>
                        <a:custGeom>
                          <a:avLst/>
                          <a:gdLst/>
                          <a:ahLst/>
                          <a:cxnLst/>
                          <a:rect l="l" t="t" r="r" b="b"/>
                          <a:pathLst>
                            <a:path w="0" h="152400">
                              <a:moveTo>
                                <a:pt x="0" y="151923"/>
                              </a:moveTo>
                              <a:lnTo>
                                <a:pt x="0" y="0"/>
                              </a:lnTo>
                            </a:path>
                          </a:pathLst>
                        </a:custGeom>
                        <a:ln w="68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245.603287pt,30.863176pt" to="245.603287pt,18.900713pt" stroked="true" strokeweight=".542266pt" strokecolor="#000000">
                <v:stroke dashstyle="solid"/>
                <w10:wrap type="none"/>
              </v:line>
            </w:pict>
          </mc:Fallback>
        </mc:AlternateContent>
      </w:r>
      <w:r>
        <w:rPr>
          <w:rFonts w:ascii="Arial MT"/>
          <w:spacing w:val="-12"/>
          <w:sz w:val="12"/>
        </w:rPr>
        <w:t>N</w:t>
      </w:r>
      <w:r>
        <w:rPr>
          <w:rFonts w:ascii="Arial MT"/>
          <w:spacing w:val="40"/>
          <w:sz w:val="12"/>
        </w:rPr>
        <w:t> </w:t>
      </w:r>
      <w:r>
        <w:rPr>
          <w:rFonts w:ascii="Arial MT"/>
          <w:spacing w:val="-9"/>
          <w:sz w:val="12"/>
        </w:rPr>
        <w:t>HN</w:t>
      </w:r>
    </w:p>
    <w:p>
      <w:pPr>
        <w:spacing w:line="171" w:lineRule="exact" w:before="108"/>
        <w:ind w:left="2703" w:right="0" w:firstLine="0"/>
        <w:jc w:val="left"/>
        <w:rPr>
          <w:sz w:val="15"/>
        </w:rPr>
      </w:pPr>
      <w:r>
        <w:rPr>
          <w:sz w:val="15"/>
        </w:rPr>
        <w:t>+</w:t>
      </w:r>
      <w:r>
        <w:rPr>
          <w:spacing w:val="-10"/>
          <w:sz w:val="15"/>
        </w:rPr>
        <w:t> </w:t>
      </w:r>
      <w:r>
        <w:rPr>
          <w:sz w:val="15"/>
        </w:rPr>
        <w:t>2</w:t>
      </w:r>
      <w:r>
        <w:rPr>
          <w:spacing w:val="-9"/>
          <w:sz w:val="15"/>
        </w:rPr>
        <w:t> </w:t>
      </w:r>
      <w:r>
        <w:rPr>
          <w:sz w:val="15"/>
        </w:rPr>
        <w:t>ml</w:t>
      </w:r>
      <w:r>
        <w:rPr>
          <w:spacing w:val="18"/>
          <w:sz w:val="15"/>
        </w:rPr>
        <w:t> </w:t>
      </w:r>
      <w:r>
        <w:rPr>
          <w:sz w:val="15"/>
        </w:rPr>
        <w:t>of</w:t>
      </w:r>
      <w:r>
        <w:rPr>
          <w:spacing w:val="-9"/>
          <w:sz w:val="15"/>
        </w:rPr>
        <w:t> </w:t>
      </w:r>
      <w:r>
        <w:rPr>
          <w:sz w:val="15"/>
        </w:rPr>
        <w:t>2</w:t>
      </w:r>
      <w:r>
        <w:rPr>
          <w:spacing w:val="-9"/>
          <w:sz w:val="15"/>
        </w:rPr>
        <w:t> </w:t>
      </w:r>
      <w:r>
        <w:rPr>
          <w:sz w:val="15"/>
        </w:rPr>
        <w:t>%</w:t>
      </w:r>
      <w:r>
        <w:rPr>
          <w:spacing w:val="-8"/>
          <w:sz w:val="15"/>
        </w:rPr>
        <w:t> </w:t>
      </w:r>
      <w:r>
        <w:rPr>
          <w:sz w:val="15"/>
        </w:rPr>
        <w:t>HC</w:t>
      </w:r>
      <w:r>
        <w:rPr>
          <w:spacing w:val="-8"/>
          <w:sz w:val="15"/>
        </w:rPr>
        <w:t> </w:t>
      </w:r>
      <w:r>
        <w:rPr>
          <w:spacing w:val="-10"/>
          <w:sz w:val="15"/>
        </w:rPr>
        <w:t>l</w:t>
      </w:r>
    </w:p>
    <w:p>
      <w:pPr>
        <w:spacing w:line="171" w:lineRule="exact" w:before="0"/>
        <w:ind w:left="2703" w:right="0" w:firstLine="0"/>
        <w:jc w:val="left"/>
        <w:rPr>
          <w:sz w:val="15"/>
        </w:rPr>
      </w:pPr>
      <w:r>
        <w:rPr>
          <w:sz w:val="15"/>
        </w:rPr>
        <w:t>+</w:t>
      </w:r>
      <w:r>
        <w:rPr>
          <w:spacing w:val="-10"/>
          <w:sz w:val="15"/>
        </w:rPr>
        <w:t> </w:t>
      </w:r>
      <w:r>
        <w:rPr>
          <w:sz w:val="15"/>
        </w:rPr>
        <w:t>2</w:t>
      </w:r>
      <w:r>
        <w:rPr>
          <w:spacing w:val="-9"/>
          <w:sz w:val="15"/>
        </w:rPr>
        <w:t> </w:t>
      </w:r>
      <w:r>
        <w:rPr>
          <w:sz w:val="15"/>
        </w:rPr>
        <w:t>ml</w:t>
      </w:r>
      <w:r>
        <w:rPr>
          <w:spacing w:val="-9"/>
          <w:sz w:val="15"/>
        </w:rPr>
        <w:t> </w:t>
      </w:r>
      <w:r>
        <w:rPr>
          <w:sz w:val="15"/>
        </w:rPr>
        <w:t>of</w:t>
      </w:r>
      <w:r>
        <w:rPr>
          <w:spacing w:val="-9"/>
          <w:sz w:val="15"/>
        </w:rPr>
        <w:t> </w:t>
      </w:r>
      <w:r>
        <w:rPr>
          <w:sz w:val="15"/>
        </w:rPr>
        <w:t>1</w:t>
      </w:r>
      <w:r>
        <w:rPr>
          <w:spacing w:val="-10"/>
          <w:sz w:val="15"/>
        </w:rPr>
        <w:t> </w:t>
      </w:r>
      <w:r>
        <w:rPr>
          <w:sz w:val="15"/>
        </w:rPr>
        <w:t>%</w:t>
      </w:r>
      <w:r>
        <w:rPr>
          <w:spacing w:val="21"/>
          <w:sz w:val="15"/>
        </w:rPr>
        <w:t> </w:t>
      </w:r>
      <w:r>
        <w:rPr>
          <w:sz w:val="15"/>
        </w:rPr>
        <w:t>Na</w:t>
      </w:r>
      <w:r>
        <w:rPr>
          <w:spacing w:val="-8"/>
          <w:sz w:val="15"/>
        </w:rPr>
        <w:t> </w:t>
      </w:r>
      <w:r>
        <w:rPr>
          <w:sz w:val="15"/>
        </w:rPr>
        <w:t>N</w:t>
      </w:r>
      <w:r>
        <w:rPr>
          <w:spacing w:val="-8"/>
          <w:sz w:val="15"/>
        </w:rPr>
        <w:t> </w:t>
      </w:r>
      <w:r>
        <w:rPr>
          <w:sz w:val="15"/>
        </w:rPr>
        <w:t>O</w:t>
      </w:r>
      <w:r>
        <w:rPr>
          <w:spacing w:val="-9"/>
          <w:sz w:val="15"/>
        </w:rPr>
        <w:t> </w:t>
      </w:r>
      <w:r>
        <w:rPr>
          <w:spacing w:val="-10"/>
          <w:sz w:val="15"/>
        </w:rPr>
        <w:t>2</w:t>
      </w:r>
    </w:p>
    <w:p>
      <w:pPr>
        <w:pStyle w:val="BodyText"/>
        <w:spacing w:before="9"/>
        <w:rPr>
          <w:sz w:val="4"/>
        </w:rPr>
      </w:pPr>
      <w:r>
        <w:rPr/>
        <mc:AlternateContent>
          <mc:Choice Requires="wps">
            <w:drawing>
              <wp:anchor distT="0" distB="0" distL="0" distR="0" allowOverlap="1" layoutInCell="1" locked="0" behindDoc="1" simplePos="0" relativeHeight="487612928">
                <wp:simplePos x="0" y="0"/>
                <wp:positionH relativeFrom="page">
                  <wp:posOffset>1726903</wp:posOffset>
                </wp:positionH>
                <wp:positionV relativeFrom="paragraph">
                  <wp:posOffset>50558</wp:posOffset>
                </wp:positionV>
                <wp:extent cx="1327150" cy="41275"/>
                <wp:effectExtent l="0" t="0" r="0" b="0"/>
                <wp:wrapTopAndBottom/>
                <wp:docPr id="118" name="Group 118"/>
                <wp:cNvGraphicFramePr>
                  <a:graphicFrameLocks/>
                </wp:cNvGraphicFramePr>
                <a:graphic>
                  <a:graphicData uri="http://schemas.microsoft.com/office/word/2010/wordprocessingGroup">
                    <wpg:wgp>
                      <wpg:cNvPr id="118" name="Group 118"/>
                      <wpg:cNvGrpSpPr/>
                      <wpg:grpSpPr>
                        <a:xfrm>
                          <a:off x="0" y="0"/>
                          <a:ext cx="1327150" cy="41275"/>
                          <a:chExt cx="1327150" cy="41275"/>
                        </a:xfrm>
                      </wpg:grpSpPr>
                      <wps:wsp>
                        <wps:cNvPr id="119" name="Graphic 119"/>
                        <wps:cNvSpPr/>
                        <wps:spPr>
                          <a:xfrm>
                            <a:off x="1251884" y="0"/>
                            <a:ext cx="75565" cy="41275"/>
                          </a:xfrm>
                          <a:custGeom>
                            <a:avLst/>
                            <a:gdLst/>
                            <a:ahLst/>
                            <a:cxnLst/>
                            <a:rect l="l" t="t" r="r" b="b"/>
                            <a:pathLst>
                              <a:path w="75565" h="41275">
                                <a:moveTo>
                                  <a:pt x="0" y="0"/>
                                </a:moveTo>
                                <a:lnTo>
                                  <a:pt x="9609" y="20631"/>
                                </a:lnTo>
                                <a:lnTo>
                                  <a:pt x="0" y="41262"/>
                                </a:lnTo>
                                <a:lnTo>
                                  <a:pt x="75173" y="20631"/>
                                </a:lnTo>
                                <a:lnTo>
                                  <a:pt x="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7030" y="25230"/>
                            <a:ext cx="1256665" cy="1270"/>
                          </a:xfrm>
                          <a:custGeom>
                            <a:avLst/>
                            <a:gdLst/>
                            <a:ahLst/>
                            <a:cxnLst/>
                            <a:rect l="l" t="t" r="r" b="b"/>
                            <a:pathLst>
                              <a:path w="1256665" h="0">
                                <a:moveTo>
                                  <a:pt x="1256045" y="0"/>
                                </a:moveTo>
                                <a:lnTo>
                                  <a:pt x="0" y="0"/>
                                </a:lnTo>
                              </a:path>
                            </a:pathLst>
                          </a:custGeom>
                          <a:ln w="1808">
                            <a:solidFill>
                              <a:srgbClr val="000000"/>
                            </a:solidFill>
                            <a:prstDash val="solid"/>
                          </a:ln>
                        </wps:spPr>
                        <wps:bodyPr wrap="square" lIns="0" tIns="0" rIns="0" bIns="0" rtlCol="0">
                          <a:prstTxWarp prst="textNoShape">
                            <a:avLst/>
                          </a:prstTxWarp>
                          <a:noAutofit/>
                        </wps:bodyPr>
                      </wps:wsp>
                      <wps:wsp>
                        <wps:cNvPr id="121" name="Graphic 121"/>
                        <wps:cNvSpPr/>
                        <wps:spPr>
                          <a:xfrm>
                            <a:off x="0" y="17776"/>
                            <a:ext cx="1261745" cy="7620"/>
                          </a:xfrm>
                          <a:custGeom>
                            <a:avLst/>
                            <a:gdLst/>
                            <a:ahLst/>
                            <a:cxnLst/>
                            <a:rect l="l" t="t" r="r" b="b"/>
                            <a:pathLst>
                              <a:path w="1261745" h="7620">
                                <a:moveTo>
                                  <a:pt x="1261531" y="0"/>
                                </a:moveTo>
                                <a:lnTo>
                                  <a:pt x="0" y="0"/>
                                </a:lnTo>
                                <a:lnTo>
                                  <a:pt x="0" y="7298"/>
                                </a:lnTo>
                                <a:lnTo>
                                  <a:pt x="1261531" y="7298"/>
                                </a:lnTo>
                                <a:lnTo>
                                  <a:pt x="12615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5.976685pt;margin-top:3.980992pt;width:104.5pt;height:3.25pt;mso-position-horizontal-relative:page;mso-position-vertical-relative:paragraph;z-index:-15703552;mso-wrap-distance-left:0;mso-wrap-distance-right:0" id="docshapegroup98" coordorigin="2720,80" coordsize="2090,65">
                <v:shape style="position:absolute;left:4691;top:79;width:119;height:65" id="docshape99" coordorigin="4691,80" coordsize="119,65" path="m4691,80l4706,112,4691,145,4809,112,4691,80xe" filled="true" fillcolor="#000000" stroked="false">
                  <v:path arrowok="t"/>
                  <v:fill type="solid"/>
                </v:shape>
                <v:line style="position:absolute" from="4709,119" to="2731,119" stroked="true" strokeweight=".14241pt" strokecolor="#000000">
                  <v:stroke dashstyle="solid"/>
                </v:line>
                <v:rect style="position:absolute;left:2719;top:107;width:1987;height:12" id="docshape100" filled="true" fillcolor="#000000" stroked="false">
                  <v:fill type="solid"/>
                </v:rect>
                <w10:wrap type="topAndBottom"/>
              </v:group>
            </w:pict>
          </mc:Fallback>
        </mc:AlternateContent>
      </w:r>
    </w:p>
    <w:p>
      <w:pPr>
        <w:spacing w:before="111"/>
        <w:ind w:left="2613" w:right="0" w:firstLine="0"/>
        <w:jc w:val="left"/>
        <w:rPr>
          <w:sz w:val="15"/>
        </w:rPr>
      </w:pPr>
      <w:r>
        <w:rPr>
          <w:sz w:val="15"/>
        </w:rPr>
        <w:t>+</w:t>
      </w:r>
      <w:r>
        <w:rPr>
          <w:spacing w:val="-10"/>
          <w:sz w:val="15"/>
        </w:rPr>
        <w:t> </w:t>
      </w:r>
      <w:r>
        <w:rPr>
          <w:sz w:val="15"/>
        </w:rPr>
        <w:t>3</w:t>
      </w:r>
      <w:r>
        <w:rPr>
          <w:spacing w:val="-9"/>
          <w:sz w:val="15"/>
        </w:rPr>
        <w:t> </w:t>
      </w:r>
      <w:r>
        <w:rPr>
          <w:sz w:val="15"/>
        </w:rPr>
        <w:t>ml</w:t>
      </w:r>
      <w:r>
        <w:rPr>
          <w:spacing w:val="10"/>
          <w:sz w:val="15"/>
        </w:rPr>
        <w:t> </w:t>
      </w:r>
      <w:r>
        <w:rPr>
          <w:sz w:val="15"/>
        </w:rPr>
        <w:t>of</w:t>
      </w:r>
      <w:r>
        <w:rPr>
          <w:spacing w:val="15"/>
          <w:sz w:val="15"/>
        </w:rPr>
        <w:t> </w:t>
      </w:r>
      <w:r>
        <w:rPr>
          <w:sz w:val="15"/>
        </w:rPr>
        <w:t>2%</w:t>
      </w:r>
      <w:r>
        <w:rPr>
          <w:spacing w:val="16"/>
          <w:sz w:val="15"/>
        </w:rPr>
        <w:t> </w:t>
      </w:r>
      <w:r>
        <w:rPr>
          <w:sz w:val="15"/>
        </w:rPr>
        <w:t>Sulfamic</w:t>
      </w:r>
      <w:r>
        <w:rPr>
          <w:spacing w:val="-9"/>
          <w:sz w:val="15"/>
        </w:rPr>
        <w:t> </w:t>
      </w:r>
      <w:r>
        <w:rPr>
          <w:spacing w:val="-4"/>
          <w:sz w:val="15"/>
        </w:rPr>
        <w:t>acid</w:t>
      </w:r>
    </w:p>
    <w:p>
      <w:pPr>
        <w:spacing w:before="78"/>
        <w:ind w:left="0" w:right="690" w:firstLine="0"/>
        <w:jc w:val="center"/>
        <w:rPr>
          <w:rFonts w:ascii="Arial MT"/>
          <w:sz w:val="12"/>
        </w:rPr>
      </w:pPr>
      <w:r>
        <w:rPr>
          <w:rFonts w:ascii="Arial MT"/>
          <w:spacing w:val="-10"/>
          <w:sz w:val="12"/>
        </w:rPr>
        <w:t>N</w:t>
      </w:r>
    </w:p>
    <w:p>
      <w:pPr>
        <w:spacing w:line="240" w:lineRule="auto" w:before="0"/>
        <w:rPr>
          <w:rFonts w:ascii="Arial MT"/>
          <w:sz w:val="12"/>
        </w:rPr>
      </w:pPr>
      <w:r>
        <w:rPr/>
        <w:br w:type="column"/>
      </w:r>
      <w:r>
        <w:rPr>
          <w:rFonts w:ascii="Arial MT"/>
          <w:sz w:val="12"/>
        </w:rPr>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27"/>
        <w:rPr>
          <w:rFonts w:ascii="Arial MT"/>
          <w:sz w:val="12"/>
        </w:rPr>
      </w:pPr>
    </w:p>
    <w:p>
      <w:pPr>
        <w:spacing w:before="1"/>
        <w:ind w:left="490" w:right="0" w:firstLine="0"/>
        <w:jc w:val="left"/>
        <w:rPr>
          <w:rFonts w:ascii="Arial MT"/>
          <w:sz w:val="12"/>
        </w:rPr>
      </w:pPr>
      <w:r>
        <w:rPr>
          <w:rFonts w:ascii="Arial MT"/>
          <w:spacing w:val="-10"/>
          <w:sz w:val="12"/>
        </w:rPr>
        <w:t>O</w:t>
      </w:r>
    </w:p>
    <w:p>
      <w:pPr>
        <w:pStyle w:val="BodyText"/>
        <w:spacing w:before="7"/>
        <w:rPr>
          <w:rFonts w:ascii="Arial MT"/>
          <w:sz w:val="12"/>
        </w:rPr>
      </w:pPr>
    </w:p>
    <w:p>
      <w:pPr>
        <w:spacing w:before="0"/>
        <w:ind w:left="0" w:right="0" w:firstLine="0"/>
        <w:jc w:val="right"/>
        <w:rPr>
          <w:rFonts w:ascii="Arial MT"/>
          <w:sz w:val="12"/>
        </w:rPr>
      </w:pPr>
      <w:r>
        <w:rPr>
          <w:rFonts w:ascii="Arial MT"/>
          <w:spacing w:val="-5"/>
          <w:sz w:val="12"/>
        </w:rPr>
        <w:t>NH</w:t>
      </w:r>
      <w:r>
        <w:rPr>
          <w:rFonts w:ascii="Arial MT"/>
          <w:spacing w:val="-5"/>
          <w:sz w:val="12"/>
          <w:vertAlign w:val="subscript"/>
        </w:rPr>
        <w:t>2</w:t>
      </w:r>
    </w:p>
    <w:p>
      <w:pPr>
        <w:pStyle w:val="BodyText"/>
        <w:rPr>
          <w:rFonts w:ascii="Arial MT"/>
          <w:sz w:val="12"/>
        </w:rPr>
      </w:pPr>
    </w:p>
    <w:p>
      <w:pPr>
        <w:pStyle w:val="BodyText"/>
        <w:spacing w:before="123"/>
        <w:rPr>
          <w:rFonts w:ascii="Arial MT"/>
          <w:sz w:val="12"/>
        </w:rPr>
      </w:pPr>
    </w:p>
    <w:p>
      <w:pPr>
        <w:spacing w:before="1"/>
        <w:ind w:left="81" w:right="0" w:firstLine="0"/>
        <w:jc w:val="center"/>
        <w:rPr>
          <w:sz w:val="15"/>
        </w:rPr>
      </w:pPr>
      <w:r>
        <w:rPr>
          <w:spacing w:val="-10"/>
          <w:sz w:val="15"/>
        </w:rPr>
        <w:t>+</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spacing w:before="109"/>
        <w:rPr>
          <w:sz w:val="12"/>
        </w:rPr>
      </w:pPr>
    </w:p>
    <w:p>
      <w:pPr>
        <w:spacing w:before="0"/>
        <w:ind w:left="0" w:right="1439" w:firstLine="0"/>
        <w:jc w:val="right"/>
        <w:rPr>
          <w:rFonts w:ascii="Arial MT"/>
          <w:sz w:val="12"/>
        </w:rPr>
      </w:pPr>
      <w:r>
        <w:rPr>
          <w:rFonts w:ascii="Arial MT"/>
          <w:spacing w:val="-5"/>
          <w:sz w:val="12"/>
        </w:rPr>
        <w:t>CH</w:t>
      </w:r>
      <w:r>
        <w:rPr>
          <w:rFonts w:ascii="Arial MT"/>
          <w:spacing w:val="-5"/>
          <w:sz w:val="12"/>
          <w:vertAlign w:val="subscript"/>
        </w:rPr>
        <w:t>3</w:t>
      </w:r>
    </w:p>
    <w:p>
      <w:pPr>
        <w:pStyle w:val="BodyText"/>
        <w:spacing w:before="115"/>
        <w:rPr>
          <w:rFonts w:ascii="Arial MT"/>
          <w:sz w:val="12"/>
        </w:rPr>
      </w:pPr>
    </w:p>
    <w:p>
      <w:pPr>
        <w:spacing w:line="116" w:lineRule="exact" w:before="0"/>
        <w:ind w:left="0" w:right="276" w:firstLine="0"/>
        <w:jc w:val="center"/>
        <w:rPr>
          <w:rFonts w:ascii="Arial MT"/>
          <w:sz w:val="12"/>
        </w:rPr>
      </w:pPr>
      <w:r>
        <w:rPr/>
        <mc:AlternateContent>
          <mc:Choice Requires="wps">
            <w:drawing>
              <wp:anchor distT="0" distB="0" distL="0" distR="0" allowOverlap="1" layoutInCell="1" locked="0" behindDoc="0" simplePos="0" relativeHeight="15756800">
                <wp:simplePos x="0" y="0"/>
                <wp:positionH relativeFrom="page">
                  <wp:posOffset>3833676</wp:posOffset>
                </wp:positionH>
                <wp:positionV relativeFrom="paragraph">
                  <wp:posOffset>54099</wp:posOffset>
                </wp:positionV>
                <wp:extent cx="391795" cy="87185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391795" cy="871855"/>
                        </a:xfrm>
                        <a:custGeom>
                          <a:avLst/>
                          <a:gdLst/>
                          <a:ahLst/>
                          <a:cxnLst/>
                          <a:rect l="l" t="t" r="r" b="b"/>
                          <a:pathLst>
                            <a:path w="391795" h="871855">
                              <a:moveTo>
                                <a:pt x="0" y="314478"/>
                              </a:moveTo>
                              <a:lnTo>
                                <a:pt x="0" y="553744"/>
                              </a:lnTo>
                            </a:path>
                            <a:path w="391795" h="871855">
                              <a:moveTo>
                                <a:pt x="26274" y="330975"/>
                              </a:moveTo>
                              <a:lnTo>
                                <a:pt x="26274" y="537570"/>
                              </a:lnTo>
                            </a:path>
                            <a:path w="391795" h="871855">
                              <a:moveTo>
                                <a:pt x="0" y="553744"/>
                              </a:moveTo>
                              <a:lnTo>
                                <a:pt x="194867" y="673384"/>
                              </a:lnTo>
                            </a:path>
                            <a:path w="391795" h="871855">
                              <a:moveTo>
                                <a:pt x="194867" y="673384"/>
                              </a:moveTo>
                              <a:lnTo>
                                <a:pt x="391316" y="553744"/>
                              </a:lnTo>
                            </a:path>
                            <a:path w="391795" h="871855">
                              <a:moveTo>
                                <a:pt x="194867" y="641010"/>
                              </a:moveTo>
                              <a:lnTo>
                                <a:pt x="364677" y="537570"/>
                              </a:lnTo>
                            </a:path>
                            <a:path w="391795" h="871855">
                              <a:moveTo>
                                <a:pt x="391316" y="553744"/>
                              </a:moveTo>
                              <a:lnTo>
                                <a:pt x="391316" y="314478"/>
                              </a:lnTo>
                            </a:path>
                            <a:path w="391795" h="871855">
                              <a:moveTo>
                                <a:pt x="391316" y="314478"/>
                              </a:moveTo>
                              <a:lnTo>
                                <a:pt x="194867" y="193572"/>
                              </a:lnTo>
                            </a:path>
                            <a:path w="391795" h="871855">
                              <a:moveTo>
                                <a:pt x="364677" y="330975"/>
                              </a:moveTo>
                              <a:lnTo>
                                <a:pt x="194867" y="227536"/>
                              </a:lnTo>
                            </a:path>
                            <a:path w="391795" h="871855">
                              <a:moveTo>
                                <a:pt x="194867" y="193572"/>
                              </a:moveTo>
                              <a:lnTo>
                                <a:pt x="0" y="314478"/>
                              </a:lnTo>
                            </a:path>
                            <a:path w="391795" h="871855">
                              <a:moveTo>
                                <a:pt x="194867" y="673384"/>
                              </a:moveTo>
                              <a:lnTo>
                                <a:pt x="194867" y="871401"/>
                              </a:lnTo>
                            </a:path>
                            <a:path w="391795" h="871855">
                              <a:moveTo>
                                <a:pt x="194867" y="193572"/>
                              </a:moveTo>
                              <a:lnTo>
                                <a:pt x="194867" y="0"/>
                              </a:lnTo>
                            </a:path>
                          </a:pathLst>
                        </a:custGeom>
                        <a:ln w="7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1.864288pt;margin-top:4.259842pt;width:30.85pt;height:68.650pt;mso-position-horizontal-relative:page;mso-position-vertical-relative:paragraph;z-index:15756800" id="docshape101" coordorigin="6037,85" coordsize="617,1373" path="m6037,580l6037,957m6079,606l6079,932m6037,957l6344,1146m6344,1146l6654,957m6344,1095l6612,932m6654,957l6654,580m6654,580l6344,390m6612,606l6344,444m6344,390l6037,580m6344,1146l6344,1457m6344,390l6344,85e" filled="false" stroked="true" strokeweight=".559087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5693920</wp:posOffset>
                </wp:positionH>
                <wp:positionV relativeFrom="paragraph">
                  <wp:posOffset>37925</wp:posOffset>
                </wp:positionV>
                <wp:extent cx="147955" cy="6794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147955" cy="67945"/>
                        </a:xfrm>
                        <a:custGeom>
                          <a:avLst/>
                          <a:gdLst/>
                          <a:ahLst/>
                          <a:cxnLst/>
                          <a:rect l="l" t="t" r="r" b="b"/>
                          <a:pathLst>
                            <a:path w="147955" h="67945">
                              <a:moveTo>
                                <a:pt x="0" y="39983"/>
                              </a:moveTo>
                              <a:lnTo>
                                <a:pt x="140737" y="0"/>
                              </a:lnTo>
                            </a:path>
                            <a:path w="147955" h="67945">
                              <a:moveTo>
                                <a:pt x="8393" y="67900"/>
                              </a:moveTo>
                              <a:lnTo>
                                <a:pt x="147671" y="27917"/>
                              </a:lnTo>
                            </a:path>
                          </a:pathLst>
                        </a:custGeom>
                        <a:ln w="7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8.34021pt;margin-top:2.986288pt;width:11.65pt;height:5.35pt;mso-position-horizontal-relative:page;mso-position-vertical-relative:paragraph;z-index:15758336" id="docshape102" coordorigin="8967,60" coordsize="233,107" path="m8967,123l9188,60m8980,167l9199,104e" filled="false" stroked="true" strokeweight=".559087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5916765</wp:posOffset>
                </wp:positionH>
                <wp:positionV relativeFrom="paragraph">
                  <wp:posOffset>-314946</wp:posOffset>
                </wp:positionV>
                <wp:extent cx="796925" cy="464184"/>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796925" cy="464184"/>
                        </a:xfrm>
                        <a:custGeom>
                          <a:avLst/>
                          <a:gdLst/>
                          <a:ahLst/>
                          <a:cxnLst/>
                          <a:rect l="l" t="t" r="r" b="b"/>
                          <a:pathLst>
                            <a:path w="796925" h="464184">
                              <a:moveTo>
                                <a:pt x="0" y="345573"/>
                              </a:moveTo>
                              <a:lnTo>
                                <a:pt x="179662" y="293847"/>
                              </a:lnTo>
                            </a:path>
                            <a:path w="796925" h="464184">
                              <a:moveTo>
                                <a:pt x="179662" y="293847"/>
                              </a:moveTo>
                              <a:lnTo>
                                <a:pt x="339862" y="463611"/>
                              </a:lnTo>
                            </a:path>
                            <a:path w="796925" h="464184">
                              <a:moveTo>
                                <a:pt x="210194" y="284959"/>
                              </a:moveTo>
                              <a:lnTo>
                                <a:pt x="348256" y="431250"/>
                              </a:lnTo>
                            </a:path>
                            <a:path w="796925" h="464184">
                              <a:moveTo>
                                <a:pt x="339862" y="463611"/>
                              </a:moveTo>
                              <a:lnTo>
                                <a:pt x="558450" y="401731"/>
                              </a:lnTo>
                            </a:path>
                            <a:path w="796925" h="464184">
                              <a:moveTo>
                                <a:pt x="558450" y="401731"/>
                              </a:moveTo>
                              <a:lnTo>
                                <a:pt x="616837" y="169751"/>
                              </a:lnTo>
                            </a:path>
                            <a:path w="796925" h="464184">
                              <a:moveTo>
                                <a:pt x="535946" y="377934"/>
                              </a:moveTo>
                              <a:lnTo>
                                <a:pt x="586184" y="178664"/>
                              </a:lnTo>
                            </a:path>
                            <a:path w="796925" h="464184">
                              <a:moveTo>
                                <a:pt x="616837" y="169751"/>
                              </a:moveTo>
                              <a:lnTo>
                                <a:pt x="456637" y="0"/>
                              </a:lnTo>
                            </a:path>
                            <a:path w="796925" h="464184">
                              <a:moveTo>
                                <a:pt x="456637" y="0"/>
                              </a:moveTo>
                              <a:lnTo>
                                <a:pt x="238049" y="61880"/>
                              </a:lnTo>
                            </a:path>
                            <a:path w="796925" h="464184">
                              <a:moveTo>
                                <a:pt x="448244" y="32425"/>
                              </a:moveTo>
                              <a:lnTo>
                                <a:pt x="260431" y="85650"/>
                              </a:lnTo>
                            </a:path>
                            <a:path w="796925" h="464184">
                              <a:moveTo>
                                <a:pt x="238049" y="61880"/>
                              </a:moveTo>
                              <a:lnTo>
                                <a:pt x="179662" y="293847"/>
                              </a:lnTo>
                            </a:path>
                            <a:path w="796925" h="464184">
                              <a:moveTo>
                                <a:pt x="616837" y="169751"/>
                              </a:moveTo>
                              <a:lnTo>
                                <a:pt x="796378" y="118076"/>
                              </a:lnTo>
                            </a:path>
                          </a:pathLst>
                        </a:custGeom>
                        <a:ln w="7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5.887054pt;margin-top:-24.798973pt;width:62.75pt;height:36.550pt;mso-position-horizontal-relative:page;mso-position-vertical-relative:paragraph;z-index:15758848" id="docshape103" coordorigin="9318,-496" coordsize="1255,731" path="m9318,48l9601,-33m9601,-33l9853,234m9649,-47l9866,183m9853,234l10197,137m10197,137l10289,-229m10162,99l10241,-215m10289,-229l10037,-496m10037,-496l9693,-399m10024,-445l9728,-361m9693,-399l9601,-33m10289,-229l10572,-310e" filled="false" stroked="true" strokeweight=".559087pt" strokecolor="#000000">
                <v:path arrowok="t"/>
                <v:stroke dashstyle="solid"/>
                <w10:wrap type="none"/>
              </v:shape>
            </w:pict>
          </mc:Fallback>
        </mc:AlternateContent>
      </w:r>
      <w:r>
        <w:rPr>
          <w:rFonts w:ascii="Arial MT"/>
          <w:spacing w:val="-10"/>
          <w:sz w:val="12"/>
        </w:rPr>
        <w:t>N</w:t>
      </w:r>
    </w:p>
    <w:p>
      <w:pPr>
        <w:tabs>
          <w:tab w:pos="999" w:val="left" w:leader="none"/>
        </w:tabs>
        <w:spacing w:line="103" w:lineRule="exact" w:before="0"/>
        <w:ind w:left="0" w:right="1965" w:firstLine="0"/>
        <w:jc w:val="center"/>
        <w:rPr>
          <w:rFonts w:ascii="Arial MT"/>
          <w:sz w:val="12"/>
        </w:rPr>
      </w:pPr>
      <w:r>
        <w:rPr/>
        <mc:AlternateContent>
          <mc:Choice Requires="wps">
            <w:drawing>
              <wp:anchor distT="0" distB="0" distL="0" distR="0" allowOverlap="1" layoutInCell="1" locked="0" behindDoc="1" simplePos="0" relativeHeight="485016064">
                <wp:simplePos x="0" y="0"/>
                <wp:positionH relativeFrom="page">
                  <wp:posOffset>5025629</wp:posOffset>
                </wp:positionH>
                <wp:positionV relativeFrom="paragraph">
                  <wp:posOffset>42504</wp:posOffset>
                </wp:positionV>
                <wp:extent cx="393065" cy="80772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393065" cy="807720"/>
                        </a:xfrm>
                        <a:custGeom>
                          <a:avLst/>
                          <a:gdLst/>
                          <a:ahLst/>
                          <a:cxnLst/>
                          <a:rect l="l" t="t" r="r" b="b"/>
                          <a:pathLst>
                            <a:path w="393065" h="807720">
                              <a:moveTo>
                                <a:pt x="0" y="470923"/>
                              </a:moveTo>
                              <a:lnTo>
                                <a:pt x="0" y="710189"/>
                              </a:lnTo>
                            </a:path>
                            <a:path w="393065" h="807720">
                              <a:moveTo>
                                <a:pt x="27855" y="487097"/>
                              </a:moveTo>
                              <a:lnTo>
                                <a:pt x="27855" y="694002"/>
                              </a:lnTo>
                            </a:path>
                            <a:path w="393065" h="807720">
                              <a:moveTo>
                                <a:pt x="0" y="710189"/>
                              </a:moveTo>
                              <a:lnTo>
                                <a:pt x="157159" y="807609"/>
                              </a:lnTo>
                            </a:path>
                            <a:path w="393065" h="807720">
                              <a:moveTo>
                                <a:pt x="235373" y="807609"/>
                              </a:moveTo>
                              <a:lnTo>
                                <a:pt x="392533" y="710189"/>
                              </a:lnTo>
                            </a:path>
                            <a:path w="393065" h="807720">
                              <a:moveTo>
                                <a:pt x="221263" y="782534"/>
                              </a:moveTo>
                              <a:lnTo>
                                <a:pt x="364677" y="694002"/>
                              </a:lnTo>
                            </a:path>
                            <a:path w="393065" h="807720">
                              <a:moveTo>
                                <a:pt x="392533" y="710189"/>
                              </a:moveTo>
                              <a:lnTo>
                                <a:pt x="392533" y="470923"/>
                              </a:lnTo>
                            </a:path>
                            <a:path w="393065" h="807720">
                              <a:moveTo>
                                <a:pt x="392533" y="470923"/>
                              </a:moveTo>
                              <a:lnTo>
                                <a:pt x="196084" y="351283"/>
                              </a:lnTo>
                            </a:path>
                            <a:path w="393065" h="807720">
                              <a:moveTo>
                                <a:pt x="364677" y="487097"/>
                              </a:moveTo>
                              <a:lnTo>
                                <a:pt x="196084" y="383967"/>
                              </a:lnTo>
                            </a:path>
                            <a:path w="393065" h="807720">
                              <a:moveTo>
                                <a:pt x="196084" y="351283"/>
                              </a:moveTo>
                              <a:lnTo>
                                <a:pt x="0" y="470923"/>
                              </a:lnTo>
                            </a:path>
                            <a:path w="393065" h="807720">
                              <a:moveTo>
                                <a:pt x="196084" y="351283"/>
                              </a:moveTo>
                              <a:lnTo>
                                <a:pt x="196084" y="110751"/>
                              </a:lnTo>
                            </a:path>
                            <a:path w="393065" h="807720">
                              <a:moveTo>
                                <a:pt x="196084" y="110751"/>
                              </a:moveTo>
                              <a:lnTo>
                                <a:pt x="349472" y="67913"/>
                              </a:lnTo>
                            </a:path>
                            <a:path w="393065" h="807720">
                              <a:moveTo>
                                <a:pt x="196084" y="128204"/>
                              </a:moveTo>
                              <a:lnTo>
                                <a:pt x="29072" y="25062"/>
                              </a:lnTo>
                            </a:path>
                            <a:path w="393065" h="807720">
                              <a:moveTo>
                                <a:pt x="215911" y="106307"/>
                              </a:moveTo>
                              <a:lnTo>
                                <a:pt x="43182" y="0"/>
                              </a:lnTo>
                            </a:path>
                          </a:pathLst>
                        </a:custGeom>
                        <a:ln w="7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5.718842pt;margin-top:3.346841pt;width:30.95pt;height:63.6pt;mso-position-horizontal-relative:page;mso-position-vertical-relative:paragraph;z-index:-18300416" id="docshape104" coordorigin="7914,67" coordsize="619,1272" path="m7914,809l7914,1185m7958,834l7958,1160m7914,1185l8162,1339m8285,1339l8533,1185m8263,1299l8489,1160m8533,1185l8533,809m8533,809l8223,620m8489,834l8223,672m8223,620l7914,809m8223,620l8223,241m8223,241l8465,174m8223,269l7960,106m8254,234l7982,67e" filled="false" stroked="true" strokeweight=".559087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5503188</wp:posOffset>
                </wp:positionH>
                <wp:positionV relativeFrom="paragraph">
                  <wp:posOffset>40915</wp:posOffset>
                </wp:positionV>
                <wp:extent cx="116839" cy="32384"/>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116839" cy="32384"/>
                        </a:xfrm>
                        <a:custGeom>
                          <a:avLst/>
                          <a:gdLst/>
                          <a:ahLst/>
                          <a:cxnLst/>
                          <a:rect l="l" t="t" r="r" b="b"/>
                          <a:pathLst>
                            <a:path w="116839" h="32384">
                              <a:moveTo>
                                <a:pt x="0" y="32374"/>
                              </a:moveTo>
                              <a:lnTo>
                                <a:pt x="116774" y="0"/>
                              </a:lnTo>
                            </a:path>
                          </a:pathLst>
                        </a:custGeom>
                        <a:ln w="72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824" from="433.32196pt,5.770867pt" to="442.516814pt,3.221723pt" stroked="true" strokeweight=".573506pt" strokecolor="#000000">
                <v:stroke dashstyle="solid"/>
                <w10:wrap type="none"/>
              </v:line>
            </w:pict>
          </mc:Fallback>
        </mc:AlternateContent>
      </w:r>
      <w:r>
        <w:rPr>
          <w:rFonts w:ascii="Arial MT"/>
          <w:spacing w:val="-10"/>
          <w:sz w:val="12"/>
        </w:rPr>
        <w:t>O</w:t>
      </w:r>
      <w:r>
        <w:rPr>
          <w:rFonts w:ascii="Arial MT"/>
          <w:sz w:val="12"/>
        </w:rPr>
        <w:tab/>
      </w:r>
      <w:r>
        <w:rPr>
          <w:rFonts w:ascii="Arial MT"/>
          <w:spacing w:val="-10"/>
          <w:position w:val="1"/>
          <w:sz w:val="12"/>
        </w:rPr>
        <w:t>N</w:t>
      </w:r>
    </w:p>
    <w:p>
      <w:pPr>
        <w:spacing w:line="114" w:lineRule="exact" w:before="0"/>
        <w:ind w:left="0" w:right="1653" w:firstLine="0"/>
        <w:jc w:val="center"/>
        <w:rPr>
          <w:rFonts w:ascii="Arial MT"/>
          <w:sz w:val="12"/>
        </w:rPr>
      </w:pPr>
      <w:r>
        <w:rPr>
          <w:rFonts w:ascii="Arial MT"/>
          <w:spacing w:val="-5"/>
          <w:sz w:val="12"/>
        </w:rPr>
        <w:t>NH</w:t>
      </w:r>
    </w:p>
    <w:p>
      <w:pPr>
        <w:pStyle w:val="BodyText"/>
        <w:spacing w:before="130"/>
        <w:rPr>
          <w:rFonts w:ascii="Arial MT"/>
          <w:sz w:val="20"/>
        </w:rPr>
      </w:pPr>
      <w:r>
        <w:rPr/>
        <mc:AlternateContent>
          <mc:Choice Requires="wps">
            <w:drawing>
              <wp:anchor distT="0" distB="0" distL="0" distR="0" allowOverlap="1" layoutInCell="1" locked="0" behindDoc="1" simplePos="0" relativeHeight="487613440">
                <wp:simplePos x="0" y="0"/>
                <wp:positionH relativeFrom="page">
                  <wp:posOffset>4339091</wp:posOffset>
                </wp:positionH>
                <wp:positionV relativeFrom="paragraph">
                  <wp:posOffset>244150</wp:posOffset>
                </wp:positionV>
                <wp:extent cx="554355" cy="43180"/>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554355" cy="43180"/>
                          <a:chExt cx="554355" cy="43180"/>
                        </a:xfrm>
                      </wpg:grpSpPr>
                      <wps:wsp>
                        <wps:cNvPr id="128" name="Graphic 128"/>
                        <wps:cNvSpPr/>
                        <wps:spPr>
                          <a:xfrm>
                            <a:off x="479019" y="0"/>
                            <a:ext cx="75565" cy="43180"/>
                          </a:xfrm>
                          <a:custGeom>
                            <a:avLst/>
                            <a:gdLst/>
                            <a:ahLst/>
                            <a:cxnLst/>
                            <a:rect l="l" t="t" r="r" b="b"/>
                            <a:pathLst>
                              <a:path w="75565" h="43180">
                                <a:moveTo>
                                  <a:pt x="0" y="0"/>
                                </a:moveTo>
                                <a:lnTo>
                                  <a:pt x="9609" y="22220"/>
                                </a:lnTo>
                                <a:lnTo>
                                  <a:pt x="0" y="42838"/>
                                </a:lnTo>
                                <a:lnTo>
                                  <a:pt x="75173" y="22220"/>
                                </a:lnTo>
                                <a:lnTo>
                                  <a:pt x="0"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7055" y="26819"/>
                            <a:ext cx="483870" cy="1270"/>
                          </a:xfrm>
                          <a:custGeom>
                            <a:avLst/>
                            <a:gdLst/>
                            <a:ahLst/>
                            <a:cxnLst/>
                            <a:rect l="l" t="t" r="r" b="b"/>
                            <a:pathLst>
                              <a:path w="483870" h="0">
                                <a:moveTo>
                                  <a:pt x="483276" y="0"/>
                                </a:moveTo>
                                <a:lnTo>
                                  <a:pt x="0" y="0"/>
                                </a:lnTo>
                              </a:path>
                            </a:pathLst>
                          </a:custGeom>
                          <a:ln w="1808">
                            <a:solidFill>
                              <a:srgbClr val="000000"/>
                            </a:solidFill>
                            <a:prstDash val="solid"/>
                          </a:ln>
                        </wps:spPr>
                        <wps:bodyPr wrap="square" lIns="0" tIns="0" rIns="0" bIns="0" rtlCol="0">
                          <a:prstTxWarp prst="textNoShape">
                            <a:avLst/>
                          </a:prstTxWarp>
                          <a:noAutofit/>
                        </wps:bodyPr>
                      </wps:wsp>
                      <wps:wsp>
                        <wps:cNvPr id="130" name="Graphic 130"/>
                        <wps:cNvSpPr/>
                        <wps:spPr>
                          <a:xfrm>
                            <a:off x="0" y="19048"/>
                            <a:ext cx="488950" cy="7620"/>
                          </a:xfrm>
                          <a:custGeom>
                            <a:avLst/>
                            <a:gdLst/>
                            <a:ahLst/>
                            <a:cxnLst/>
                            <a:rect l="l" t="t" r="r" b="b"/>
                            <a:pathLst>
                              <a:path w="488950" h="7620">
                                <a:moveTo>
                                  <a:pt x="488653" y="0"/>
                                </a:moveTo>
                                <a:lnTo>
                                  <a:pt x="0" y="0"/>
                                </a:lnTo>
                                <a:lnTo>
                                  <a:pt x="0" y="7615"/>
                                </a:lnTo>
                                <a:lnTo>
                                  <a:pt x="488653" y="7615"/>
                                </a:lnTo>
                                <a:lnTo>
                                  <a:pt x="4886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41.660767pt;margin-top:19.22447pt;width:43.65pt;height:3.4pt;mso-position-horizontal-relative:page;mso-position-vertical-relative:paragraph;z-index:-15703040;mso-wrap-distance-left:0;mso-wrap-distance-right:0" id="docshapegroup105" coordorigin="6833,384" coordsize="873,68">
                <v:shape style="position:absolute;left:7587;top:384;width:119;height:68" id="docshape106" coordorigin="7588,384" coordsize="119,68" path="m7588,384l7603,419,7588,452,7706,419,7588,384xe" filled="true" fillcolor="#000000" stroked="false">
                  <v:path arrowok="t"/>
                  <v:fill type="solid"/>
                </v:shape>
                <v:line style="position:absolute" from="7605,427" to="6844,427" stroked="true" strokeweight=".14241pt" strokecolor="#000000">
                  <v:stroke dashstyle="solid"/>
                </v:line>
                <v:rect style="position:absolute;left:6833;top:414;width:770;height:12" id="docshape107" filled="true" fillcolor="#000000" stroked="false">
                  <v:fill type="solid"/>
                </v:rect>
                <w10:wrap type="topAndBottom"/>
              </v:group>
            </w:pict>
          </mc:Fallback>
        </mc:AlternateContent>
      </w:r>
    </w:p>
    <w:p>
      <w:pPr>
        <w:pStyle w:val="BodyText"/>
        <w:spacing w:before="19"/>
        <w:rPr>
          <w:rFonts w:ascii="Arial MT"/>
          <w:sz w:val="7"/>
        </w:rPr>
      </w:pPr>
    </w:p>
    <w:p>
      <w:pPr>
        <w:spacing w:after="0"/>
        <w:rPr>
          <w:rFonts w:ascii="Arial MT"/>
          <w:sz w:val="7"/>
        </w:rPr>
        <w:sectPr>
          <w:type w:val="continuous"/>
          <w:pgSz w:w="12240" w:h="15840"/>
          <w:pgMar w:header="0" w:footer="1015" w:top="1360" w:bottom="1200" w:left="240" w:right="0"/>
          <w:cols w:num="3" w:equalWidth="0">
            <w:col w:w="4715" w:space="40"/>
            <w:col w:w="1518" w:space="39"/>
            <w:col w:w="5688"/>
          </w:cols>
        </w:sectPr>
      </w:pPr>
    </w:p>
    <w:p>
      <w:pPr>
        <w:spacing w:line="232" w:lineRule="auto" w:before="74"/>
        <w:ind w:left="1201" w:right="38" w:firstLine="0"/>
        <w:jc w:val="left"/>
        <w:rPr>
          <w:sz w:val="15"/>
        </w:rPr>
      </w:pPr>
      <w:r>
        <w:rPr>
          <w:spacing w:val="-2"/>
          <w:sz w:val="15"/>
        </w:rPr>
        <w:t>5</w:t>
      </w:r>
      <w:r>
        <w:rPr>
          <w:spacing w:val="-8"/>
          <w:sz w:val="15"/>
        </w:rPr>
        <w:t> </w:t>
      </w:r>
      <w:r>
        <w:rPr>
          <w:spacing w:val="-2"/>
          <w:sz w:val="15"/>
        </w:rPr>
        <w:t>ml</w:t>
      </w:r>
      <w:r>
        <w:rPr>
          <w:spacing w:val="-7"/>
          <w:sz w:val="15"/>
        </w:rPr>
        <w:t> </w:t>
      </w:r>
      <w:r>
        <w:rPr>
          <w:spacing w:val="-2"/>
          <w:sz w:val="15"/>
        </w:rPr>
        <w:t>of</w:t>
      </w:r>
      <w:r>
        <w:rPr>
          <w:spacing w:val="-8"/>
          <w:sz w:val="15"/>
        </w:rPr>
        <w:t> </w:t>
      </w:r>
      <w:r>
        <w:rPr>
          <w:spacing w:val="-2"/>
          <w:sz w:val="15"/>
        </w:rPr>
        <w:t>10</w:t>
      </w:r>
      <w:r>
        <w:rPr>
          <w:spacing w:val="-7"/>
          <w:sz w:val="15"/>
        </w:rPr>
        <w:t> </w:t>
      </w:r>
      <w:r>
        <w:rPr>
          <w:spacing w:val="-2"/>
          <w:sz w:val="15"/>
        </w:rPr>
        <w:t>micro</w:t>
      </w:r>
      <w:r>
        <w:rPr>
          <w:spacing w:val="-7"/>
          <w:sz w:val="15"/>
        </w:rPr>
        <w:t> </w:t>
      </w:r>
      <w:r>
        <w:rPr>
          <w:spacing w:val="-2"/>
          <w:sz w:val="15"/>
        </w:rPr>
        <w:t>grm</w:t>
      </w:r>
      <w:r>
        <w:rPr>
          <w:spacing w:val="-8"/>
          <w:sz w:val="15"/>
        </w:rPr>
        <w:t> </w:t>
      </w:r>
      <w:r>
        <w:rPr>
          <w:spacing w:val="-2"/>
          <w:sz w:val="15"/>
        </w:rPr>
        <w:t>/</w:t>
      </w:r>
      <w:r>
        <w:rPr>
          <w:spacing w:val="-7"/>
          <w:sz w:val="15"/>
        </w:rPr>
        <w:t> </w:t>
      </w:r>
      <w:r>
        <w:rPr>
          <w:spacing w:val="-2"/>
          <w:sz w:val="15"/>
        </w:rPr>
        <w:t>ml</w:t>
      </w:r>
      <w:r>
        <w:rPr>
          <w:spacing w:val="8"/>
          <w:sz w:val="15"/>
        </w:rPr>
        <w:t> </w:t>
      </w:r>
      <w:r>
        <w:rPr>
          <w:spacing w:val="-2"/>
          <w:sz w:val="15"/>
        </w:rPr>
        <w:t>INH</w:t>
      </w:r>
      <w:r>
        <w:rPr>
          <w:spacing w:val="40"/>
          <w:sz w:val="15"/>
        </w:rPr>
        <w:t> </w:t>
      </w:r>
      <w:r>
        <w:rPr>
          <w:sz w:val="15"/>
        </w:rPr>
        <w:t>in</w:t>
      </w:r>
      <w:r>
        <w:rPr>
          <w:spacing w:val="-5"/>
          <w:sz w:val="15"/>
        </w:rPr>
        <w:t> </w:t>
      </w:r>
      <w:r>
        <w:rPr>
          <w:sz w:val="15"/>
        </w:rPr>
        <w:t>Methanol</w:t>
      </w:r>
    </w:p>
    <w:p>
      <w:pPr>
        <w:spacing w:before="97"/>
        <w:ind w:left="0" w:right="277" w:firstLine="0"/>
        <w:jc w:val="right"/>
        <w:rPr>
          <w:rFonts w:ascii="Arial MT"/>
          <w:sz w:val="12"/>
        </w:rPr>
      </w:pPr>
      <w:r>
        <w:rPr/>
        <w:br w:type="column"/>
      </w:r>
      <w:r>
        <w:rPr>
          <w:rFonts w:ascii="Arial MT"/>
          <w:spacing w:val="-10"/>
          <w:sz w:val="12"/>
        </w:rPr>
        <w:t>N</w:t>
      </w:r>
    </w:p>
    <w:p>
      <w:pPr>
        <w:spacing w:before="9"/>
        <w:ind w:left="1201" w:right="0" w:firstLine="0"/>
        <w:jc w:val="left"/>
        <w:rPr>
          <w:sz w:val="15"/>
        </w:rPr>
      </w:pPr>
      <w:r>
        <w:rPr>
          <w:w w:val="90"/>
          <w:sz w:val="15"/>
        </w:rPr>
        <w:t>Diazomium</w:t>
      </w:r>
      <w:r>
        <w:rPr>
          <w:spacing w:val="22"/>
          <w:sz w:val="15"/>
        </w:rPr>
        <w:t> </w:t>
      </w:r>
      <w:r>
        <w:rPr>
          <w:spacing w:val="-6"/>
          <w:sz w:val="15"/>
        </w:rPr>
        <w:t>ion</w:t>
      </w:r>
    </w:p>
    <w:p>
      <w:pPr>
        <w:spacing w:line="240" w:lineRule="auto" w:before="0"/>
        <w:rPr>
          <w:sz w:val="12"/>
        </w:rPr>
      </w:pPr>
      <w:r>
        <w:rPr/>
        <w:br w:type="column"/>
      </w:r>
      <w:r>
        <w:rPr>
          <w:sz w:val="12"/>
        </w:rPr>
      </w:r>
    </w:p>
    <w:p>
      <w:pPr>
        <w:pStyle w:val="BodyText"/>
        <w:rPr>
          <w:sz w:val="12"/>
        </w:rPr>
      </w:pPr>
    </w:p>
    <w:p>
      <w:pPr>
        <w:pStyle w:val="BodyText"/>
        <w:rPr>
          <w:sz w:val="12"/>
        </w:rPr>
      </w:pPr>
    </w:p>
    <w:p>
      <w:pPr>
        <w:pStyle w:val="BodyText"/>
        <w:spacing w:before="17"/>
        <w:rPr>
          <w:sz w:val="12"/>
        </w:rPr>
      </w:pPr>
    </w:p>
    <w:p>
      <w:pPr>
        <w:spacing w:before="0"/>
        <w:ind w:left="719" w:right="0" w:firstLine="0"/>
        <w:jc w:val="left"/>
        <w:rPr>
          <w:rFonts w:ascii="Arial MT"/>
          <w:sz w:val="12"/>
        </w:rPr>
      </w:pPr>
      <w:r>
        <w:rPr>
          <w:rFonts w:ascii="Arial MT"/>
          <w:spacing w:val="-5"/>
          <w:sz w:val="12"/>
        </w:rPr>
        <w:t>CH</w:t>
      </w:r>
      <w:r>
        <w:rPr>
          <w:rFonts w:ascii="Arial MT"/>
          <w:spacing w:val="-5"/>
          <w:sz w:val="12"/>
          <w:vertAlign w:val="subscript"/>
        </w:rPr>
        <w:t>3</w:t>
      </w:r>
    </w:p>
    <w:p>
      <w:pPr>
        <w:pStyle w:val="BodyText"/>
        <w:spacing w:before="69"/>
        <w:rPr>
          <w:rFonts w:ascii="Arial MT"/>
          <w:sz w:val="12"/>
        </w:rPr>
      </w:pPr>
    </w:p>
    <w:p>
      <w:pPr>
        <w:spacing w:before="0"/>
        <w:ind w:left="80" w:right="0" w:firstLine="0"/>
        <w:jc w:val="left"/>
        <w:rPr>
          <w:sz w:val="15"/>
        </w:rPr>
      </w:pPr>
      <w:r>
        <w:rPr>
          <w:sz w:val="15"/>
        </w:rPr>
        <w:t>2</w:t>
      </w:r>
      <w:r>
        <w:rPr>
          <w:spacing w:val="-8"/>
          <w:sz w:val="15"/>
        </w:rPr>
        <w:t> </w:t>
      </w:r>
      <w:r>
        <w:rPr>
          <w:sz w:val="15"/>
        </w:rPr>
        <w:t>ml</w:t>
      </w:r>
      <w:r>
        <w:rPr>
          <w:spacing w:val="-8"/>
          <w:sz w:val="15"/>
        </w:rPr>
        <w:t> </w:t>
      </w:r>
      <w:r>
        <w:rPr>
          <w:sz w:val="15"/>
        </w:rPr>
        <w:t>of</w:t>
      </w:r>
      <w:r>
        <w:rPr>
          <w:spacing w:val="49"/>
          <w:sz w:val="15"/>
        </w:rPr>
        <w:t> </w:t>
      </w:r>
      <w:r>
        <w:rPr>
          <w:sz w:val="15"/>
        </w:rPr>
        <w:t>P-</w:t>
      </w:r>
      <w:r>
        <w:rPr>
          <w:spacing w:val="-2"/>
          <w:sz w:val="15"/>
        </w:rPr>
        <w:t>Toluidine</w:t>
      </w:r>
    </w:p>
    <w:p>
      <w:pPr>
        <w:spacing w:line="240" w:lineRule="auto" w:before="0"/>
        <w:rPr>
          <w:sz w:val="12"/>
        </w:rPr>
      </w:pPr>
      <w:r>
        <w:rPr/>
        <w:br w:type="column"/>
      </w:r>
      <w:r>
        <w:rPr>
          <w:sz w:val="12"/>
        </w:rPr>
      </w:r>
    </w:p>
    <w:p>
      <w:pPr>
        <w:pStyle w:val="BodyText"/>
        <w:rPr>
          <w:sz w:val="12"/>
        </w:rPr>
      </w:pPr>
    </w:p>
    <w:p>
      <w:pPr>
        <w:pStyle w:val="BodyText"/>
        <w:spacing w:before="120"/>
        <w:rPr>
          <w:sz w:val="12"/>
        </w:rPr>
      </w:pPr>
    </w:p>
    <w:p>
      <w:pPr>
        <w:spacing w:before="1"/>
        <w:ind w:left="1201" w:right="0" w:firstLine="0"/>
        <w:jc w:val="left"/>
        <w:rPr>
          <w:rFonts w:ascii="Arial MT"/>
          <w:sz w:val="12"/>
        </w:rPr>
      </w:pPr>
      <w:r>
        <w:rPr>
          <w:rFonts w:ascii="Arial MT"/>
          <w:spacing w:val="-10"/>
          <w:sz w:val="12"/>
        </w:rPr>
        <w:t>N</w:t>
      </w:r>
    </w:p>
    <w:p>
      <w:pPr>
        <w:spacing w:before="89"/>
        <w:ind w:left="1475" w:right="0" w:firstLine="0"/>
        <w:jc w:val="left"/>
        <w:rPr>
          <w:sz w:val="15"/>
        </w:rPr>
      </w:pPr>
      <w:r>
        <w:rPr>
          <w:w w:val="90"/>
          <w:sz w:val="15"/>
        </w:rPr>
        <w:t>Yellow</w:t>
      </w:r>
      <w:r>
        <w:rPr>
          <w:spacing w:val="15"/>
          <w:sz w:val="15"/>
        </w:rPr>
        <w:t> </w:t>
      </w:r>
      <w:r>
        <w:rPr>
          <w:spacing w:val="-2"/>
          <w:w w:val="95"/>
          <w:sz w:val="15"/>
        </w:rPr>
        <w:t>Chromagen</w:t>
      </w:r>
    </w:p>
    <w:p>
      <w:pPr>
        <w:spacing w:after="0"/>
        <w:jc w:val="left"/>
        <w:rPr>
          <w:sz w:val="15"/>
        </w:rPr>
        <w:sectPr>
          <w:type w:val="continuous"/>
          <w:pgSz w:w="12240" w:h="15840"/>
          <w:pgMar w:header="0" w:footer="1015" w:top="1360" w:bottom="1200" w:left="240" w:right="0"/>
          <w:cols w:num="4" w:equalWidth="0">
            <w:col w:w="3036" w:space="184"/>
            <w:col w:w="2085" w:space="39"/>
            <w:col w:w="1315" w:space="82"/>
            <w:col w:w="5259"/>
          </w:cols>
        </w:sectPr>
      </w:pPr>
    </w:p>
    <w:p>
      <w:pPr>
        <w:pStyle w:val="BodyText"/>
        <w:spacing w:before="193"/>
      </w:pPr>
    </w:p>
    <w:p>
      <w:pPr>
        <w:spacing w:before="0"/>
        <w:ind w:left="1200" w:right="0" w:firstLine="0"/>
        <w:jc w:val="left"/>
        <w:rPr>
          <w:sz w:val="24"/>
        </w:rPr>
      </w:pPr>
      <w:r>
        <w:rPr>
          <w:b/>
          <w:sz w:val="24"/>
        </w:rPr>
        <w:t>…….</w:t>
      </w:r>
      <w:r>
        <w:rPr>
          <w:b/>
          <w:spacing w:val="-4"/>
          <w:sz w:val="24"/>
        </w:rPr>
        <w:t> </w:t>
      </w:r>
      <w:r>
        <w:rPr>
          <w:sz w:val="24"/>
        </w:rPr>
        <w:t>Equation</w:t>
      </w:r>
      <w:r>
        <w:rPr>
          <w:spacing w:val="-1"/>
          <w:sz w:val="24"/>
        </w:rPr>
        <w:t> </w:t>
      </w:r>
      <w:r>
        <w:rPr>
          <w:spacing w:val="-5"/>
          <w:sz w:val="24"/>
        </w:rPr>
        <w:t>3.2</w:t>
      </w:r>
    </w:p>
    <w:p>
      <w:pPr>
        <w:pStyle w:val="BodyText"/>
      </w:pPr>
    </w:p>
    <w:p>
      <w:pPr>
        <w:pStyle w:val="BodyText"/>
        <w:spacing w:before="199"/>
      </w:pPr>
    </w:p>
    <w:p>
      <w:pPr>
        <w:pStyle w:val="ListParagraph"/>
        <w:numPr>
          <w:ilvl w:val="3"/>
          <w:numId w:val="12"/>
        </w:numPr>
        <w:tabs>
          <w:tab w:pos="1919" w:val="left" w:leader="none"/>
        </w:tabs>
        <w:spacing w:line="240" w:lineRule="auto" w:before="0" w:after="0"/>
        <w:ind w:left="1919" w:right="0" w:hanging="719"/>
        <w:jc w:val="left"/>
        <w:rPr>
          <w:i/>
          <w:sz w:val="24"/>
        </w:rPr>
      </w:pPr>
      <w:r>
        <w:rPr>
          <w:i/>
          <w:sz w:val="24"/>
        </w:rPr>
        <w:t>Determination</w:t>
      </w:r>
      <w:r>
        <w:rPr>
          <w:i/>
          <w:spacing w:val="-3"/>
          <w:sz w:val="24"/>
        </w:rPr>
        <w:t> </w:t>
      </w:r>
      <w:r>
        <w:rPr>
          <w:i/>
          <w:sz w:val="24"/>
        </w:rPr>
        <w:t>of</w:t>
      </w:r>
      <w:r>
        <w:rPr>
          <w:i/>
          <w:spacing w:val="-2"/>
          <w:sz w:val="24"/>
        </w:rPr>
        <w:t> </w:t>
      </w:r>
      <w:r>
        <w:rPr>
          <w:i/>
          <w:sz w:val="24"/>
        </w:rPr>
        <w:t>λ</w:t>
      </w:r>
      <w:r>
        <w:rPr>
          <w:i/>
          <w:spacing w:val="-2"/>
          <w:sz w:val="24"/>
        </w:rPr>
        <w:t> </w:t>
      </w:r>
      <w:r>
        <w:rPr>
          <w:i/>
          <w:spacing w:val="-5"/>
          <w:sz w:val="24"/>
        </w:rPr>
        <w:t>max</w:t>
      </w:r>
    </w:p>
    <w:p>
      <w:pPr>
        <w:pStyle w:val="BodyText"/>
        <w:rPr>
          <w:i/>
        </w:rPr>
      </w:pPr>
    </w:p>
    <w:p>
      <w:pPr>
        <w:pStyle w:val="BodyText"/>
        <w:spacing w:line="480" w:lineRule="auto"/>
        <w:ind w:left="1200" w:right="1431"/>
      </w:pPr>
      <w:r>
        <w:rPr/>
        <w:t>A portion (5 mL) of isoniazid solution 10 μg/mLin methanolwas treated with 2 mL of 2 % HCl followed by 2 mL of 1 % sodium nitrite solution (NaNO</w:t>
      </w:r>
      <w:r>
        <w:rPr>
          <w:vertAlign w:val="subscript"/>
        </w:rPr>
        <w:t>2</w:t>
      </w:r>
      <w:r>
        <w:rPr>
          <w:vertAlign w:val="baseline"/>
        </w:rPr>
        <w:t>), stirred with glass rod and allowed to stand</w:t>
      </w:r>
      <w:r>
        <w:rPr>
          <w:spacing w:val="40"/>
          <w:vertAlign w:val="baseline"/>
        </w:rPr>
        <w:t> </w:t>
      </w:r>
      <w:r>
        <w:rPr>
          <w:vertAlign w:val="baseline"/>
        </w:rPr>
        <w:t>for</w:t>
      </w:r>
      <w:r>
        <w:rPr>
          <w:spacing w:val="40"/>
          <w:vertAlign w:val="baseline"/>
        </w:rPr>
        <w:t> </w:t>
      </w:r>
      <w:r>
        <w:rPr>
          <w:vertAlign w:val="baseline"/>
        </w:rPr>
        <w:t>5</w:t>
      </w:r>
      <w:r>
        <w:rPr>
          <w:spacing w:val="40"/>
          <w:vertAlign w:val="baseline"/>
        </w:rPr>
        <w:t> </w:t>
      </w:r>
      <w:r>
        <w:rPr>
          <w:vertAlign w:val="baseline"/>
        </w:rPr>
        <w:t>minutes.</w:t>
      </w:r>
      <w:r>
        <w:rPr>
          <w:spacing w:val="40"/>
          <w:vertAlign w:val="baseline"/>
        </w:rPr>
        <w:t> </w:t>
      </w:r>
      <w:r>
        <w:rPr>
          <w:vertAlign w:val="baseline"/>
        </w:rPr>
        <w:t>Thereafter</w:t>
      </w:r>
      <w:r>
        <w:rPr>
          <w:spacing w:val="40"/>
          <w:vertAlign w:val="baseline"/>
        </w:rPr>
        <w:t> </w:t>
      </w:r>
      <w:r>
        <w:rPr>
          <w:vertAlign w:val="baseline"/>
        </w:rPr>
        <w:t>3</w:t>
      </w:r>
      <w:r>
        <w:rPr>
          <w:spacing w:val="40"/>
          <w:vertAlign w:val="baseline"/>
        </w:rPr>
        <w:t> </w:t>
      </w:r>
      <w:r>
        <w:rPr>
          <w:vertAlign w:val="baseline"/>
        </w:rPr>
        <w:t>mL</w:t>
      </w:r>
      <w:r>
        <w:rPr>
          <w:spacing w:val="40"/>
          <w:vertAlign w:val="baseline"/>
        </w:rPr>
        <w:t> </w:t>
      </w:r>
      <w:r>
        <w:rPr>
          <w:vertAlign w:val="baseline"/>
        </w:rPr>
        <w:t>of</w:t>
      </w:r>
      <w:r>
        <w:rPr>
          <w:spacing w:val="40"/>
          <w:vertAlign w:val="baseline"/>
        </w:rPr>
        <w:t> </w:t>
      </w:r>
      <w:r>
        <w:rPr>
          <w:vertAlign w:val="baseline"/>
        </w:rPr>
        <w:t>2</w:t>
      </w:r>
      <w:r>
        <w:rPr>
          <w:spacing w:val="40"/>
          <w:vertAlign w:val="baseline"/>
        </w:rPr>
        <w:t> </w:t>
      </w:r>
      <w:r>
        <w:rPr>
          <w:vertAlign w:val="baseline"/>
        </w:rPr>
        <w:t>%w/v</w:t>
      </w:r>
      <w:r>
        <w:rPr>
          <w:spacing w:val="40"/>
          <w:vertAlign w:val="baseline"/>
        </w:rPr>
        <w:t> </w:t>
      </w:r>
      <w:r>
        <w:rPr>
          <w:vertAlign w:val="baseline"/>
        </w:rPr>
        <w:t>sulfamic</w:t>
      </w:r>
      <w:r>
        <w:rPr>
          <w:spacing w:val="40"/>
          <w:vertAlign w:val="baseline"/>
        </w:rPr>
        <w:t> </w:t>
      </w:r>
      <w:r>
        <w:rPr>
          <w:vertAlign w:val="baseline"/>
        </w:rPr>
        <w:t>acid</w:t>
      </w:r>
      <w:r>
        <w:rPr>
          <w:spacing w:val="40"/>
          <w:vertAlign w:val="baseline"/>
        </w:rPr>
        <w:t> </w:t>
      </w:r>
      <w:r>
        <w:rPr>
          <w:vertAlign w:val="baseline"/>
        </w:rPr>
        <w:t>was</w:t>
      </w:r>
      <w:r>
        <w:rPr>
          <w:spacing w:val="40"/>
          <w:vertAlign w:val="baseline"/>
        </w:rPr>
        <w:t> </w:t>
      </w:r>
      <w:r>
        <w:rPr>
          <w:vertAlign w:val="baseline"/>
        </w:rPr>
        <w:t>added,</w:t>
      </w:r>
      <w:r>
        <w:rPr>
          <w:spacing w:val="40"/>
          <w:vertAlign w:val="baseline"/>
        </w:rPr>
        <w:t> </w:t>
      </w:r>
      <w:r>
        <w:rPr>
          <w:vertAlign w:val="baseline"/>
        </w:rPr>
        <w:t>stirred</w:t>
      </w:r>
      <w:r>
        <w:rPr>
          <w:spacing w:val="40"/>
          <w:vertAlign w:val="baseline"/>
        </w:rPr>
        <w:t> </w:t>
      </w:r>
      <w:r>
        <w:rPr>
          <w:vertAlign w:val="baseline"/>
        </w:rPr>
        <w:t>and</w:t>
      </w:r>
      <w:r>
        <w:rPr>
          <w:spacing w:val="40"/>
          <w:vertAlign w:val="baseline"/>
        </w:rPr>
        <w:t> </w:t>
      </w:r>
      <w:r>
        <w:rPr>
          <w:vertAlign w:val="baseline"/>
        </w:rPr>
        <w:t>also allowed</w:t>
      </w:r>
      <w:r>
        <w:rPr>
          <w:spacing w:val="40"/>
          <w:vertAlign w:val="baseline"/>
        </w:rPr>
        <w:t> </w:t>
      </w:r>
      <w:r>
        <w:rPr>
          <w:vertAlign w:val="baseline"/>
        </w:rPr>
        <w:t>to</w:t>
      </w:r>
      <w:r>
        <w:rPr>
          <w:spacing w:val="40"/>
          <w:vertAlign w:val="baseline"/>
        </w:rPr>
        <w:t> </w:t>
      </w:r>
      <w:r>
        <w:rPr>
          <w:vertAlign w:val="baseline"/>
        </w:rPr>
        <w:t>stand</w:t>
      </w:r>
      <w:r>
        <w:rPr>
          <w:spacing w:val="40"/>
          <w:vertAlign w:val="baseline"/>
        </w:rPr>
        <w:t> </w:t>
      </w:r>
      <w:r>
        <w:rPr>
          <w:vertAlign w:val="baseline"/>
        </w:rPr>
        <w:t>for</w:t>
      </w:r>
      <w:r>
        <w:rPr>
          <w:spacing w:val="40"/>
          <w:vertAlign w:val="baseline"/>
        </w:rPr>
        <w:t> </w:t>
      </w:r>
      <w:r>
        <w:rPr>
          <w:vertAlign w:val="baseline"/>
        </w:rPr>
        <w:t>5</w:t>
      </w:r>
      <w:r>
        <w:rPr>
          <w:spacing w:val="40"/>
          <w:vertAlign w:val="baseline"/>
        </w:rPr>
        <w:t> </w:t>
      </w:r>
      <w:r>
        <w:rPr>
          <w:vertAlign w:val="baseline"/>
        </w:rPr>
        <w:t>minutes</w:t>
      </w:r>
      <w:r>
        <w:rPr>
          <w:spacing w:val="40"/>
          <w:vertAlign w:val="baseline"/>
        </w:rPr>
        <w:t> </w:t>
      </w:r>
      <w:r>
        <w:rPr>
          <w:vertAlign w:val="baseline"/>
        </w:rPr>
        <w:t>to</w:t>
      </w:r>
      <w:r>
        <w:rPr>
          <w:spacing w:val="40"/>
          <w:vertAlign w:val="baseline"/>
        </w:rPr>
        <w:t> </w:t>
      </w:r>
      <w:r>
        <w:rPr>
          <w:vertAlign w:val="baseline"/>
        </w:rPr>
        <w:t>distribute</w:t>
      </w:r>
      <w:r>
        <w:rPr>
          <w:spacing w:val="40"/>
          <w:vertAlign w:val="baseline"/>
        </w:rPr>
        <w:t> </w:t>
      </w:r>
      <w:r>
        <w:rPr>
          <w:vertAlign w:val="baseline"/>
        </w:rPr>
        <w:t>the</w:t>
      </w:r>
      <w:r>
        <w:rPr>
          <w:spacing w:val="40"/>
          <w:vertAlign w:val="baseline"/>
        </w:rPr>
        <w:t> </w:t>
      </w:r>
      <w:r>
        <w:rPr>
          <w:vertAlign w:val="baseline"/>
        </w:rPr>
        <w:t>residual</w:t>
      </w:r>
      <w:r>
        <w:rPr>
          <w:spacing w:val="40"/>
          <w:vertAlign w:val="baseline"/>
        </w:rPr>
        <w:t> </w:t>
      </w:r>
      <w:r>
        <w:rPr>
          <w:vertAlign w:val="baseline"/>
        </w:rPr>
        <w:t>sodium</w:t>
      </w:r>
      <w:r>
        <w:rPr>
          <w:spacing w:val="40"/>
          <w:vertAlign w:val="baseline"/>
        </w:rPr>
        <w:t> </w:t>
      </w:r>
      <w:r>
        <w:rPr>
          <w:vertAlign w:val="baseline"/>
        </w:rPr>
        <w:t>nitrite.</w:t>
      </w:r>
      <w:r>
        <w:rPr>
          <w:spacing w:val="40"/>
          <w:vertAlign w:val="baseline"/>
        </w:rPr>
        <w:t> </w:t>
      </w:r>
      <w:r>
        <w:rPr>
          <w:vertAlign w:val="baseline"/>
        </w:rPr>
        <w:t>Finally2</w:t>
      </w:r>
      <w:r>
        <w:rPr>
          <w:spacing w:val="40"/>
          <w:vertAlign w:val="baseline"/>
        </w:rPr>
        <w:t> </w:t>
      </w:r>
      <w:r>
        <w:rPr>
          <w:vertAlign w:val="baseline"/>
        </w:rPr>
        <w:t>mL</w:t>
      </w:r>
      <w:r>
        <w:rPr>
          <w:spacing w:val="40"/>
          <w:vertAlign w:val="baseline"/>
        </w:rPr>
        <w:t> </w:t>
      </w:r>
      <w:r>
        <w:rPr>
          <w:vertAlign w:val="baseline"/>
        </w:rPr>
        <w:t>of</w:t>
      </w:r>
      <w:r>
        <w:rPr>
          <w:spacing w:val="40"/>
          <w:vertAlign w:val="baseline"/>
        </w:rPr>
        <w:t> </w:t>
      </w:r>
      <w:r>
        <w:rPr>
          <w:vertAlign w:val="baseline"/>
        </w:rPr>
        <w:t>p- toluidine solution was added and heated for 10 min. Theyellow colouredchromagen formed was allowed to stand for complete colour development then scanned through wavelength range 400– 750</w:t>
      </w:r>
      <w:r>
        <w:rPr>
          <w:spacing w:val="66"/>
          <w:w w:val="150"/>
          <w:vertAlign w:val="baseline"/>
        </w:rPr>
        <w:t> </w:t>
      </w:r>
      <w:r>
        <w:rPr>
          <w:vertAlign w:val="baseline"/>
        </w:rPr>
        <w:t>nm</w:t>
      </w:r>
      <w:r>
        <w:rPr>
          <w:spacing w:val="67"/>
          <w:w w:val="150"/>
          <w:vertAlign w:val="baseline"/>
        </w:rPr>
        <w:t> </w:t>
      </w:r>
      <w:r>
        <w:rPr>
          <w:vertAlign w:val="baseline"/>
        </w:rPr>
        <w:t>against</w:t>
      </w:r>
      <w:r>
        <w:rPr>
          <w:spacing w:val="67"/>
          <w:w w:val="150"/>
          <w:vertAlign w:val="baseline"/>
        </w:rPr>
        <w:t> </w:t>
      </w:r>
      <w:r>
        <w:rPr>
          <w:vertAlign w:val="baseline"/>
        </w:rPr>
        <w:t>reagent</w:t>
      </w:r>
      <w:r>
        <w:rPr>
          <w:spacing w:val="66"/>
          <w:w w:val="150"/>
          <w:vertAlign w:val="baseline"/>
        </w:rPr>
        <w:t> </w:t>
      </w:r>
      <w:r>
        <w:rPr>
          <w:vertAlign w:val="baseline"/>
        </w:rPr>
        <w:t>blank</w:t>
      </w:r>
      <w:r>
        <w:rPr>
          <w:spacing w:val="68"/>
          <w:w w:val="150"/>
          <w:vertAlign w:val="baseline"/>
        </w:rPr>
        <w:t> </w:t>
      </w:r>
      <w:r>
        <w:rPr>
          <w:vertAlign w:val="baseline"/>
        </w:rPr>
        <w:t>(containing</w:t>
      </w:r>
      <w:r>
        <w:rPr>
          <w:spacing w:val="64"/>
          <w:w w:val="150"/>
          <w:vertAlign w:val="baseline"/>
        </w:rPr>
        <w:t> </w:t>
      </w:r>
      <w:r>
        <w:rPr>
          <w:vertAlign w:val="baseline"/>
        </w:rPr>
        <w:t>5</w:t>
      </w:r>
      <w:r>
        <w:rPr>
          <w:spacing w:val="68"/>
          <w:w w:val="150"/>
          <w:vertAlign w:val="baseline"/>
        </w:rPr>
        <w:t> </w:t>
      </w:r>
      <w:r>
        <w:rPr>
          <w:vertAlign w:val="baseline"/>
        </w:rPr>
        <w:t>mL</w:t>
      </w:r>
      <w:r>
        <w:rPr>
          <w:spacing w:val="64"/>
          <w:w w:val="150"/>
          <w:vertAlign w:val="baseline"/>
        </w:rPr>
        <w:t> </w:t>
      </w:r>
      <w:r>
        <w:rPr>
          <w:vertAlign w:val="baseline"/>
        </w:rPr>
        <w:t>methanol,</w:t>
      </w:r>
      <w:r>
        <w:rPr>
          <w:spacing w:val="66"/>
          <w:w w:val="150"/>
          <w:vertAlign w:val="baseline"/>
        </w:rPr>
        <w:t> </w:t>
      </w:r>
      <w:r>
        <w:rPr>
          <w:vertAlign w:val="baseline"/>
        </w:rPr>
        <w:t>2</w:t>
      </w:r>
      <w:r>
        <w:rPr>
          <w:spacing w:val="66"/>
          <w:w w:val="150"/>
          <w:vertAlign w:val="baseline"/>
        </w:rPr>
        <w:t> </w:t>
      </w:r>
      <w:r>
        <w:rPr>
          <w:vertAlign w:val="baseline"/>
        </w:rPr>
        <w:t>mL2</w:t>
      </w:r>
      <w:r>
        <w:rPr>
          <w:spacing w:val="66"/>
          <w:w w:val="150"/>
          <w:vertAlign w:val="baseline"/>
        </w:rPr>
        <w:t> </w:t>
      </w:r>
      <w:r>
        <w:rPr>
          <w:vertAlign w:val="baseline"/>
        </w:rPr>
        <w:t>%</w:t>
      </w:r>
      <w:r>
        <w:rPr>
          <w:spacing w:val="66"/>
          <w:w w:val="150"/>
          <w:vertAlign w:val="baseline"/>
        </w:rPr>
        <w:t> </w:t>
      </w:r>
      <w:r>
        <w:rPr>
          <w:vertAlign w:val="baseline"/>
        </w:rPr>
        <w:t>HCl,</w:t>
      </w:r>
      <w:r>
        <w:rPr>
          <w:spacing w:val="66"/>
          <w:w w:val="150"/>
          <w:vertAlign w:val="baseline"/>
        </w:rPr>
        <w:t> </w:t>
      </w:r>
      <w:r>
        <w:rPr>
          <w:vertAlign w:val="baseline"/>
        </w:rPr>
        <w:t>2</w:t>
      </w:r>
      <w:r>
        <w:rPr>
          <w:spacing w:val="66"/>
          <w:w w:val="150"/>
          <w:vertAlign w:val="baseline"/>
        </w:rPr>
        <w:t> </w:t>
      </w:r>
      <w:r>
        <w:rPr>
          <w:vertAlign w:val="baseline"/>
        </w:rPr>
        <w:t>mL</w:t>
      </w:r>
      <w:r>
        <w:rPr>
          <w:spacing w:val="66"/>
          <w:w w:val="150"/>
          <w:vertAlign w:val="baseline"/>
        </w:rPr>
        <w:t> </w:t>
      </w:r>
      <w:r>
        <w:rPr>
          <w:vertAlign w:val="baseline"/>
        </w:rPr>
        <w:t>of 1 % sodium nitrite, 3 mL of 2 % sulfamic acid 2 mL</w:t>
      </w:r>
      <w:r>
        <w:rPr>
          <w:spacing w:val="-1"/>
          <w:vertAlign w:val="baseline"/>
        </w:rPr>
        <w:t> </w:t>
      </w:r>
      <w:r>
        <w:rPr>
          <w:vertAlign w:val="baseline"/>
        </w:rPr>
        <w:t>of p-toluidine) on the UV spectrometer and the λ max recorded.</w:t>
      </w:r>
    </w:p>
    <w:p>
      <w:pPr>
        <w:spacing w:after="0" w:line="480" w:lineRule="auto"/>
        <w:sectPr>
          <w:type w:val="continuous"/>
          <w:pgSz w:w="12240" w:h="15840"/>
          <w:pgMar w:header="0" w:footer="1015" w:top="1360" w:bottom="1200" w:left="240" w:right="0"/>
        </w:sectPr>
      </w:pPr>
    </w:p>
    <w:p>
      <w:pPr>
        <w:pStyle w:val="ListParagraph"/>
        <w:numPr>
          <w:ilvl w:val="3"/>
          <w:numId w:val="12"/>
        </w:numPr>
        <w:tabs>
          <w:tab w:pos="1920" w:val="left" w:leader="none"/>
        </w:tabs>
        <w:spacing w:line="240" w:lineRule="auto" w:before="74" w:after="0"/>
        <w:ind w:left="1920" w:right="0" w:hanging="720"/>
        <w:jc w:val="left"/>
        <w:rPr>
          <w:i/>
          <w:sz w:val="24"/>
        </w:rPr>
      </w:pPr>
      <w:r>
        <w:rPr>
          <w:i/>
          <w:sz w:val="24"/>
        </w:rPr>
        <w:t>Optimization</w:t>
      </w:r>
      <w:r>
        <w:rPr>
          <w:i/>
          <w:spacing w:val="-1"/>
          <w:sz w:val="24"/>
        </w:rPr>
        <w:t> </w:t>
      </w:r>
      <w:r>
        <w:rPr>
          <w:i/>
          <w:sz w:val="24"/>
        </w:rPr>
        <w:t>of analytical</w:t>
      </w:r>
      <w:r>
        <w:rPr>
          <w:i/>
          <w:spacing w:val="-1"/>
          <w:sz w:val="24"/>
        </w:rPr>
        <w:t> </w:t>
      </w:r>
      <w:r>
        <w:rPr>
          <w:i/>
          <w:sz w:val="24"/>
        </w:rPr>
        <w:t>working </w:t>
      </w:r>
      <w:r>
        <w:rPr>
          <w:i/>
          <w:spacing w:val="-2"/>
          <w:sz w:val="24"/>
        </w:rPr>
        <w:t>conditions.</w:t>
      </w:r>
    </w:p>
    <w:p>
      <w:pPr>
        <w:pStyle w:val="BodyText"/>
        <w:spacing w:before="238"/>
        <w:rPr>
          <w:i/>
        </w:rPr>
      </w:pPr>
    </w:p>
    <w:p>
      <w:pPr>
        <w:spacing w:before="0"/>
        <w:ind w:left="1200" w:right="0" w:firstLine="0"/>
        <w:jc w:val="both"/>
        <w:rPr>
          <w:i/>
          <w:sz w:val="24"/>
        </w:rPr>
      </w:pPr>
      <w:r>
        <w:rPr>
          <w:i/>
          <w:sz w:val="24"/>
        </w:rPr>
        <w:t>Determination</w:t>
      </w:r>
      <w:r>
        <w:rPr>
          <w:i/>
          <w:spacing w:val="-4"/>
          <w:sz w:val="24"/>
        </w:rPr>
        <w:t> </w:t>
      </w:r>
      <w:r>
        <w:rPr>
          <w:i/>
          <w:sz w:val="24"/>
        </w:rPr>
        <w:t>of</w:t>
      </w:r>
      <w:r>
        <w:rPr>
          <w:i/>
          <w:spacing w:val="-1"/>
          <w:sz w:val="24"/>
        </w:rPr>
        <w:t> </w:t>
      </w:r>
      <w:r>
        <w:rPr>
          <w:i/>
          <w:sz w:val="24"/>
        </w:rPr>
        <w:t>effective</w:t>
      </w:r>
      <w:r>
        <w:rPr>
          <w:i/>
          <w:spacing w:val="-1"/>
          <w:sz w:val="24"/>
        </w:rPr>
        <w:t> </w:t>
      </w:r>
      <w:r>
        <w:rPr>
          <w:i/>
          <w:sz w:val="24"/>
        </w:rPr>
        <w:t>concentration</w:t>
      </w:r>
      <w:r>
        <w:rPr>
          <w:i/>
          <w:spacing w:val="-1"/>
          <w:sz w:val="24"/>
        </w:rPr>
        <w:t> </w:t>
      </w:r>
      <w:r>
        <w:rPr>
          <w:i/>
          <w:sz w:val="24"/>
        </w:rPr>
        <w:t>of</w:t>
      </w:r>
      <w:r>
        <w:rPr>
          <w:i/>
          <w:spacing w:val="-2"/>
          <w:sz w:val="24"/>
        </w:rPr>
        <w:t> </w:t>
      </w:r>
      <w:r>
        <w:rPr>
          <w:i/>
          <w:sz w:val="24"/>
        </w:rPr>
        <w:t>the</w:t>
      </w:r>
      <w:r>
        <w:rPr>
          <w:i/>
          <w:spacing w:val="-1"/>
          <w:sz w:val="24"/>
        </w:rPr>
        <w:t> </w:t>
      </w:r>
      <w:r>
        <w:rPr>
          <w:i/>
          <w:sz w:val="24"/>
        </w:rPr>
        <w:t>reagent</w:t>
      </w:r>
      <w:r>
        <w:rPr>
          <w:i/>
          <w:spacing w:val="-1"/>
          <w:sz w:val="24"/>
        </w:rPr>
        <w:t> </w:t>
      </w:r>
      <w:r>
        <w:rPr>
          <w:i/>
          <w:sz w:val="24"/>
        </w:rPr>
        <w:t>p-toluidine</w:t>
      </w:r>
      <w:r>
        <w:rPr>
          <w:i/>
          <w:spacing w:val="-2"/>
          <w:sz w:val="24"/>
        </w:rPr>
        <w:t> </w:t>
      </w:r>
      <w:r>
        <w:rPr>
          <w:i/>
          <w:sz w:val="24"/>
        </w:rPr>
        <w:t>(1-20</w:t>
      </w:r>
      <w:r>
        <w:rPr>
          <w:i/>
          <w:spacing w:val="-1"/>
          <w:sz w:val="24"/>
        </w:rPr>
        <w:t> </w:t>
      </w:r>
      <w:r>
        <w:rPr>
          <w:i/>
          <w:spacing w:val="-2"/>
          <w:sz w:val="24"/>
        </w:rPr>
        <w:t>µg/mL)</w:t>
      </w:r>
    </w:p>
    <w:p>
      <w:pPr>
        <w:pStyle w:val="BodyText"/>
        <w:spacing w:before="240"/>
        <w:rPr>
          <w:i/>
        </w:rPr>
      </w:pPr>
    </w:p>
    <w:p>
      <w:pPr>
        <w:pStyle w:val="BodyText"/>
        <w:spacing w:line="480" w:lineRule="auto"/>
        <w:ind w:left="1200" w:right="1433"/>
        <w:jc w:val="both"/>
      </w:pPr>
      <w:r>
        <w:rPr/>
        <w:t>Different concentrations (1-20 µg/mL) of p-toluidine (2 mL each) were added to separate 5 mL solutions of isoniazid (10 µg/mL) in methanol in twenty different flasks and treated as described earlier to form yellow-colouredchromagen. Absorbances were recorded at the fixed λ max to determine the effective concentration.</w:t>
      </w:r>
    </w:p>
    <w:p>
      <w:pPr>
        <w:spacing w:before="241"/>
        <w:ind w:left="1200" w:right="0" w:firstLine="0"/>
        <w:jc w:val="both"/>
        <w:rPr>
          <w:i/>
          <w:sz w:val="24"/>
        </w:rPr>
      </w:pPr>
      <w:r>
        <w:rPr>
          <w:i/>
          <w:sz w:val="24"/>
        </w:rPr>
        <w:t>Determination</w:t>
      </w:r>
      <w:r>
        <w:rPr>
          <w:i/>
          <w:spacing w:val="-1"/>
          <w:sz w:val="24"/>
        </w:rPr>
        <w:t> </w:t>
      </w:r>
      <w:r>
        <w:rPr>
          <w:i/>
          <w:sz w:val="24"/>
        </w:rPr>
        <w:t>of</w:t>
      </w:r>
      <w:r>
        <w:rPr>
          <w:i/>
          <w:spacing w:val="-1"/>
          <w:sz w:val="24"/>
        </w:rPr>
        <w:t> </w:t>
      </w:r>
      <w:r>
        <w:rPr>
          <w:i/>
          <w:sz w:val="24"/>
        </w:rPr>
        <w:t>effective</w:t>
      </w:r>
      <w:r>
        <w:rPr>
          <w:i/>
          <w:spacing w:val="-1"/>
          <w:sz w:val="24"/>
        </w:rPr>
        <w:t> </w:t>
      </w:r>
      <w:r>
        <w:rPr>
          <w:i/>
          <w:sz w:val="24"/>
        </w:rPr>
        <w:t>volume</w:t>
      </w:r>
      <w:r>
        <w:rPr>
          <w:i/>
          <w:spacing w:val="-2"/>
          <w:sz w:val="24"/>
        </w:rPr>
        <w:t> </w:t>
      </w:r>
      <w:r>
        <w:rPr>
          <w:i/>
          <w:sz w:val="24"/>
        </w:rPr>
        <w:t>of</w:t>
      </w:r>
      <w:r>
        <w:rPr>
          <w:i/>
          <w:spacing w:val="-1"/>
          <w:sz w:val="24"/>
        </w:rPr>
        <w:t> </w:t>
      </w:r>
      <w:r>
        <w:rPr>
          <w:i/>
          <w:sz w:val="24"/>
        </w:rPr>
        <w:t>the</w:t>
      </w:r>
      <w:r>
        <w:rPr>
          <w:i/>
          <w:spacing w:val="-1"/>
          <w:sz w:val="24"/>
        </w:rPr>
        <w:t> </w:t>
      </w:r>
      <w:r>
        <w:rPr>
          <w:i/>
          <w:spacing w:val="-2"/>
          <w:sz w:val="24"/>
        </w:rPr>
        <w:t>reagent.</w:t>
      </w:r>
    </w:p>
    <w:p>
      <w:pPr>
        <w:pStyle w:val="BodyText"/>
        <w:spacing w:before="240"/>
        <w:rPr>
          <w:i/>
        </w:rPr>
      </w:pPr>
    </w:p>
    <w:p>
      <w:pPr>
        <w:pStyle w:val="BodyText"/>
        <w:spacing w:line="480" w:lineRule="auto"/>
        <w:ind w:left="1200" w:right="1436"/>
        <w:jc w:val="both"/>
      </w:pPr>
      <w:r>
        <w:rPr/>
        <w:t>Different volumes (1, 2, 3, 4 and 5 mL) of p-toluidine at effective concentration were coupled with 10 µg/mL isoniazid in methanol and absorbance of the yellow chromagenformed weremeasured at λ maxto determine the effective volume.</w:t>
      </w:r>
    </w:p>
    <w:p>
      <w:pPr>
        <w:spacing w:before="241"/>
        <w:ind w:left="1200" w:right="0" w:firstLine="0"/>
        <w:jc w:val="both"/>
        <w:rPr>
          <w:i/>
          <w:sz w:val="24"/>
        </w:rPr>
      </w:pPr>
      <w:r>
        <w:rPr>
          <w:i/>
          <w:sz w:val="24"/>
        </w:rPr>
        <w:t>Determination</w:t>
      </w:r>
      <w:r>
        <w:rPr>
          <w:i/>
          <w:spacing w:val="-3"/>
          <w:sz w:val="24"/>
        </w:rPr>
        <w:t> </w:t>
      </w:r>
      <w:r>
        <w:rPr>
          <w:i/>
          <w:sz w:val="24"/>
        </w:rPr>
        <w:t>of</w:t>
      </w:r>
      <w:r>
        <w:rPr>
          <w:i/>
          <w:spacing w:val="-1"/>
          <w:sz w:val="24"/>
        </w:rPr>
        <w:t> </w:t>
      </w:r>
      <w:r>
        <w:rPr>
          <w:i/>
          <w:sz w:val="24"/>
        </w:rPr>
        <w:t>effective</w:t>
      </w:r>
      <w:r>
        <w:rPr>
          <w:i/>
          <w:spacing w:val="-2"/>
          <w:sz w:val="24"/>
        </w:rPr>
        <w:t> </w:t>
      </w:r>
      <w:r>
        <w:rPr>
          <w:i/>
          <w:sz w:val="24"/>
        </w:rPr>
        <w:t>time</w:t>
      </w:r>
      <w:r>
        <w:rPr>
          <w:i/>
          <w:spacing w:val="-3"/>
          <w:sz w:val="24"/>
        </w:rPr>
        <w:t> </w:t>
      </w:r>
      <w:r>
        <w:rPr>
          <w:i/>
          <w:sz w:val="24"/>
        </w:rPr>
        <w:t>for</w:t>
      </w:r>
      <w:r>
        <w:rPr>
          <w:i/>
          <w:spacing w:val="-1"/>
          <w:sz w:val="24"/>
        </w:rPr>
        <w:t> </w:t>
      </w:r>
      <w:r>
        <w:rPr>
          <w:i/>
          <w:sz w:val="24"/>
        </w:rPr>
        <w:t>complete color</w:t>
      </w:r>
      <w:r>
        <w:rPr>
          <w:i/>
          <w:spacing w:val="-1"/>
          <w:sz w:val="24"/>
        </w:rPr>
        <w:t> </w:t>
      </w:r>
      <w:r>
        <w:rPr>
          <w:i/>
          <w:spacing w:val="-2"/>
          <w:sz w:val="24"/>
        </w:rPr>
        <w:t>development</w:t>
      </w:r>
    </w:p>
    <w:p>
      <w:pPr>
        <w:pStyle w:val="BodyText"/>
        <w:spacing w:before="239"/>
        <w:rPr>
          <w:i/>
        </w:rPr>
      </w:pPr>
    </w:p>
    <w:p>
      <w:pPr>
        <w:pStyle w:val="BodyText"/>
        <w:tabs>
          <w:tab w:pos="8312" w:val="left" w:leader="none"/>
        </w:tabs>
        <w:spacing w:line="480" w:lineRule="auto" w:before="1"/>
        <w:ind w:left="1200" w:right="1434"/>
      </w:pPr>
      <w:r>
        <w:rPr/>
        <w:t>A</w:t>
      </w:r>
      <w:r>
        <w:rPr>
          <w:spacing w:val="40"/>
        </w:rPr>
        <w:t> </w:t>
      </w:r>
      <w:r>
        <w:rPr/>
        <w:t>solution</w:t>
      </w:r>
      <w:r>
        <w:rPr>
          <w:spacing w:val="40"/>
        </w:rPr>
        <w:t> </w:t>
      </w:r>
      <w:r>
        <w:rPr/>
        <w:t>of</w:t>
      </w:r>
      <w:r>
        <w:rPr>
          <w:spacing w:val="40"/>
        </w:rPr>
        <w:t> </w:t>
      </w:r>
      <w:r>
        <w:rPr/>
        <w:t>5</w:t>
      </w:r>
      <w:r>
        <w:rPr>
          <w:spacing w:val="40"/>
        </w:rPr>
        <w:t> </w:t>
      </w:r>
      <w:r>
        <w:rPr/>
        <w:t>mL</w:t>
      </w:r>
      <w:r>
        <w:rPr>
          <w:spacing w:val="40"/>
        </w:rPr>
        <w:t> </w:t>
      </w:r>
      <w:r>
        <w:rPr/>
        <w:t>of</w:t>
      </w:r>
      <w:r>
        <w:rPr>
          <w:spacing w:val="40"/>
        </w:rPr>
        <w:t> </w:t>
      </w:r>
      <w:r>
        <w:rPr/>
        <w:t>10</w:t>
      </w:r>
      <w:r>
        <w:rPr>
          <w:spacing w:val="40"/>
        </w:rPr>
        <w:t> </w:t>
      </w:r>
      <w:r>
        <w:rPr/>
        <w:t>µg/mL</w:t>
      </w:r>
      <w:r>
        <w:rPr>
          <w:spacing w:val="40"/>
        </w:rPr>
        <w:t> </w:t>
      </w:r>
      <w:r>
        <w:rPr/>
        <w:t>isoniazid</w:t>
      </w:r>
      <w:r>
        <w:rPr>
          <w:spacing w:val="40"/>
        </w:rPr>
        <w:t> </w:t>
      </w:r>
      <w:r>
        <w:rPr/>
        <w:t>in</w:t>
      </w:r>
      <w:r>
        <w:rPr>
          <w:spacing w:val="40"/>
        </w:rPr>
        <w:t> </w:t>
      </w:r>
      <w:r>
        <w:rPr/>
        <w:t>methanol</w:t>
      </w:r>
      <w:r>
        <w:rPr>
          <w:spacing w:val="40"/>
        </w:rPr>
        <w:t> </w:t>
      </w:r>
      <w:r>
        <w:rPr/>
        <w:t>was</w:t>
      </w:r>
      <w:r>
        <w:rPr>
          <w:spacing w:val="40"/>
        </w:rPr>
        <w:t> </w:t>
      </w:r>
      <w:r>
        <w:rPr/>
        <w:t>reacted</w:t>
        <w:tab/>
        <w:t>with</w:t>
      </w:r>
      <w:r>
        <w:rPr>
          <w:spacing w:val="29"/>
        </w:rPr>
        <w:t> </w:t>
      </w:r>
      <w:r>
        <w:rPr/>
        <w:t>p-toluidine</w:t>
      </w:r>
      <w:r>
        <w:rPr>
          <w:spacing w:val="28"/>
        </w:rPr>
        <w:t> </w:t>
      </w:r>
      <w:r>
        <w:rPr/>
        <w:t>at</w:t>
      </w:r>
      <w:r>
        <w:rPr>
          <w:spacing w:val="29"/>
        </w:rPr>
        <w:t> </w:t>
      </w:r>
      <w:r>
        <w:rPr/>
        <w:t>the effective concentration and volume, the absorbance of coloured chromagen formed was</w:t>
      </w:r>
      <w:r>
        <w:rPr>
          <w:spacing w:val="40"/>
        </w:rPr>
        <w:t> </w:t>
      </w:r>
      <w:r>
        <w:rPr/>
        <w:t>measured at λ max at time intervals of 5, 10, 15, 20, 25 and 30 minutes to determine the time at which</w:t>
      </w:r>
      <w:r>
        <w:rPr>
          <w:spacing w:val="80"/>
        </w:rPr>
        <w:t> </w:t>
      </w:r>
      <w:r>
        <w:rPr/>
        <w:t>maximum</w:t>
      </w:r>
      <w:r>
        <w:rPr>
          <w:spacing w:val="80"/>
        </w:rPr>
        <w:t> </w:t>
      </w:r>
      <w:r>
        <w:rPr/>
        <w:t>absorbance</w:t>
      </w:r>
      <w:r>
        <w:rPr>
          <w:spacing w:val="80"/>
        </w:rPr>
        <w:t> </w:t>
      </w:r>
      <w:r>
        <w:rPr/>
        <w:t>is</w:t>
      </w:r>
      <w:r>
        <w:rPr>
          <w:spacing w:val="80"/>
        </w:rPr>
        <w:t> </w:t>
      </w:r>
      <w:r>
        <w:rPr/>
        <w:t>observed.</w:t>
      </w:r>
      <w:r>
        <w:rPr>
          <w:spacing w:val="80"/>
        </w:rPr>
        <w:t> </w:t>
      </w:r>
      <w:r>
        <w:rPr/>
        <w:t>This</w:t>
      </w:r>
      <w:r>
        <w:rPr>
          <w:spacing w:val="80"/>
        </w:rPr>
        <w:t> </w:t>
      </w:r>
      <w:r>
        <w:rPr/>
        <w:t>is</w:t>
      </w:r>
      <w:r>
        <w:rPr>
          <w:spacing w:val="80"/>
        </w:rPr>
        <w:t> </w:t>
      </w:r>
      <w:r>
        <w:rPr/>
        <w:t>the</w:t>
      </w:r>
      <w:r>
        <w:rPr>
          <w:spacing w:val="80"/>
        </w:rPr>
        <w:t> </w:t>
      </w:r>
      <w:r>
        <w:rPr/>
        <w:t>effective</w:t>
      </w:r>
      <w:r>
        <w:rPr>
          <w:spacing w:val="80"/>
        </w:rPr>
        <w:t> </w:t>
      </w:r>
      <w:r>
        <w:rPr/>
        <w:t>time</w:t>
      </w:r>
      <w:r>
        <w:rPr>
          <w:spacing w:val="80"/>
        </w:rPr>
        <w:t> </w:t>
      </w:r>
      <w:r>
        <w:rPr/>
        <w:t>for</w:t>
      </w:r>
      <w:r>
        <w:rPr>
          <w:spacing w:val="80"/>
        </w:rPr>
        <w:t> </w:t>
      </w:r>
      <w:r>
        <w:rPr/>
        <w:t>completecolour </w:t>
      </w:r>
      <w:r>
        <w:rPr>
          <w:spacing w:val="-2"/>
        </w:rPr>
        <w:t>development.</w:t>
      </w:r>
    </w:p>
    <w:p>
      <w:pPr>
        <w:pStyle w:val="ListParagraph"/>
        <w:numPr>
          <w:ilvl w:val="3"/>
          <w:numId w:val="12"/>
        </w:numPr>
        <w:tabs>
          <w:tab w:pos="1919" w:val="left" w:leader="none"/>
        </w:tabs>
        <w:spacing w:line="240" w:lineRule="auto" w:before="240" w:after="0"/>
        <w:ind w:left="1919" w:right="0" w:hanging="719"/>
        <w:jc w:val="left"/>
        <w:rPr>
          <w:i/>
          <w:sz w:val="24"/>
        </w:rPr>
      </w:pPr>
      <w:r>
        <w:rPr>
          <w:i/>
          <w:sz w:val="24"/>
        </w:rPr>
        <w:t>Preparation</w:t>
      </w:r>
      <w:r>
        <w:rPr>
          <w:i/>
          <w:spacing w:val="-1"/>
          <w:sz w:val="24"/>
        </w:rPr>
        <w:t> </w:t>
      </w:r>
      <w:r>
        <w:rPr>
          <w:i/>
          <w:sz w:val="24"/>
        </w:rPr>
        <w:t>of</w:t>
      </w:r>
      <w:r>
        <w:rPr>
          <w:i/>
          <w:spacing w:val="-1"/>
          <w:sz w:val="24"/>
        </w:rPr>
        <w:t> </w:t>
      </w:r>
      <w:r>
        <w:rPr>
          <w:i/>
          <w:sz w:val="24"/>
        </w:rPr>
        <w:t>calibration curve</w:t>
      </w:r>
      <w:r>
        <w:rPr>
          <w:i/>
          <w:spacing w:val="-3"/>
          <w:sz w:val="24"/>
        </w:rPr>
        <w:t> </w:t>
      </w:r>
      <w:r>
        <w:rPr>
          <w:i/>
          <w:sz w:val="24"/>
        </w:rPr>
        <w:t>for</w:t>
      </w:r>
      <w:r>
        <w:rPr>
          <w:i/>
          <w:spacing w:val="-1"/>
          <w:sz w:val="24"/>
        </w:rPr>
        <w:t> </w:t>
      </w:r>
      <w:r>
        <w:rPr>
          <w:i/>
          <w:sz w:val="24"/>
        </w:rPr>
        <w:t>colorometric</w:t>
      </w:r>
      <w:r>
        <w:rPr>
          <w:i/>
          <w:spacing w:val="-1"/>
          <w:sz w:val="24"/>
        </w:rPr>
        <w:t> </w:t>
      </w:r>
      <w:r>
        <w:rPr>
          <w:i/>
          <w:sz w:val="24"/>
        </w:rPr>
        <w:t>method</w:t>
      </w:r>
      <w:r>
        <w:rPr>
          <w:i/>
          <w:spacing w:val="-1"/>
          <w:sz w:val="24"/>
        </w:rPr>
        <w:t> </w:t>
      </w:r>
      <w:r>
        <w:rPr>
          <w:i/>
          <w:sz w:val="24"/>
        </w:rPr>
        <w:t>by</w:t>
      </w:r>
      <w:r>
        <w:rPr>
          <w:i/>
          <w:spacing w:val="-2"/>
          <w:sz w:val="24"/>
        </w:rPr>
        <w:t> </w:t>
      </w:r>
      <w:r>
        <w:rPr>
          <w:i/>
          <w:sz w:val="24"/>
        </w:rPr>
        <w:t>using</w:t>
      </w:r>
      <w:r>
        <w:rPr>
          <w:i/>
          <w:spacing w:val="3"/>
          <w:sz w:val="24"/>
        </w:rPr>
        <w:t> </w:t>
      </w:r>
      <w:r>
        <w:rPr>
          <w:i/>
          <w:spacing w:val="-2"/>
          <w:sz w:val="24"/>
        </w:rPr>
        <w:t>paraaminotoluidine</w:t>
      </w:r>
    </w:p>
    <w:p>
      <w:pPr>
        <w:pStyle w:val="BodyText"/>
        <w:spacing w:before="240"/>
        <w:rPr>
          <w:i/>
        </w:rPr>
      </w:pPr>
    </w:p>
    <w:p>
      <w:pPr>
        <w:pStyle w:val="BodyText"/>
        <w:spacing w:line="480" w:lineRule="auto"/>
        <w:ind w:left="1200" w:right="1433"/>
        <w:jc w:val="both"/>
      </w:pPr>
      <w:r>
        <w:rPr/>
        <w:t>Different solutions of isoniazid in methanol of concentrations 1, 2, 3, 4, 5, 6, 7, 8, 9, 10, 11, 12, 13, 14, 15 and 16 µg/mL were</w:t>
      </w:r>
      <w:r>
        <w:rPr>
          <w:spacing w:val="-2"/>
        </w:rPr>
        <w:t> </w:t>
      </w:r>
      <w:r>
        <w:rPr/>
        <w:t>treated with p-toluidine at the</w:t>
      </w:r>
      <w:r>
        <w:rPr>
          <w:spacing w:val="-1"/>
        </w:rPr>
        <w:t> </w:t>
      </w:r>
      <w:r>
        <w:rPr/>
        <w:t>effective concentration and volume. The</w:t>
      </w:r>
      <w:r>
        <w:rPr>
          <w:spacing w:val="57"/>
        </w:rPr>
        <w:t> </w:t>
      </w:r>
      <w:r>
        <w:rPr/>
        <w:t>yellow</w:t>
      </w:r>
      <w:r>
        <w:rPr>
          <w:spacing w:val="58"/>
        </w:rPr>
        <w:t> </w:t>
      </w:r>
      <w:r>
        <w:rPr/>
        <w:t>colouredchromagen</w:t>
      </w:r>
      <w:r>
        <w:rPr>
          <w:spacing w:val="58"/>
        </w:rPr>
        <w:t> </w:t>
      </w:r>
      <w:r>
        <w:rPr/>
        <w:t>formed</w:t>
      </w:r>
      <w:r>
        <w:rPr>
          <w:spacing w:val="58"/>
        </w:rPr>
        <w:t> </w:t>
      </w:r>
      <w:r>
        <w:rPr/>
        <w:t>were</w:t>
      </w:r>
      <w:r>
        <w:rPr>
          <w:spacing w:val="57"/>
        </w:rPr>
        <w:t> </w:t>
      </w:r>
      <w:r>
        <w:rPr/>
        <w:t>allowed</w:t>
      </w:r>
      <w:r>
        <w:rPr>
          <w:spacing w:val="58"/>
        </w:rPr>
        <w:t> </w:t>
      </w:r>
      <w:r>
        <w:rPr/>
        <w:t>to</w:t>
      </w:r>
      <w:r>
        <w:rPr>
          <w:spacing w:val="59"/>
        </w:rPr>
        <w:t> </w:t>
      </w:r>
      <w:r>
        <w:rPr/>
        <w:t>stand</w:t>
      </w:r>
      <w:r>
        <w:rPr>
          <w:spacing w:val="58"/>
        </w:rPr>
        <w:t> </w:t>
      </w:r>
      <w:r>
        <w:rPr/>
        <w:t>up</w:t>
      </w:r>
      <w:r>
        <w:rPr>
          <w:spacing w:val="58"/>
        </w:rPr>
        <w:t> </w:t>
      </w:r>
      <w:r>
        <w:rPr/>
        <w:t>to</w:t>
      </w:r>
      <w:r>
        <w:rPr>
          <w:spacing w:val="56"/>
        </w:rPr>
        <w:t> </w:t>
      </w:r>
      <w:r>
        <w:rPr/>
        <w:t>the</w:t>
      </w:r>
      <w:r>
        <w:rPr>
          <w:spacing w:val="57"/>
        </w:rPr>
        <w:t> </w:t>
      </w:r>
      <w:r>
        <w:rPr/>
        <w:t>effective</w:t>
      </w:r>
      <w:r>
        <w:rPr>
          <w:spacing w:val="57"/>
        </w:rPr>
        <w:t> </w:t>
      </w:r>
      <w:r>
        <w:rPr/>
        <w:t>time</w:t>
      </w:r>
      <w:r>
        <w:rPr>
          <w:spacing w:val="58"/>
        </w:rPr>
        <w:t> </w:t>
      </w:r>
      <w:r>
        <w:rPr>
          <w:spacing w:val="-5"/>
        </w:rPr>
        <w:t>for</w:t>
      </w:r>
    </w:p>
    <w:p>
      <w:pPr>
        <w:spacing w:after="0" w:line="480" w:lineRule="auto"/>
        <w:jc w:val="both"/>
        <w:sectPr>
          <w:pgSz w:w="12240" w:h="15840"/>
          <w:pgMar w:header="0" w:footer="1015" w:top="1360" w:bottom="1200" w:left="240" w:right="0"/>
        </w:sectPr>
      </w:pPr>
    </w:p>
    <w:p>
      <w:pPr>
        <w:pStyle w:val="BodyText"/>
        <w:spacing w:line="482" w:lineRule="auto" w:before="72"/>
        <w:ind w:left="1200" w:right="1442"/>
        <w:jc w:val="both"/>
      </w:pPr>
      <w:r>
        <w:rPr/>
        <w:t>complete development. The absorbance of each solution was measured at the λmax against reagent blank. Then calibration curve was constructed by plotting the absorbance against their corresponding concentrations.</w:t>
      </w:r>
    </w:p>
    <w:p>
      <w:pPr>
        <w:pStyle w:val="ListParagraph"/>
        <w:numPr>
          <w:ilvl w:val="3"/>
          <w:numId w:val="12"/>
        </w:numPr>
        <w:tabs>
          <w:tab w:pos="1919" w:val="left" w:leader="none"/>
        </w:tabs>
        <w:spacing w:line="240" w:lineRule="auto" w:before="232" w:after="0"/>
        <w:ind w:left="1919" w:right="0" w:hanging="719"/>
        <w:jc w:val="both"/>
        <w:rPr>
          <w:i/>
          <w:sz w:val="24"/>
        </w:rPr>
      </w:pPr>
      <w:r>
        <w:rPr>
          <w:i/>
          <w:sz w:val="24"/>
        </w:rPr>
        <w:t>Assay</w:t>
      </w:r>
      <w:r>
        <w:rPr>
          <w:i/>
          <w:spacing w:val="-2"/>
          <w:sz w:val="24"/>
        </w:rPr>
        <w:t> </w:t>
      </w:r>
      <w:r>
        <w:rPr>
          <w:i/>
          <w:sz w:val="24"/>
        </w:rPr>
        <w:t>of</w:t>
      </w:r>
      <w:r>
        <w:rPr>
          <w:i/>
          <w:spacing w:val="-1"/>
          <w:sz w:val="24"/>
        </w:rPr>
        <w:t> </w:t>
      </w:r>
      <w:r>
        <w:rPr>
          <w:i/>
          <w:sz w:val="24"/>
        </w:rPr>
        <w:t>isoniazid</w:t>
      </w:r>
      <w:r>
        <w:rPr>
          <w:i/>
          <w:spacing w:val="-1"/>
          <w:sz w:val="24"/>
        </w:rPr>
        <w:t> </w:t>
      </w:r>
      <w:r>
        <w:rPr>
          <w:i/>
          <w:sz w:val="24"/>
        </w:rPr>
        <w:t>tablets using</w:t>
      </w:r>
      <w:r>
        <w:rPr>
          <w:i/>
          <w:spacing w:val="-1"/>
          <w:sz w:val="24"/>
        </w:rPr>
        <w:t> </w:t>
      </w:r>
      <w:r>
        <w:rPr>
          <w:i/>
          <w:sz w:val="24"/>
        </w:rPr>
        <w:t>colorometric method</w:t>
      </w:r>
      <w:r>
        <w:rPr>
          <w:i/>
          <w:spacing w:val="-1"/>
          <w:sz w:val="24"/>
        </w:rPr>
        <w:t> </w:t>
      </w:r>
      <w:r>
        <w:rPr>
          <w:i/>
          <w:sz w:val="24"/>
        </w:rPr>
        <w:t>by</w:t>
      </w:r>
      <w:r>
        <w:rPr>
          <w:i/>
          <w:spacing w:val="-2"/>
          <w:sz w:val="24"/>
        </w:rPr>
        <w:t> </w:t>
      </w:r>
      <w:r>
        <w:rPr>
          <w:i/>
          <w:sz w:val="24"/>
        </w:rPr>
        <w:t>using </w:t>
      </w:r>
      <w:r>
        <w:rPr>
          <w:i/>
          <w:spacing w:val="-2"/>
          <w:sz w:val="24"/>
        </w:rPr>
        <w:t>paraaminotoluidine</w:t>
      </w:r>
    </w:p>
    <w:p>
      <w:pPr>
        <w:pStyle w:val="BodyText"/>
        <w:spacing w:before="199"/>
        <w:rPr>
          <w:i/>
        </w:rPr>
      </w:pPr>
    </w:p>
    <w:p>
      <w:pPr>
        <w:pStyle w:val="BodyText"/>
        <w:spacing w:line="480" w:lineRule="auto"/>
        <w:ind w:left="1200" w:right="1435"/>
        <w:jc w:val="both"/>
      </w:pPr>
      <w:r>
        <w:rPr/>
        <w:t>A quantity of powder containing equivalent of 10 mg isoniazid was accurately weighed from the previously crushed 20 isoniazid tablets, transferred into a volumetric flask (100 mL) and the volume made up to mark with methanoland shaken for 10 minutes. The mixture was filtered through a Whatman filter paper no. 41. A portion (1 mL) was transferred to a volumetric flask (10 mL) and the volume made up to mark with methanol to obtain a 10 μg/mL solution. A portion (5 mL) of this solution was then treated with 2 mL of 2% HCl, 2 mlof 1% NaNO</w:t>
      </w:r>
      <w:r>
        <w:rPr>
          <w:vertAlign w:val="subscript"/>
        </w:rPr>
        <w:t>2</w:t>
      </w:r>
      <w:r>
        <w:rPr>
          <w:vertAlign w:val="baseline"/>
        </w:rPr>
        <w:t>and stirred with glass rod for 5 minutes followed by addition of 3 mL 2 % sulfamic acid and stirred for another 5 minutes. The solution of p-toluidine at effective concentration and volume was added to the content of the flaskthen gently heated in a thermostatic water bath for 10 minutes. The yellow colouredchromagen formed was allowed to stand up to the effective time for complete colour development. The absorbance was then measured at λ max determined against reagent blank.</w:t>
      </w:r>
    </w:p>
    <w:p>
      <w:pPr>
        <w:pStyle w:val="Heading3"/>
        <w:numPr>
          <w:ilvl w:val="2"/>
          <w:numId w:val="13"/>
        </w:numPr>
        <w:tabs>
          <w:tab w:pos="1740" w:val="left" w:leader="none"/>
        </w:tabs>
        <w:spacing w:line="240" w:lineRule="auto" w:before="7" w:after="0"/>
        <w:ind w:left="1740" w:right="0" w:hanging="540"/>
        <w:jc w:val="both"/>
      </w:pPr>
      <w:bookmarkStart w:name="_TOC_250008" w:id="26"/>
      <w:r>
        <w:rPr/>
        <w:t>Validation</w:t>
      </w:r>
      <w:r>
        <w:rPr>
          <w:spacing w:val="-1"/>
        </w:rPr>
        <w:t> </w:t>
      </w:r>
      <w:r>
        <w:rPr/>
        <w:t>of the</w:t>
      </w:r>
      <w:r>
        <w:rPr>
          <w:spacing w:val="-2"/>
        </w:rPr>
        <w:t> </w:t>
      </w:r>
      <w:r>
        <w:rPr/>
        <w:t>analytical</w:t>
      </w:r>
      <w:r>
        <w:rPr>
          <w:spacing w:val="-1"/>
        </w:rPr>
        <w:t> </w:t>
      </w:r>
      <w:bookmarkEnd w:id="26"/>
      <w:r>
        <w:rPr>
          <w:spacing w:val="-2"/>
        </w:rPr>
        <w:t>methods</w:t>
      </w:r>
    </w:p>
    <w:p>
      <w:pPr>
        <w:pStyle w:val="BodyText"/>
        <w:spacing w:line="480" w:lineRule="auto" w:before="271"/>
        <w:ind w:left="1200" w:right="1439"/>
        <w:jc w:val="both"/>
      </w:pPr>
      <w:r>
        <w:rPr/>
        <w:t>All the four developed analytical methods were validated according to ICH Q2R1 (1996)guide lines for validation of analytical procedures in order to determine the linearity, precision, accuracy and percentage recovery, limit of detection and limit of quantification.</w:t>
      </w:r>
    </w:p>
    <w:p>
      <w:pPr>
        <w:pStyle w:val="ListParagraph"/>
        <w:numPr>
          <w:ilvl w:val="3"/>
          <w:numId w:val="13"/>
        </w:numPr>
        <w:tabs>
          <w:tab w:pos="1920" w:val="left" w:leader="none"/>
        </w:tabs>
        <w:spacing w:line="240" w:lineRule="auto" w:before="0" w:after="0"/>
        <w:ind w:left="1920" w:right="0" w:hanging="720"/>
        <w:jc w:val="both"/>
        <w:rPr>
          <w:i/>
          <w:sz w:val="24"/>
        </w:rPr>
      </w:pPr>
      <w:r>
        <w:rPr>
          <w:i/>
          <w:spacing w:val="-2"/>
          <w:sz w:val="24"/>
        </w:rPr>
        <w:t>Linearity</w:t>
      </w:r>
    </w:p>
    <w:p>
      <w:pPr>
        <w:pStyle w:val="BodyText"/>
        <w:rPr>
          <w:i/>
        </w:rPr>
      </w:pPr>
    </w:p>
    <w:p>
      <w:pPr>
        <w:pStyle w:val="BodyText"/>
        <w:spacing w:line="480" w:lineRule="auto" w:before="1"/>
        <w:ind w:left="1200" w:right="1435"/>
        <w:jc w:val="both"/>
      </w:pPr>
      <w:r>
        <w:rPr/>
        <w:t>The linearity of each developed methodwas evaluated by analyzing different concentrations of the</w:t>
      </w:r>
      <w:r>
        <w:rPr>
          <w:spacing w:val="59"/>
          <w:w w:val="150"/>
        </w:rPr>
        <w:t> </w:t>
      </w:r>
      <w:r>
        <w:rPr/>
        <w:t>standard</w:t>
      </w:r>
      <w:r>
        <w:rPr>
          <w:spacing w:val="60"/>
          <w:w w:val="150"/>
        </w:rPr>
        <w:t> </w:t>
      </w:r>
      <w:r>
        <w:rPr/>
        <w:t>isoniazid</w:t>
      </w:r>
      <w:r>
        <w:rPr>
          <w:spacing w:val="65"/>
          <w:w w:val="150"/>
        </w:rPr>
        <w:t> </w:t>
      </w:r>
      <w:r>
        <w:rPr/>
        <w:t>from</w:t>
      </w:r>
      <w:r>
        <w:rPr>
          <w:spacing w:val="62"/>
          <w:w w:val="150"/>
        </w:rPr>
        <w:t> </w:t>
      </w:r>
      <w:r>
        <w:rPr/>
        <w:t>the</w:t>
      </w:r>
      <w:r>
        <w:rPr>
          <w:spacing w:val="59"/>
          <w:w w:val="150"/>
        </w:rPr>
        <w:t> </w:t>
      </w:r>
      <w:r>
        <w:rPr/>
        <w:t>stock</w:t>
      </w:r>
      <w:r>
        <w:rPr>
          <w:spacing w:val="60"/>
          <w:w w:val="150"/>
        </w:rPr>
        <w:t> </w:t>
      </w:r>
      <w:r>
        <w:rPr/>
        <w:t>solution.</w:t>
      </w:r>
      <w:r>
        <w:rPr>
          <w:spacing w:val="63"/>
          <w:w w:val="150"/>
        </w:rPr>
        <w:t> </w:t>
      </w:r>
      <w:r>
        <w:rPr/>
        <w:t>Linearity</w:t>
      </w:r>
      <w:r>
        <w:rPr>
          <w:spacing w:val="56"/>
          <w:w w:val="150"/>
        </w:rPr>
        <w:t> </w:t>
      </w:r>
      <w:r>
        <w:rPr/>
        <w:t>was</w:t>
      </w:r>
      <w:r>
        <w:rPr>
          <w:spacing w:val="60"/>
          <w:w w:val="150"/>
        </w:rPr>
        <w:t> </w:t>
      </w:r>
      <w:r>
        <w:rPr/>
        <w:t>examined</w:t>
      </w:r>
      <w:r>
        <w:rPr>
          <w:spacing w:val="65"/>
          <w:w w:val="150"/>
        </w:rPr>
        <w:t> </w:t>
      </w:r>
      <w:r>
        <w:rPr/>
        <w:t>by</w:t>
      </w:r>
      <w:r>
        <w:rPr>
          <w:spacing w:val="58"/>
          <w:w w:val="150"/>
        </w:rPr>
        <w:t> </w:t>
      </w:r>
      <w:r>
        <w:rPr/>
        <w:t>plotting</w:t>
      </w:r>
      <w:r>
        <w:rPr>
          <w:spacing w:val="58"/>
          <w:w w:val="150"/>
        </w:rPr>
        <w:t> </w:t>
      </w:r>
      <w:r>
        <w:rPr>
          <w:spacing w:val="-5"/>
        </w:rPr>
        <w:t>the</w:t>
      </w:r>
    </w:p>
    <w:p>
      <w:pPr>
        <w:spacing w:after="0" w:line="480" w:lineRule="auto"/>
        <w:jc w:val="both"/>
        <w:sectPr>
          <w:pgSz w:w="12240" w:h="15840"/>
          <w:pgMar w:header="0" w:footer="1015" w:top="1360" w:bottom="1200" w:left="240" w:right="0"/>
        </w:sectPr>
      </w:pPr>
    </w:p>
    <w:p>
      <w:pPr>
        <w:pStyle w:val="BodyText"/>
        <w:spacing w:line="480" w:lineRule="auto" w:before="112"/>
        <w:ind w:left="1200" w:right="1439"/>
        <w:jc w:val="both"/>
      </w:pPr>
      <w:r>
        <w:rPr/>
        <w:t>absorbance against concentration. Beer</w:t>
      </w:r>
      <w:r>
        <w:rPr>
          <w:vertAlign w:val="superscript"/>
        </w:rPr>
        <w:t>,</w:t>
      </w:r>
      <w:r>
        <w:rPr>
          <w:vertAlign w:val="baseline"/>
        </w:rPr>
        <w:t>s-Lamberts was obeyed at a particular concentration range to give a straight line graph (concentration is directly proportional to absorbance). Coefficient of correlation ( r) indicate linearity. The closer the r value to 1, the more the linearity of the calibration curve.</w:t>
      </w:r>
    </w:p>
    <w:p>
      <w:pPr>
        <w:pStyle w:val="ListParagraph"/>
        <w:numPr>
          <w:ilvl w:val="3"/>
          <w:numId w:val="13"/>
        </w:numPr>
        <w:tabs>
          <w:tab w:pos="1859" w:val="left" w:leader="none"/>
        </w:tabs>
        <w:spacing w:line="240" w:lineRule="auto" w:before="0" w:after="0"/>
        <w:ind w:left="1859" w:right="0" w:hanging="659"/>
        <w:jc w:val="left"/>
        <w:rPr>
          <w:i/>
          <w:sz w:val="24"/>
        </w:rPr>
      </w:pPr>
      <w:r>
        <w:rPr>
          <w:i/>
          <w:spacing w:val="-2"/>
          <w:sz w:val="24"/>
        </w:rPr>
        <w:t>Precision</w:t>
      </w:r>
    </w:p>
    <w:p>
      <w:pPr>
        <w:pStyle w:val="BodyText"/>
        <w:rPr>
          <w:i/>
        </w:rPr>
      </w:pPr>
    </w:p>
    <w:p>
      <w:pPr>
        <w:pStyle w:val="BodyText"/>
        <w:ind w:left="1200"/>
      </w:pPr>
      <w:r>
        <w:rPr/>
        <w:t>The</w:t>
      </w:r>
      <w:r>
        <w:rPr>
          <w:spacing w:val="-3"/>
        </w:rPr>
        <w:t> </w:t>
      </w:r>
      <w:r>
        <w:rPr/>
        <w:t>precision was</w:t>
      </w:r>
      <w:r>
        <w:rPr>
          <w:spacing w:val="-1"/>
        </w:rPr>
        <w:t> </w:t>
      </w:r>
      <w:r>
        <w:rPr/>
        <w:t>carried out</w:t>
      </w:r>
      <w:r>
        <w:rPr>
          <w:spacing w:val="-1"/>
        </w:rPr>
        <w:t> </w:t>
      </w:r>
      <w:r>
        <w:rPr/>
        <w:t>to ascertain the</w:t>
      </w:r>
      <w:r>
        <w:rPr>
          <w:spacing w:val="-2"/>
        </w:rPr>
        <w:t> </w:t>
      </w:r>
      <w:r>
        <w:rPr/>
        <w:t>reproducibility</w:t>
      </w:r>
      <w:r>
        <w:rPr>
          <w:spacing w:val="-8"/>
        </w:rPr>
        <w:t> </w:t>
      </w:r>
      <w:r>
        <w:rPr/>
        <w:t>of</w:t>
      </w:r>
      <w:r>
        <w:rPr>
          <w:spacing w:val="-1"/>
        </w:rPr>
        <w:t> </w:t>
      </w:r>
      <w:r>
        <w:rPr/>
        <w:t>the</w:t>
      </w:r>
      <w:r>
        <w:rPr>
          <w:spacing w:val="-2"/>
        </w:rPr>
        <w:t> </w:t>
      </w:r>
      <w:r>
        <w:rPr/>
        <w:t>developed </w:t>
      </w:r>
      <w:r>
        <w:rPr>
          <w:spacing w:val="-2"/>
        </w:rPr>
        <w:t>methods.</w:t>
      </w:r>
    </w:p>
    <w:p>
      <w:pPr>
        <w:pStyle w:val="BodyText"/>
      </w:pPr>
    </w:p>
    <w:p>
      <w:pPr>
        <w:spacing w:before="0"/>
        <w:ind w:left="1200" w:right="0" w:firstLine="0"/>
        <w:jc w:val="left"/>
        <w:rPr>
          <w:i/>
          <w:sz w:val="24"/>
        </w:rPr>
      </w:pPr>
      <w:r>
        <w:rPr>
          <w:i/>
          <w:spacing w:val="-2"/>
          <w:sz w:val="24"/>
        </w:rPr>
        <w:t>Intraday</w:t>
      </w:r>
    </w:p>
    <w:p>
      <w:pPr>
        <w:pStyle w:val="BodyText"/>
        <w:spacing w:before="1"/>
        <w:rPr>
          <w:i/>
        </w:rPr>
      </w:pPr>
    </w:p>
    <w:p>
      <w:pPr>
        <w:pStyle w:val="BodyText"/>
        <w:spacing w:line="480" w:lineRule="auto"/>
        <w:ind w:left="1200" w:right="1439"/>
        <w:jc w:val="both"/>
      </w:pPr>
      <w:r>
        <w:rPr/>
        <w:t>A solution of isoniazid(10 µg/mL) solution was prepared from the stock solution and absorbance measured at interval of one hour for six hours within the same day after treatment using each of the methods developed.</w:t>
      </w:r>
    </w:p>
    <w:p>
      <w:pPr>
        <w:spacing w:before="0"/>
        <w:ind w:left="1200" w:right="0" w:firstLine="0"/>
        <w:jc w:val="left"/>
        <w:rPr>
          <w:i/>
          <w:sz w:val="24"/>
        </w:rPr>
      </w:pPr>
      <w:r>
        <w:rPr>
          <w:i/>
          <w:spacing w:val="-2"/>
          <w:sz w:val="24"/>
        </w:rPr>
        <w:t>Interday</w:t>
      </w:r>
    </w:p>
    <w:p>
      <w:pPr>
        <w:pStyle w:val="BodyText"/>
        <w:rPr>
          <w:i/>
        </w:rPr>
      </w:pPr>
    </w:p>
    <w:p>
      <w:pPr>
        <w:pStyle w:val="BodyText"/>
        <w:spacing w:line="480" w:lineRule="auto"/>
        <w:ind w:left="1200" w:right="1496"/>
      </w:pPr>
      <w:r>
        <w:rPr/>
        <w:t>A</w:t>
      </w:r>
      <w:r>
        <w:rPr>
          <w:spacing w:val="40"/>
        </w:rPr>
        <w:t> </w:t>
      </w:r>
      <w:r>
        <w:rPr/>
        <w:t>solution</w:t>
      </w:r>
      <w:r>
        <w:rPr>
          <w:spacing w:val="40"/>
        </w:rPr>
        <w:t> </w:t>
      </w:r>
      <w:r>
        <w:rPr/>
        <w:t>of</w:t>
      </w:r>
      <w:r>
        <w:rPr>
          <w:spacing w:val="40"/>
        </w:rPr>
        <w:t> </w:t>
      </w:r>
      <w:r>
        <w:rPr/>
        <w:t>isoniazid</w:t>
      </w:r>
      <w:r>
        <w:rPr>
          <w:spacing w:val="40"/>
        </w:rPr>
        <w:t> </w:t>
      </w:r>
      <w:r>
        <w:rPr/>
        <w:t>(10</w:t>
      </w:r>
      <w:r>
        <w:rPr>
          <w:spacing w:val="40"/>
        </w:rPr>
        <w:t> </w:t>
      </w:r>
      <w:r>
        <w:rPr/>
        <w:t>µg/mL)</w:t>
      </w:r>
      <w:r>
        <w:rPr>
          <w:spacing w:val="40"/>
        </w:rPr>
        <w:t> </w:t>
      </w:r>
      <w:r>
        <w:rPr/>
        <w:t>was</w:t>
      </w:r>
      <w:r>
        <w:rPr>
          <w:spacing w:val="40"/>
        </w:rPr>
        <w:t> </w:t>
      </w:r>
      <w:r>
        <w:rPr/>
        <w:t>prepared</w:t>
      </w:r>
      <w:r>
        <w:rPr>
          <w:spacing w:val="40"/>
        </w:rPr>
        <w:t> </w:t>
      </w:r>
      <w:r>
        <w:rPr/>
        <w:t>from</w:t>
      </w:r>
      <w:r>
        <w:rPr>
          <w:spacing w:val="40"/>
        </w:rPr>
        <w:t> </w:t>
      </w:r>
      <w:r>
        <w:rPr/>
        <w:t>the</w:t>
      </w:r>
      <w:r>
        <w:rPr>
          <w:spacing w:val="40"/>
        </w:rPr>
        <w:t> </w:t>
      </w:r>
      <w:r>
        <w:rPr/>
        <w:t>stock</w:t>
      </w:r>
      <w:r>
        <w:rPr>
          <w:spacing w:val="40"/>
        </w:rPr>
        <w:t> </w:t>
      </w:r>
      <w:r>
        <w:rPr/>
        <w:t>solution</w:t>
      </w:r>
      <w:r>
        <w:rPr>
          <w:spacing w:val="40"/>
        </w:rPr>
        <w:t> </w:t>
      </w:r>
      <w:r>
        <w:rPr/>
        <w:t>and</w:t>
      </w:r>
      <w:r>
        <w:rPr>
          <w:spacing w:val="40"/>
        </w:rPr>
        <w:t> </w:t>
      </w:r>
      <w:r>
        <w:rPr/>
        <w:t>absorbance</w:t>
      </w:r>
      <w:r>
        <w:rPr>
          <w:spacing w:val="80"/>
        </w:rPr>
        <w:t> </w:t>
      </w:r>
      <w:r>
        <w:rPr/>
        <w:t>measured daily for three consecutive days, after treatment using each of the methods developed. From the result, then mean, standard deviation (SD) and percentage relative standard deviation</w:t>
      </w:r>
      <w:r>
        <w:rPr>
          <w:spacing w:val="40"/>
        </w:rPr>
        <w:t> </w:t>
      </w:r>
      <w:r>
        <w:rPr/>
        <w:t>or percentage coefficient of varience( % CV) were calculated.</w:t>
      </w:r>
    </w:p>
    <w:p>
      <w:pPr>
        <w:pStyle w:val="BodyText"/>
        <w:tabs>
          <w:tab w:pos="4281" w:val="left" w:leader="dot"/>
        </w:tabs>
        <w:spacing w:before="3"/>
        <w:ind w:left="1200"/>
      </w:pPr>
      <w:r>
        <w:rPr/>
        <w:t>%</w:t>
      </w:r>
      <w:r>
        <w:rPr>
          <w:spacing w:val="-2"/>
        </w:rPr>
        <w:t> </w:t>
      </w:r>
      <w:r>
        <w:rPr/>
        <w:t>CV</w:t>
      </w:r>
      <w:r>
        <w:rPr>
          <w:spacing w:val="-1"/>
        </w:rPr>
        <w:t> </w:t>
      </w:r>
      <w:r>
        <w:rPr/>
        <w:t>=</w:t>
      </w:r>
      <w:r>
        <w:rPr>
          <w:spacing w:val="-2"/>
        </w:rPr>
        <w:t> </w:t>
      </w:r>
      <w:r>
        <w:rPr/>
        <w:t>S/X</w:t>
      </w:r>
      <w:r>
        <w:rPr>
          <w:spacing w:val="-1"/>
        </w:rPr>
        <w:t> </w:t>
      </w:r>
      <w:r>
        <w:rPr/>
        <w:t>x</w:t>
      </w:r>
      <w:r>
        <w:rPr>
          <w:spacing w:val="2"/>
        </w:rPr>
        <w:t> </w:t>
      </w:r>
      <w:r>
        <w:rPr>
          <w:spacing w:val="-5"/>
        </w:rPr>
        <w:t>100</w:t>
      </w:r>
      <w:r>
        <w:rPr/>
        <w:tab/>
        <w:t>Formula</w:t>
      </w:r>
      <w:r>
        <w:rPr>
          <w:spacing w:val="-6"/>
        </w:rPr>
        <w:t> </w:t>
      </w:r>
      <w:r>
        <w:rPr>
          <w:spacing w:val="-10"/>
        </w:rPr>
        <w:t>1</w:t>
      </w:r>
    </w:p>
    <w:p>
      <w:pPr>
        <w:pStyle w:val="BodyText"/>
        <w:spacing w:before="101"/>
      </w:pPr>
    </w:p>
    <w:p>
      <w:pPr>
        <w:pStyle w:val="BodyText"/>
        <w:ind w:left="1200"/>
      </w:pPr>
      <w:r>
        <w:rPr/>
        <w:t>Where</w:t>
      </w:r>
      <w:r>
        <w:rPr>
          <w:spacing w:val="-3"/>
        </w:rPr>
        <w:t> </w:t>
      </w:r>
      <w:r>
        <w:rPr/>
        <w:t>S is the</w:t>
      </w:r>
      <w:r>
        <w:rPr>
          <w:spacing w:val="-1"/>
        </w:rPr>
        <w:t> </w:t>
      </w:r>
      <w:r>
        <w:rPr/>
        <w:t>standard</w:t>
      </w:r>
      <w:r>
        <w:rPr>
          <w:spacing w:val="1"/>
        </w:rPr>
        <w:t> </w:t>
      </w:r>
      <w:r>
        <w:rPr/>
        <w:t>deviation</w:t>
      </w:r>
      <w:r>
        <w:rPr>
          <w:spacing w:val="-1"/>
        </w:rPr>
        <w:t> </w:t>
      </w:r>
      <w:r>
        <w:rPr/>
        <w:t>and X</w:t>
      </w:r>
      <w:r>
        <w:rPr>
          <w:spacing w:val="-1"/>
        </w:rPr>
        <w:t> </w:t>
      </w:r>
      <w:r>
        <w:rPr/>
        <w:t>is</w:t>
      </w:r>
      <w:r>
        <w:rPr>
          <w:spacing w:val="1"/>
        </w:rPr>
        <w:t> </w:t>
      </w:r>
      <w:r>
        <w:rPr/>
        <w:t>the </w:t>
      </w:r>
      <w:r>
        <w:rPr>
          <w:spacing w:val="-4"/>
        </w:rPr>
        <w:t>mean</w:t>
      </w:r>
    </w:p>
    <w:p>
      <w:pPr>
        <w:pStyle w:val="BodyText"/>
        <w:spacing w:before="240"/>
      </w:pPr>
    </w:p>
    <w:p>
      <w:pPr>
        <w:pStyle w:val="ListParagraph"/>
        <w:numPr>
          <w:ilvl w:val="3"/>
          <w:numId w:val="13"/>
        </w:numPr>
        <w:tabs>
          <w:tab w:pos="1859" w:val="left" w:leader="none"/>
        </w:tabs>
        <w:spacing w:line="240" w:lineRule="auto" w:before="0" w:after="0"/>
        <w:ind w:left="1859" w:right="0" w:hanging="659"/>
        <w:jc w:val="left"/>
        <w:rPr>
          <w:i/>
          <w:sz w:val="24"/>
        </w:rPr>
      </w:pPr>
      <w:r>
        <w:rPr>
          <w:i/>
          <w:sz w:val="24"/>
        </w:rPr>
        <w:t>Accuracy</w:t>
      </w:r>
      <w:r>
        <w:rPr>
          <w:i/>
          <w:spacing w:val="-2"/>
          <w:sz w:val="24"/>
        </w:rPr>
        <w:t> </w:t>
      </w:r>
      <w:r>
        <w:rPr>
          <w:i/>
          <w:sz w:val="24"/>
        </w:rPr>
        <w:t>and</w:t>
      </w:r>
      <w:r>
        <w:rPr>
          <w:i/>
          <w:spacing w:val="-1"/>
          <w:sz w:val="24"/>
        </w:rPr>
        <w:t> </w:t>
      </w:r>
      <w:r>
        <w:rPr>
          <w:i/>
          <w:sz w:val="24"/>
        </w:rPr>
        <w:t>percentage</w:t>
      </w:r>
      <w:r>
        <w:rPr>
          <w:i/>
          <w:spacing w:val="-1"/>
          <w:sz w:val="24"/>
        </w:rPr>
        <w:t> </w:t>
      </w:r>
      <w:r>
        <w:rPr>
          <w:i/>
          <w:spacing w:val="-2"/>
          <w:sz w:val="24"/>
        </w:rPr>
        <w:t>recoveries</w:t>
      </w:r>
    </w:p>
    <w:p>
      <w:pPr>
        <w:pStyle w:val="BodyText"/>
        <w:spacing w:before="238"/>
        <w:rPr>
          <w:i/>
        </w:rPr>
      </w:pPr>
    </w:p>
    <w:p>
      <w:pPr>
        <w:pStyle w:val="BodyText"/>
        <w:spacing w:line="482" w:lineRule="auto"/>
        <w:ind w:left="1200" w:right="1435"/>
        <w:jc w:val="both"/>
      </w:pPr>
      <w:r>
        <w:rPr/>
        <w:t>Accuracy is expressed as percentage relative error (%Er). Accuracy of this method was checked by</w:t>
      </w:r>
      <w:r>
        <w:rPr>
          <w:spacing w:val="-3"/>
        </w:rPr>
        <w:t> </w:t>
      </w:r>
      <w:r>
        <w:rPr/>
        <w:t>standard addition method. A solution</w:t>
      </w:r>
      <w:r>
        <w:rPr>
          <w:spacing w:val="-1"/>
        </w:rPr>
        <w:t> </w:t>
      </w:r>
      <w:r>
        <w:rPr/>
        <w:t>of 10μg/rnL</w:t>
      </w:r>
      <w:r>
        <w:rPr>
          <w:spacing w:val="-3"/>
        </w:rPr>
        <w:t> </w:t>
      </w:r>
      <w:r>
        <w:rPr/>
        <w:t>solutions of isoniazid in distilled water was prepared in four separate 10 mL volumetric flasks and labeled A, B, C and D. Test tube A was left</w:t>
      </w:r>
      <w:r>
        <w:rPr>
          <w:spacing w:val="21"/>
        </w:rPr>
        <w:t> </w:t>
      </w:r>
      <w:r>
        <w:rPr/>
        <w:t>unspikedwhile</w:t>
      </w:r>
      <w:r>
        <w:rPr>
          <w:spacing w:val="23"/>
        </w:rPr>
        <w:t> </w:t>
      </w:r>
      <w:r>
        <w:rPr/>
        <w:t>test</w:t>
      </w:r>
      <w:r>
        <w:rPr>
          <w:spacing w:val="23"/>
        </w:rPr>
        <w:t> </w:t>
      </w:r>
      <w:r>
        <w:rPr/>
        <w:t>tubes</w:t>
      </w:r>
      <w:r>
        <w:rPr>
          <w:spacing w:val="23"/>
        </w:rPr>
        <w:t> </w:t>
      </w:r>
      <w:r>
        <w:rPr/>
        <w:t>B,</w:t>
      </w:r>
      <w:r>
        <w:rPr>
          <w:spacing w:val="24"/>
        </w:rPr>
        <w:t> </w:t>
      </w:r>
      <w:r>
        <w:rPr/>
        <w:t>C</w:t>
      </w:r>
      <w:r>
        <w:rPr>
          <w:spacing w:val="24"/>
        </w:rPr>
        <w:t> </w:t>
      </w:r>
      <w:r>
        <w:rPr/>
        <w:t>and</w:t>
      </w:r>
      <w:r>
        <w:rPr>
          <w:spacing w:val="22"/>
        </w:rPr>
        <w:t> </w:t>
      </w:r>
      <w:r>
        <w:rPr/>
        <w:t>D</w:t>
      </w:r>
      <w:r>
        <w:rPr>
          <w:spacing w:val="23"/>
        </w:rPr>
        <w:t> </w:t>
      </w:r>
      <w:r>
        <w:rPr/>
        <w:t>were</w:t>
      </w:r>
      <w:r>
        <w:rPr>
          <w:spacing w:val="22"/>
        </w:rPr>
        <w:t> </w:t>
      </w:r>
      <w:r>
        <w:rPr/>
        <w:t>spiked</w:t>
      </w:r>
      <w:r>
        <w:rPr>
          <w:spacing w:val="22"/>
        </w:rPr>
        <w:t> </w:t>
      </w:r>
      <w:r>
        <w:rPr/>
        <w:t>with</w:t>
      </w:r>
      <w:r>
        <w:rPr>
          <w:spacing w:val="24"/>
        </w:rPr>
        <w:t> </w:t>
      </w:r>
      <w:r>
        <w:rPr/>
        <w:t>80%</w:t>
      </w:r>
      <w:r>
        <w:rPr>
          <w:spacing w:val="24"/>
        </w:rPr>
        <w:t> </w:t>
      </w:r>
      <w:r>
        <w:rPr/>
        <w:t>(8</w:t>
      </w:r>
      <w:r>
        <w:rPr>
          <w:spacing w:val="23"/>
        </w:rPr>
        <w:t> </w:t>
      </w:r>
      <w:r>
        <w:rPr>
          <w:rFonts w:ascii="Calibri" w:hAnsi="Calibri"/>
        </w:rPr>
        <w:t>μ</w:t>
      </w:r>
      <w:r>
        <w:rPr/>
        <w:t>g/mL),</w:t>
      </w:r>
      <w:r>
        <w:rPr>
          <w:spacing w:val="22"/>
        </w:rPr>
        <w:t> </w:t>
      </w:r>
      <w:r>
        <w:rPr/>
        <w:t>100%</w:t>
      </w:r>
      <w:r>
        <w:rPr>
          <w:spacing w:val="24"/>
        </w:rPr>
        <w:t> </w:t>
      </w:r>
      <w:r>
        <w:rPr/>
        <w:t>(10</w:t>
      </w:r>
      <w:r>
        <w:rPr>
          <w:spacing w:val="23"/>
        </w:rPr>
        <w:t> </w:t>
      </w:r>
      <w:r>
        <w:rPr>
          <w:rFonts w:ascii="Calibri" w:hAnsi="Calibri"/>
          <w:spacing w:val="-2"/>
        </w:rPr>
        <w:t>μ</w:t>
      </w:r>
      <w:r>
        <w:rPr>
          <w:spacing w:val="-2"/>
        </w:rPr>
        <w:t>g/mL)</w:t>
      </w:r>
    </w:p>
    <w:p>
      <w:pPr>
        <w:spacing w:after="0" w:line="482" w:lineRule="auto"/>
        <w:jc w:val="both"/>
        <w:sectPr>
          <w:pgSz w:w="12240" w:h="15840"/>
          <w:pgMar w:header="0" w:footer="1015" w:top="1320" w:bottom="1200" w:left="240" w:right="0"/>
        </w:sectPr>
      </w:pPr>
    </w:p>
    <w:p>
      <w:pPr>
        <w:pStyle w:val="BodyText"/>
        <w:spacing w:line="477" w:lineRule="auto" w:before="59"/>
        <w:ind w:left="1200" w:right="1436"/>
        <w:jc w:val="both"/>
      </w:pPr>
      <w:r>
        <w:rPr/>
        <w:t>and 120% (12 </w:t>
      </w:r>
      <w:r>
        <w:rPr>
          <w:rFonts w:ascii="Calibri" w:hAnsi="Calibri"/>
        </w:rPr>
        <w:t>μ</w:t>
      </w:r>
      <w:r>
        <w:rPr/>
        <w:t>g/mL)from the stock solution (100 </w:t>
      </w:r>
      <w:r>
        <w:rPr>
          <w:rFonts w:ascii="Calibri" w:hAnsi="Calibri"/>
        </w:rPr>
        <w:t>μ</w:t>
      </w:r>
      <w:r>
        <w:rPr/>
        <w:t>g/mL) and made up to the mark with distilled water and methanol for methods 1, 3 and 2, 4 respectively. Absorbances were measured and substituted in the regessioneqution to determine the concentrations. Percentage relative error (%Er) was calculated as follows:</w:t>
      </w:r>
    </w:p>
    <w:p>
      <w:pPr>
        <w:pStyle w:val="BodyText"/>
        <w:tabs>
          <w:tab w:pos="4444" w:val="left" w:leader="dot"/>
        </w:tabs>
        <w:spacing w:before="244"/>
        <w:ind w:left="1200"/>
      </w:pPr>
      <w:r>
        <w:rPr/>
        <w:t>%Er=X-</w:t>
      </w:r>
      <w:r>
        <w:rPr>
          <w:spacing w:val="-3"/>
        </w:rPr>
        <w:t> </w:t>
      </w:r>
      <w:r>
        <w:rPr/>
        <w:t>μ/μ </w:t>
      </w:r>
      <w:r>
        <w:rPr>
          <w:spacing w:val="-2"/>
        </w:rPr>
        <w:t>xl00…</w:t>
      </w:r>
      <w:r>
        <w:rPr/>
        <w:tab/>
        <w:t>Formula</w:t>
      </w:r>
      <w:r>
        <w:rPr>
          <w:spacing w:val="-6"/>
        </w:rPr>
        <w:t> </w:t>
      </w:r>
      <w:r>
        <w:rPr>
          <w:spacing w:val="-10"/>
        </w:rPr>
        <w:t>2</w:t>
      </w:r>
    </w:p>
    <w:p>
      <w:pPr>
        <w:pStyle w:val="BodyText"/>
        <w:spacing w:before="240"/>
      </w:pPr>
    </w:p>
    <w:p>
      <w:pPr>
        <w:pStyle w:val="BodyText"/>
        <w:ind w:left="1200"/>
      </w:pPr>
      <w:r>
        <w:rPr/>
        <w:t>Where</w:t>
      </w:r>
      <w:r>
        <w:rPr>
          <w:spacing w:val="-5"/>
        </w:rPr>
        <w:t> </w:t>
      </w:r>
      <w:r>
        <w:rPr/>
        <w:t>X is</w:t>
      </w:r>
      <w:r>
        <w:rPr>
          <w:spacing w:val="-1"/>
        </w:rPr>
        <w:t> </w:t>
      </w:r>
      <w:r>
        <w:rPr/>
        <w:t>the</w:t>
      </w:r>
      <w:r>
        <w:rPr>
          <w:spacing w:val="-1"/>
        </w:rPr>
        <w:t> </w:t>
      </w:r>
      <w:r>
        <w:rPr/>
        <w:t>actual</w:t>
      </w:r>
      <w:r>
        <w:rPr>
          <w:spacing w:val="-1"/>
        </w:rPr>
        <w:t> </w:t>
      </w:r>
      <w:r>
        <w:rPr/>
        <w:t>value</w:t>
      </w:r>
      <w:r>
        <w:rPr>
          <w:spacing w:val="-1"/>
        </w:rPr>
        <w:t> </w:t>
      </w:r>
      <w:r>
        <w:rPr/>
        <w:t>(concentration)</w:t>
      </w:r>
      <w:r>
        <w:rPr>
          <w:spacing w:val="1"/>
        </w:rPr>
        <w:t> </w:t>
      </w:r>
      <w:r>
        <w:rPr/>
        <w:t>and μ</w:t>
      </w:r>
      <w:r>
        <w:rPr>
          <w:spacing w:val="-1"/>
        </w:rPr>
        <w:t> </w:t>
      </w:r>
      <w:r>
        <w:rPr/>
        <w:t>is</w:t>
      </w:r>
      <w:r>
        <w:rPr>
          <w:spacing w:val="-1"/>
        </w:rPr>
        <w:t> </w:t>
      </w:r>
      <w:r>
        <w:rPr/>
        <w:t>the</w:t>
      </w:r>
      <w:r>
        <w:rPr>
          <w:spacing w:val="-2"/>
        </w:rPr>
        <w:t> </w:t>
      </w:r>
      <w:r>
        <w:rPr/>
        <w:t>expected value </w:t>
      </w:r>
      <w:r>
        <w:rPr>
          <w:spacing w:val="-2"/>
        </w:rPr>
        <w:t>(concentration).</w:t>
      </w:r>
    </w:p>
    <w:p>
      <w:pPr>
        <w:pStyle w:val="BodyText"/>
        <w:spacing w:before="241"/>
      </w:pPr>
    </w:p>
    <w:p>
      <w:pPr>
        <w:pStyle w:val="BodyText"/>
        <w:tabs>
          <w:tab w:pos="8145" w:val="left" w:leader="dot"/>
        </w:tabs>
        <w:ind w:left="1200"/>
      </w:pPr>
      <w:r>
        <w:rPr/>
        <w:t>%</w:t>
      </w:r>
      <w:r>
        <w:rPr>
          <w:spacing w:val="-2"/>
        </w:rPr>
        <w:t> </w:t>
      </w:r>
      <w:r>
        <w:rPr/>
        <w:t>recovery</w:t>
      </w:r>
      <w:r>
        <w:rPr>
          <w:spacing w:val="-6"/>
        </w:rPr>
        <w:t> </w:t>
      </w:r>
      <w:r>
        <w:rPr/>
        <w:t>=</w:t>
      </w:r>
      <w:r>
        <w:rPr>
          <w:spacing w:val="-1"/>
        </w:rPr>
        <w:t> </w:t>
      </w:r>
      <w:r>
        <w:rPr/>
        <w:t>measured</w:t>
      </w:r>
      <w:r>
        <w:rPr>
          <w:spacing w:val="-1"/>
        </w:rPr>
        <w:t> </w:t>
      </w:r>
      <w:r>
        <w:rPr/>
        <w:t>concentration /</w:t>
      </w:r>
      <w:r>
        <w:rPr>
          <w:spacing w:val="-1"/>
        </w:rPr>
        <w:t> </w:t>
      </w:r>
      <w:r>
        <w:rPr/>
        <w:t>expected concentration</w:t>
      </w:r>
      <w:r>
        <w:rPr>
          <w:spacing w:val="-1"/>
        </w:rPr>
        <w:t> </w:t>
      </w:r>
      <w:r>
        <w:rPr/>
        <w:t>x</w:t>
      </w:r>
      <w:r>
        <w:rPr>
          <w:spacing w:val="2"/>
        </w:rPr>
        <w:t> </w:t>
      </w:r>
      <w:r>
        <w:rPr>
          <w:spacing w:val="-4"/>
        </w:rPr>
        <w:t>100.</w:t>
      </w:r>
      <w:r>
        <w:rPr/>
        <w:tab/>
        <w:t>Formula</w:t>
      </w:r>
      <w:r>
        <w:rPr>
          <w:spacing w:val="-4"/>
        </w:rPr>
        <w:t> </w:t>
      </w:r>
      <w:r>
        <w:rPr>
          <w:spacing w:val="-10"/>
        </w:rPr>
        <w:t>3</w:t>
      </w:r>
    </w:p>
    <w:p>
      <w:pPr>
        <w:pStyle w:val="BodyText"/>
        <w:spacing w:before="240"/>
      </w:pPr>
    </w:p>
    <w:p>
      <w:pPr>
        <w:pStyle w:val="BodyText"/>
        <w:ind w:left="1200"/>
      </w:pPr>
      <w:r>
        <w:rPr/>
        <w:t>The</w:t>
      </w:r>
      <w:r>
        <w:rPr>
          <w:spacing w:val="-5"/>
        </w:rPr>
        <w:t> </w:t>
      </w:r>
      <w:r>
        <w:rPr/>
        <w:t>average</w:t>
      </w:r>
      <w:r>
        <w:rPr>
          <w:spacing w:val="-2"/>
        </w:rPr>
        <w:t> </w:t>
      </w:r>
      <w:r>
        <w:rPr/>
        <w:t>of these</w:t>
      </w:r>
      <w:r>
        <w:rPr>
          <w:spacing w:val="-2"/>
        </w:rPr>
        <w:t> </w:t>
      </w:r>
      <w:r>
        <w:rPr/>
        <w:t>determinations was</w:t>
      </w:r>
      <w:r>
        <w:rPr>
          <w:spacing w:val="-1"/>
        </w:rPr>
        <w:t> </w:t>
      </w:r>
      <w:r>
        <w:rPr/>
        <w:t>taken</w:t>
      </w:r>
      <w:r>
        <w:rPr>
          <w:spacing w:val="-1"/>
        </w:rPr>
        <w:t> </w:t>
      </w:r>
      <w:r>
        <w:rPr/>
        <w:t>as the</w:t>
      </w:r>
      <w:r>
        <w:rPr>
          <w:spacing w:val="-2"/>
        </w:rPr>
        <w:t> </w:t>
      </w:r>
      <w:r>
        <w:rPr/>
        <w:t>percentage</w:t>
      </w:r>
      <w:r>
        <w:rPr>
          <w:spacing w:val="1"/>
        </w:rPr>
        <w:t> </w:t>
      </w:r>
      <w:r>
        <w:rPr>
          <w:spacing w:val="-2"/>
        </w:rPr>
        <w:t>recovery.</w:t>
      </w:r>
    </w:p>
    <w:p>
      <w:pPr>
        <w:pStyle w:val="BodyText"/>
        <w:spacing w:before="240"/>
      </w:pPr>
    </w:p>
    <w:p>
      <w:pPr>
        <w:pStyle w:val="ListParagraph"/>
        <w:numPr>
          <w:ilvl w:val="3"/>
          <w:numId w:val="13"/>
        </w:numPr>
        <w:tabs>
          <w:tab w:pos="1920" w:val="left" w:leader="none"/>
        </w:tabs>
        <w:spacing w:line="240" w:lineRule="auto" w:before="0" w:after="0"/>
        <w:ind w:left="1920" w:right="0" w:hanging="720"/>
        <w:jc w:val="left"/>
        <w:rPr>
          <w:i/>
          <w:sz w:val="24"/>
        </w:rPr>
      </w:pPr>
      <w:r>
        <w:rPr>
          <w:i/>
          <w:sz w:val="24"/>
        </w:rPr>
        <w:t>Limit</w:t>
      </w:r>
      <w:r>
        <w:rPr>
          <w:i/>
          <w:spacing w:val="-1"/>
          <w:sz w:val="24"/>
        </w:rPr>
        <w:t> </w:t>
      </w:r>
      <w:r>
        <w:rPr>
          <w:i/>
          <w:sz w:val="24"/>
        </w:rPr>
        <w:t>of </w:t>
      </w:r>
      <w:r>
        <w:rPr>
          <w:i/>
          <w:spacing w:val="-2"/>
          <w:sz w:val="24"/>
        </w:rPr>
        <w:t>detection</w:t>
      </w:r>
    </w:p>
    <w:p>
      <w:pPr>
        <w:pStyle w:val="BodyText"/>
        <w:spacing w:before="240"/>
        <w:rPr>
          <w:i/>
        </w:rPr>
      </w:pPr>
    </w:p>
    <w:p>
      <w:pPr>
        <w:pStyle w:val="BodyText"/>
        <w:spacing w:line="482" w:lineRule="auto"/>
        <w:ind w:left="1200" w:right="1440" w:firstLine="60"/>
        <w:jc w:val="both"/>
      </w:pPr>
      <w:r>
        <w:rPr/>
        <w:t>The detection limit (LOD) was determining the standard deviation of y-intercept over slope of the calibration curve.</w:t>
      </w:r>
    </w:p>
    <w:p>
      <w:pPr>
        <w:pStyle w:val="BodyText"/>
        <w:tabs>
          <w:tab w:pos="4197" w:val="left" w:leader="dot"/>
        </w:tabs>
        <w:spacing w:before="235"/>
        <w:ind w:left="1200"/>
      </w:pPr>
      <w:r>
        <w:rPr>
          <w:spacing w:val="-2"/>
        </w:rPr>
        <w:t>LOD=3.3σ/S</w:t>
      </w:r>
      <w:r>
        <w:rPr/>
        <w:tab/>
        <w:t>Formula</w:t>
      </w:r>
      <w:r>
        <w:rPr>
          <w:spacing w:val="-6"/>
        </w:rPr>
        <w:t> </w:t>
      </w:r>
      <w:r>
        <w:rPr>
          <w:spacing w:val="-10"/>
        </w:rPr>
        <w:t>4</w:t>
      </w:r>
    </w:p>
    <w:p>
      <w:pPr>
        <w:pStyle w:val="BodyText"/>
        <w:spacing w:before="240"/>
      </w:pPr>
    </w:p>
    <w:p>
      <w:pPr>
        <w:pStyle w:val="BodyText"/>
        <w:ind w:left="1200"/>
      </w:pPr>
      <w:r>
        <w:rPr/>
        <w:t>Where</w:t>
      </w:r>
      <w:r>
        <w:rPr>
          <w:spacing w:val="-5"/>
        </w:rPr>
        <w:t> </w:t>
      </w:r>
      <w:r>
        <w:rPr/>
        <w:t>σ</w:t>
      </w:r>
      <w:r>
        <w:rPr>
          <w:spacing w:val="-1"/>
        </w:rPr>
        <w:t> </w:t>
      </w:r>
      <w:r>
        <w:rPr/>
        <w:t>is the</w:t>
      </w:r>
      <w:r>
        <w:rPr>
          <w:spacing w:val="-2"/>
        </w:rPr>
        <w:t> </w:t>
      </w:r>
      <w:r>
        <w:rPr/>
        <w:t>standard</w:t>
      </w:r>
      <w:r>
        <w:rPr>
          <w:spacing w:val="-1"/>
        </w:rPr>
        <w:t> </w:t>
      </w:r>
      <w:r>
        <w:rPr/>
        <w:t>deviation of y-intercepts</w:t>
      </w:r>
      <w:r>
        <w:rPr>
          <w:spacing w:val="1"/>
        </w:rPr>
        <w:t> </w:t>
      </w:r>
      <w:r>
        <w:rPr/>
        <w:t>and</w:t>
      </w:r>
      <w:r>
        <w:rPr>
          <w:spacing w:val="-1"/>
        </w:rPr>
        <w:t> </w:t>
      </w:r>
      <w:r>
        <w:rPr/>
        <w:t>S</w:t>
      </w:r>
      <w:r>
        <w:rPr>
          <w:spacing w:val="-1"/>
        </w:rPr>
        <w:t> </w:t>
      </w:r>
      <w:r>
        <w:rPr/>
        <w:t>is the</w:t>
      </w:r>
      <w:r>
        <w:rPr>
          <w:spacing w:val="-2"/>
        </w:rPr>
        <w:t> </w:t>
      </w:r>
      <w:r>
        <w:rPr/>
        <w:t>slope</w:t>
      </w:r>
      <w:r>
        <w:rPr>
          <w:spacing w:val="-1"/>
        </w:rPr>
        <w:t> </w:t>
      </w:r>
      <w:r>
        <w:rPr/>
        <w:t>of</w:t>
      </w:r>
      <w:r>
        <w:rPr>
          <w:spacing w:val="-1"/>
        </w:rPr>
        <w:t> </w:t>
      </w:r>
      <w:r>
        <w:rPr/>
        <w:t>the</w:t>
      </w:r>
      <w:r>
        <w:rPr>
          <w:spacing w:val="-1"/>
        </w:rPr>
        <w:t> </w:t>
      </w:r>
      <w:r>
        <w:rPr/>
        <w:t>calibration </w:t>
      </w:r>
      <w:r>
        <w:rPr>
          <w:spacing w:val="-2"/>
        </w:rPr>
        <w:t>curve.</w:t>
      </w:r>
    </w:p>
    <w:p>
      <w:pPr>
        <w:pStyle w:val="BodyText"/>
        <w:spacing w:before="240"/>
      </w:pPr>
    </w:p>
    <w:p>
      <w:pPr>
        <w:pStyle w:val="ListParagraph"/>
        <w:numPr>
          <w:ilvl w:val="3"/>
          <w:numId w:val="13"/>
        </w:numPr>
        <w:tabs>
          <w:tab w:pos="1919" w:val="left" w:leader="none"/>
        </w:tabs>
        <w:spacing w:line="240" w:lineRule="auto" w:before="0" w:after="0"/>
        <w:ind w:left="1919" w:right="0" w:hanging="719"/>
        <w:jc w:val="left"/>
        <w:rPr>
          <w:i/>
          <w:sz w:val="24"/>
        </w:rPr>
      </w:pPr>
      <w:r>
        <w:rPr>
          <w:i/>
          <w:sz w:val="24"/>
        </w:rPr>
        <w:t>Limit</w:t>
      </w:r>
      <w:r>
        <w:rPr>
          <w:i/>
          <w:spacing w:val="1"/>
          <w:sz w:val="24"/>
        </w:rPr>
        <w:t> </w:t>
      </w:r>
      <w:r>
        <w:rPr>
          <w:i/>
          <w:sz w:val="24"/>
        </w:rPr>
        <w:t>of </w:t>
      </w:r>
      <w:r>
        <w:rPr>
          <w:i/>
          <w:spacing w:val="-2"/>
          <w:sz w:val="24"/>
        </w:rPr>
        <w:t>quantification</w:t>
      </w:r>
    </w:p>
    <w:p>
      <w:pPr>
        <w:pStyle w:val="BodyText"/>
        <w:spacing w:before="240"/>
        <w:rPr>
          <w:i/>
        </w:rPr>
      </w:pPr>
    </w:p>
    <w:p>
      <w:pPr>
        <w:pStyle w:val="BodyText"/>
        <w:spacing w:before="1"/>
        <w:ind w:left="1260"/>
      </w:pPr>
      <w:r>
        <w:rPr/>
        <w:t>The</w:t>
      </w:r>
      <w:r>
        <w:rPr>
          <w:spacing w:val="-5"/>
        </w:rPr>
        <w:t> </w:t>
      </w:r>
      <w:r>
        <w:rPr/>
        <w:t>quantitation</w:t>
      </w:r>
      <w:r>
        <w:rPr>
          <w:spacing w:val="-1"/>
        </w:rPr>
        <w:t> </w:t>
      </w:r>
      <w:r>
        <w:rPr/>
        <w:t>limit (LOQ)</w:t>
      </w:r>
      <w:r>
        <w:rPr>
          <w:spacing w:val="-1"/>
        </w:rPr>
        <w:t> </w:t>
      </w:r>
      <w:r>
        <w:rPr/>
        <w:t>was</w:t>
      </w:r>
      <w:r>
        <w:rPr>
          <w:spacing w:val="-1"/>
        </w:rPr>
        <w:t> </w:t>
      </w:r>
      <w:r>
        <w:rPr/>
        <w:t>determined using</w:t>
      </w:r>
      <w:r>
        <w:rPr>
          <w:spacing w:val="-4"/>
        </w:rPr>
        <w:t> </w:t>
      </w:r>
      <w:r>
        <w:rPr/>
        <w:t>the</w:t>
      </w:r>
      <w:r>
        <w:rPr>
          <w:spacing w:val="1"/>
        </w:rPr>
        <w:t> </w:t>
      </w:r>
      <w:r>
        <w:rPr>
          <w:spacing w:val="-2"/>
        </w:rPr>
        <w:t>expression:</w:t>
      </w:r>
    </w:p>
    <w:p>
      <w:pPr>
        <w:pStyle w:val="BodyText"/>
        <w:spacing w:before="239"/>
      </w:pPr>
    </w:p>
    <w:p>
      <w:pPr>
        <w:pStyle w:val="BodyText"/>
        <w:tabs>
          <w:tab w:pos="4437" w:val="left" w:leader="dot"/>
        </w:tabs>
        <w:spacing w:before="1"/>
        <w:ind w:left="1200"/>
      </w:pPr>
      <w:r>
        <w:rPr/>
        <w:t>LOQ</w:t>
      </w:r>
      <w:r>
        <w:rPr>
          <w:spacing w:val="-2"/>
        </w:rPr>
        <w:t> </w:t>
      </w:r>
      <w:r>
        <w:rPr/>
        <w:t>=</w:t>
      </w:r>
      <w:r>
        <w:rPr>
          <w:spacing w:val="-2"/>
        </w:rPr>
        <w:t> </w:t>
      </w:r>
      <w:r>
        <w:rPr/>
        <w:t>10σ</w:t>
      </w:r>
      <w:r>
        <w:rPr>
          <w:spacing w:val="-2"/>
        </w:rPr>
        <w:t> </w:t>
      </w:r>
      <w:r>
        <w:rPr/>
        <w:t>/</w:t>
      </w:r>
      <w:r>
        <w:rPr>
          <w:spacing w:val="-1"/>
        </w:rPr>
        <w:t> </w:t>
      </w:r>
      <w:r>
        <w:rPr>
          <w:spacing w:val="-10"/>
        </w:rPr>
        <w:t>S</w:t>
      </w:r>
      <w:r>
        <w:rPr/>
        <w:tab/>
        <w:t>Formula</w:t>
      </w:r>
      <w:r>
        <w:rPr>
          <w:spacing w:val="-6"/>
        </w:rPr>
        <w:t> </w:t>
      </w:r>
      <w:r>
        <w:rPr>
          <w:spacing w:val="-10"/>
        </w:rPr>
        <w:t>5</w:t>
      </w:r>
    </w:p>
    <w:p>
      <w:pPr>
        <w:pStyle w:val="BodyText"/>
        <w:spacing w:before="240"/>
      </w:pPr>
    </w:p>
    <w:p>
      <w:pPr>
        <w:pStyle w:val="BodyText"/>
        <w:spacing w:line="482" w:lineRule="auto"/>
        <w:ind w:left="1200" w:right="1436"/>
        <w:jc w:val="both"/>
      </w:pPr>
      <w:r>
        <w:rPr/>
        <w:t>Where σ is the standard deviation of y-intercepts of the regression lines and S is the slope of the calibration curve.</w:t>
      </w:r>
    </w:p>
    <w:p>
      <w:pPr>
        <w:spacing w:after="0" w:line="482" w:lineRule="auto"/>
        <w:jc w:val="both"/>
        <w:sectPr>
          <w:pgSz w:w="12240" w:h="15840"/>
          <w:pgMar w:header="0" w:footer="1015" w:top="1380" w:bottom="1200" w:left="240" w:right="0"/>
        </w:sectPr>
      </w:pPr>
    </w:p>
    <w:p>
      <w:pPr>
        <w:pStyle w:val="Heading3"/>
      </w:pPr>
      <w:bookmarkStart w:name="_TOC_250007" w:id="27"/>
      <w:r>
        <w:rPr/>
        <w:t>3.2.9</w:t>
      </w:r>
      <w:r>
        <w:rPr>
          <w:spacing w:val="-1"/>
        </w:rPr>
        <w:t> </w:t>
      </w:r>
      <w:r>
        <w:rPr/>
        <w:t>Statistical</w:t>
      </w:r>
      <w:r>
        <w:rPr>
          <w:spacing w:val="-1"/>
        </w:rPr>
        <w:t> </w:t>
      </w:r>
      <w:bookmarkEnd w:id="27"/>
      <w:r>
        <w:rPr>
          <w:spacing w:val="-2"/>
        </w:rPr>
        <w:t>analysis.</w:t>
      </w:r>
    </w:p>
    <w:p>
      <w:pPr>
        <w:pStyle w:val="BodyText"/>
        <w:spacing w:before="157"/>
        <w:rPr>
          <w:b/>
        </w:rPr>
      </w:pPr>
    </w:p>
    <w:p>
      <w:pPr>
        <w:pStyle w:val="BodyText"/>
        <w:spacing w:line="480" w:lineRule="auto"/>
        <w:ind w:left="1200" w:right="1440"/>
        <w:jc w:val="both"/>
      </w:pPr>
      <w:r>
        <w:rPr/>
        <w:t>Results were expressed as mean ± SD using IBM statistical package for social sciences (SPSS)summer 2013 version 2.0 software at p &lt; 0.05. Difference between the mean of the developed methods and that of official standard was insignificant.</w:t>
      </w:r>
    </w:p>
    <w:p>
      <w:pPr>
        <w:spacing w:after="0" w:line="480" w:lineRule="auto"/>
        <w:jc w:val="both"/>
        <w:sectPr>
          <w:pgSz w:w="12240" w:h="15840"/>
          <w:pgMar w:header="0" w:footer="1015" w:top="1360" w:bottom="1200" w:left="240" w:right="0"/>
        </w:sectPr>
      </w:pPr>
    </w:p>
    <w:p>
      <w:pPr>
        <w:pStyle w:val="Heading2"/>
        <w:spacing w:before="76"/>
        <w:ind w:right="1496"/>
      </w:pPr>
      <w:bookmarkStart w:name="_TOC_250006" w:id="28"/>
      <w:r>
        <w:rPr/>
        <w:t>CHAPTER</w:t>
      </w:r>
      <w:r>
        <w:rPr>
          <w:spacing w:val="-5"/>
        </w:rPr>
        <w:t> </w:t>
      </w:r>
      <w:bookmarkEnd w:id="28"/>
      <w:r>
        <w:rPr>
          <w:spacing w:val="-4"/>
        </w:rPr>
        <w:t>FOUR</w:t>
      </w:r>
    </w:p>
    <w:p>
      <w:pPr>
        <w:pStyle w:val="BodyText"/>
        <w:spacing w:before="161"/>
        <w:rPr>
          <w:b/>
        </w:rPr>
      </w:pPr>
    </w:p>
    <w:p>
      <w:pPr>
        <w:pStyle w:val="Heading2"/>
        <w:numPr>
          <w:ilvl w:val="1"/>
          <w:numId w:val="14"/>
        </w:numPr>
        <w:tabs>
          <w:tab w:pos="5513" w:val="left" w:leader="none"/>
        </w:tabs>
        <w:spacing w:line="240" w:lineRule="auto" w:before="1" w:after="0"/>
        <w:ind w:left="5513" w:right="0" w:hanging="360"/>
        <w:jc w:val="left"/>
      </w:pPr>
      <w:bookmarkStart w:name="_TOC_250005" w:id="29"/>
      <w:bookmarkEnd w:id="29"/>
      <w:r>
        <w:rPr>
          <w:spacing w:val="-2"/>
        </w:rPr>
        <w:t>RESULTS</w:t>
      </w:r>
    </w:p>
    <w:p>
      <w:pPr>
        <w:pStyle w:val="Heading3"/>
        <w:numPr>
          <w:ilvl w:val="1"/>
          <w:numId w:val="14"/>
        </w:numPr>
        <w:tabs>
          <w:tab w:pos="3108" w:val="left" w:leader="none"/>
        </w:tabs>
        <w:spacing w:line="240" w:lineRule="auto" w:before="175" w:after="0"/>
        <w:ind w:left="3108" w:right="0" w:hanging="360"/>
        <w:jc w:val="left"/>
      </w:pPr>
      <w:r>
        <w:rPr/>
        <w:t>Quality</w:t>
      </w:r>
      <w:r>
        <w:rPr>
          <w:spacing w:val="-2"/>
        </w:rPr>
        <w:t> </w:t>
      </w:r>
      <w:r>
        <w:rPr/>
        <w:t>Control</w:t>
      </w:r>
      <w:r>
        <w:rPr>
          <w:spacing w:val="-2"/>
        </w:rPr>
        <w:t> </w:t>
      </w:r>
      <w:r>
        <w:rPr/>
        <w:t>of isoniazid</w:t>
      </w:r>
      <w:r>
        <w:rPr>
          <w:spacing w:val="-1"/>
        </w:rPr>
        <w:t> </w:t>
      </w:r>
      <w:r>
        <w:rPr/>
        <w:t>Standard Powder</w:t>
      </w:r>
      <w:r>
        <w:rPr>
          <w:spacing w:val="-3"/>
        </w:rPr>
        <w:t> </w:t>
      </w:r>
      <w:r>
        <w:rPr/>
        <w:t>and</w:t>
      </w:r>
      <w:r>
        <w:rPr>
          <w:spacing w:val="-1"/>
        </w:rPr>
        <w:t> </w:t>
      </w:r>
      <w:r>
        <w:rPr>
          <w:spacing w:val="-2"/>
        </w:rPr>
        <w:t>Tablet</w:t>
      </w:r>
    </w:p>
    <w:p>
      <w:pPr>
        <w:pStyle w:val="BodyText"/>
        <w:spacing w:before="170"/>
        <w:ind w:left="1200"/>
      </w:pPr>
      <w:r>
        <w:rPr/>
        <w:t>The</w:t>
      </w:r>
      <w:r>
        <w:rPr>
          <w:spacing w:val="21"/>
        </w:rPr>
        <w:t> </w:t>
      </w:r>
      <w:r>
        <w:rPr/>
        <w:t>labeled</w:t>
      </w:r>
      <w:r>
        <w:rPr>
          <w:spacing w:val="26"/>
        </w:rPr>
        <w:t> </w:t>
      </w:r>
      <w:r>
        <w:rPr/>
        <w:t>information</w:t>
      </w:r>
      <w:r>
        <w:rPr>
          <w:spacing w:val="26"/>
        </w:rPr>
        <w:t> </w:t>
      </w:r>
      <w:r>
        <w:rPr/>
        <w:t>of</w:t>
      </w:r>
      <w:r>
        <w:rPr>
          <w:spacing w:val="22"/>
        </w:rPr>
        <w:t> </w:t>
      </w:r>
      <w:r>
        <w:rPr/>
        <w:t>the</w:t>
      </w:r>
      <w:r>
        <w:rPr>
          <w:spacing w:val="24"/>
        </w:rPr>
        <w:t> </w:t>
      </w:r>
      <w:r>
        <w:rPr/>
        <w:t>isoniazid</w:t>
      </w:r>
      <w:r>
        <w:rPr>
          <w:spacing w:val="25"/>
        </w:rPr>
        <w:t> </w:t>
      </w:r>
      <w:r>
        <w:rPr/>
        <w:t>tablet</w:t>
      </w:r>
      <w:r>
        <w:rPr>
          <w:spacing w:val="24"/>
        </w:rPr>
        <w:t> </w:t>
      </w:r>
      <w:r>
        <w:rPr/>
        <w:t>sample</w:t>
      </w:r>
      <w:r>
        <w:rPr>
          <w:spacing w:val="23"/>
        </w:rPr>
        <w:t> </w:t>
      </w:r>
      <w:r>
        <w:rPr/>
        <w:t>used</w:t>
      </w:r>
      <w:r>
        <w:rPr>
          <w:spacing w:val="23"/>
        </w:rPr>
        <w:t> </w:t>
      </w:r>
      <w:r>
        <w:rPr/>
        <w:t>for</w:t>
      </w:r>
      <w:r>
        <w:rPr>
          <w:spacing w:val="24"/>
        </w:rPr>
        <w:t> </w:t>
      </w:r>
      <w:r>
        <w:rPr/>
        <w:t>this</w:t>
      </w:r>
      <w:r>
        <w:rPr>
          <w:spacing w:val="24"/>
        </w:rPr>
        <w:t> </w:t>
      </w:r>
      <w:r>
        <w:rPr/>
        <w:t>study</w:t>
      </w:r>
      <w:r>
        <w:rPr>
          <w:spacing w:val="22"/>
        </w:rPr>
        <w:t> </w:t>
      </w:r>
      <w:r>
        <w:rPr/>
        <w:t>is</w:t>
      </w:r>
      <w:r>
        <w:rPr>
          <w:spacing w:val="24"/>
        </w:rPr>
        <w:t> </w:t>
      </w:r>
      <w:r>
        <w:rPr/>
        <w:t>presented</w:t>
      </w:r>
      <w:r>
        <w:rPr>
          <w:spacing w:val="25"/>
        </w:rPr>
        <w:t> </w:t>
      </w:r>
      <w:r>
        <w:rPr/>
        <w:t>in</w:t>
      </w:r>
      <w:r>
        <w:rPr>
          <w:spacing w:val="24"/>
        </w:rPr>
        <w:t> </w:t>
      </w:r>
      <w:r>
        <w:rPr>
          <w:spacing w:val="-2"/>
        </w:rPr>
        <w:t>table</w:t>
      </w:r>
    </w:p>
    <w:p>
      <w:pPr>
        <w:pStyle w:val="BodyText"/>
        <w:spacing w:before="5"/>
      </w:pPr>
    </w:p>
    <w:p>
      <w:pPr>
        <w:pStyle w:val="ListParagraph"/>
        <w:numPr>
          <w:ilvl w:val="2"/>
          <w:numId w:val="14"/>
        </w:numPr>
        <w:tabs>
          <w:tab w:pos="1680" w:val="left" w:leader="none"/>
        </w:tabs>
        <w:spacing w:line="480" w:lineRule="auto" w:before="0" w:after="0"/>
        <w:ind w:left="1200" w:right="1438" w:firstLine="0"/>
        <w:jc w:val="left"/>
        <w:rPr>
          <w:b/>
          <w:sz w:val="24"/>
        </w:rPr>
      </w:pPr>
      <w:r>
        <w:rPr>
          <w:b/>
          <w:sz w:val="24"/>
        </w:rPr>
        <w:t>The</w:t>
      </w:r>
      <w:r>
        <w:rPr>
          <w:b/>
          <w:spacing w:val="38"/>
          <w:sz w:val="24"/>
        </w:rPr>
        <w:t> </w:t>
      </w:r>
      <w:r>
        <w:rPr>
          <w:b/>
          <w:sz w:val="24"/>
        </w:rPr>
        <w:t>melting</w:t>
      </w:r>
      <w:r>
        <w:rPr>
          <w:b/>
          <w:spacing w:val="38"/>
          <w:sz w:val="24"/>
        </w:rPr>
        <w:t> </w:t>
      </w:r>
      <w:r>
        <w:rPr>
          <w:b/>
          <w:sz w:val="24"/>
        </w:rPr>
        <w:t>point</w:t>
      </w:r>
      <w:r>
        <w:rPr>
          <w:b/>
          <w:spacing w:val="35"/>
          <w:sz w:val="24"/>
        </w:rPr>
        <w:t> </w:t>
      </w:r>
      <w:r>
        <w:rPr>
          <w:b/>
          <w:sz w:val="24"/>
        </w:rPr>
        <w:t>of</w:t>
      </w:r>
      <w:r>
        <w:rPr>
          <w:b/>
          <w:spacing w:val="38"/>
          <w:sz w:val="24"/>
        </w:rPr>
        <w:t> </w:t>
      </w:r>
      <w:r>
        <w:rPr>
          <w:b/>
          <w:sz w:val="24"/>
        </w:rPr>
        <w:t>both</w:t>
      </w:r>
      <w:r>
        <w:rPr>
          <w:b/>
          <w:spacing w:val="37"/>
          <w:sz w:val="24"/>
        </w:rPr>
        <w:t> </w:t>
      </w:r>
      <w:r>
        <w:rPr>
          <w:b/>
          <w:sz w:val="24"/>
        </w:rPr>
        <w:t>isoniazid</w:t>
      </w:r>
      <w:r>
        <w:rPr>
          <w:b/>
          <w:spacing w:val="40"/>
          <w:sz w:val="24"/>
        </w:rPr>
        <w:t> </w:t>
      </w:r>
      <w:r>
        <w:rPr>
          <w:b/>
          <w:sz w:val="24"/>
        </w:rPr>
        <w:t>standard</w:t>
      </w:r>
      <w:r>
        <w:rPr>
          <w:b/>
          <w:spacing w:val="39"/>
          <w:sz w:val="24"/>
        </w:rPr>
        <w:t> </w:t>
      </w:r>
      <w:r>
        <w:rPr>
          <w:b/>
          <w:sz w:val="24"/>
        </w:rPr>
        <w:t>powder</w:t>
      </w:r>
      <w:r>
        <w:rPr>
          <w:b/>
          <w:spacing w:val="38"/>
          <w:sz w:val="24"/>
        </w:rPr>
        <w:t> </w:t>
      </w:r>
      <w:r>
        <w:rPr>
          <w:b/>
          <w:sz w:val="24"/>
        </w:rPr>
        <w:t>and</w:t>
      </w:r>
      <w:r>
        <w:rPr>
          <w:b/>
          <w:spacing w:val="39"/>
          <w:sz w:val="24"/>
        </w:rPr>
        <w:t> </w:t>
      </w:r>
      <w:r>
        <w:rPr>
          <w:b/>
          <w:sz w:val="24"/>
        </w:rPr>
        <w:t>tablet</w:t>
      </w:r>
      <w:r>
        <w:rPr>
          <w:b/>
          <w:spacing w:val="38"/>
          <w:sz w:val="24"/>
        </w:rPr>
        <w:t> </w:t>
      </w:r>
      <w:r>
        <w:rPr>
          <w:b/>
          <w:sz w:val="24"/>
        </w:rPr>
        <w:t>sample</w:t>
      </w:r>
      <w:r>
        <w:rPr>
          <w:b/>
          <w:spacing w:val="38"/>
          <w:sz w:val="24"/>
        </w:rPr>
        <w:t> </w:t>
      </w:r>
      <w:r>
        <w:rPr>
          <w:b/>
          <w:sz w:val="24"/>
        </w:rPr>
        <w:t>are</w:t>
      </w:r>
      <w:r>
        <w:rPr>
          <w:b/>
          <w:spacing w:val="38"/>
          <w:sz w:val="24"/>
        </w:rPr>
        <w:t> </w:t>
      </w:r>
      <w:r>
        <w:rPr>
          <w:b/>
          <w:sz w:val="24"/>
        </w:rPr>
        <w:t>shown </w:t>
      </w:r>
      <w:r>
        <w:rPr>
          <w:b/>
          <w:spacing w:val="-2"/>
          <w:sz w:val="24"/>
        </w:rPr>
        <w:t>intable</w:t>
      </w:r>
    </w:p>
    <w:p>
      <w:pPr>
        <w:pStyle w:val="ListParagraph"/>
        <w:numPr>
          <w:ilvl w:val="2"/>
          <w:numId w:val="14"/>
        </w:numPr>
        <w:tabs>
          <w:tab w:pos="1680" w:val="left" w:leader="none"/>
        </w:tabs>
        <w:spacing w:line="240" w:lineRule="auto" w:before="162" w:after="0"/>
        <w:ind w:left="1680" w:right="0" w:hanging="480"/>
        <w:jc w:val="left"/>
        <w:rPr>
          <w:b/>
          <w:sz w:val="24"/>
        </w:rPr>
      </w:pPr>
      <w:r>
        <w:rPr>
          <w:b/>
          <w:sz w:val="24"/>
        </w:rPr>
        <w:t>while</w:t>
      </w:r>
      <w:r>
        <w:rPr>
          <w:b/>
          <w:spacing w:val="-2"/>
          <w:sz w:val="24"/>
        </w:rPr>
        <w:t> </w:t>
      </w:r>
      <w:r>
        <w:rPr>
          <w:b/>
          <w:sz w:val="24"/>
        </w:rPr>
        <w:t>their</w:t>
      </w:r>
      <w:r>
        <w:rPr>
          <w:b/>
          <w:spacing w:val="-1"/>
          <w:sz w:val="24"/>
        </w:rPr>
        <w:t> </w:t>
      </w:r>
      <w:r>
        <w:rPr>
          <w:b/>
          <w:sz w:val="24"/>
        </w:rPr>
        <w:t>respective</w:t>
      </w:r>
      <w:r>
        <w:rPr>
          <w:b/>
          <w:spacing w:val="-3"/>
          <w:sz w:val="24"/>
        </w:rPr>
        <w:t> </w:t>
      </w:r>
      <w:r>
        <w:rPr>
          <w:b/>
          <w:sz w:val="24"/>
        </w:rPr>
        <w:t>IR</w:t>
      </w:r>
      <w:r>
        <w:rPr>
          <w:b/>
          <w:spacing w:val="-1"/>
          <w:sz w:val="24"/>
        </w:rPr>
        <w:t> </w:t>
      </w:r>
      <w:r>
        <w:rPr>
          <w:b/>
          <w:sz w:val="24"/>
        </w:rPr>
        <w:t>spectrums</w:t>
      </w:r>
      <w:r>
        <w:rPr>
          <w:b/>
          <w:spacing w:val="-1"/>
          <w:sz w:val="24"/>
        </w:rPr>
        <w:t> </w:t>
      </w:r>
      <w:r>
        <w:rPr>
          <w:b/>
          <w:sz w:val="24"/>
        </w:rPr>
        <w:t>are</w:t>
      </w:r>
      <w:r>
        <w:rPr>
          <w:b/>
          <w:spacing w:val="-1"/>
          <w:sz w:val="24"/>
        </w:rPr>
        <w:t> </w:t>
      </w:r>
      <w:r>
        <w:rPr>
          <w:b/>
          <w:sz w:val="24"/>
        </w:rPr>
        <w:t>presented</w:t>
      </w:r>
      <w:r>
        <w:rPr>
          <w:b/>
          <w:spacing w:val="-2"/>
          <w:sz w:val="24"/>
        </w:rPr>
        <w:t> </w:t>
      </w:r>
      <w:r>
        <w:rPr>
          <w:b/>
          <w:sz w:val="24"/>
        </w:rPr>
        <w:t>in figure</w:t>
      </w:r>
      <w:r>
        <w:rPr>
          <w:b/>
          <w:spacing w:val="-2"/>
          <w:sz w:val="24"/>
        </w:rPr>
        <w:t> </w:t>
      </w:r>
      <w:r>
        <w:rPr>
          <w:b/>
          <w:sz w:val="24"/>
        </w:rPr>
        <w:t>4.1</w:t>
      </w:r>
      <w:r>
        <w:rPr>
          <w:b/>
          <w:spacing w:val="-2"/>
          <w:sz w:val="24"/>
        </w:rPr>
        <w:t> </w:t>
      </w:r>
      <w:r>
        <w:rPr>
          <w:b/>
          <w:sz w:val="24"/>
        </w:rPr>
        <w:t>and</w:t>
      </w:r>
      <w:r>
        <w:rPr>
          <w:b/>
          <w:spacing w:val="-1"/>
          <w:sz w:val="24"/>
        </w:rPr>
        <w:t> </w:t>
      </w:r>
      <w:r>
        <w:rPr>
          <w:b/>
          <w:sz w:val="24"/>
        </w:rPr>
        <w:t>4.2</w:t>
      </w:r>
      <w:r>
        <w:rPr>
          <w:b/>
          <w:spacing w:val="-1"/>
          <w:sz w:val="24"/>
        </w:rPr>
        <w:t> </w:t>
      </w:r>
      <w:r>
        <w:rPr>
          <w:b/>
          <w:spacing w:val="-2"/>
          <w:sz w:val="24"/>
        </w:rPr>
        <w:t>respectively.</w:t>
      </w:r>
    </w:p>
    <w:p>
      <w:pPr>
        <w:pStyle w:val="BodyText"/>
        <w:spacing w:before="160"/>
        <w:rPr>
          <w:b/>
        </w:rPr>
      </w:pPr>
    </w:p>
    <w:p>
      <w:pPr>
        <w:spacing w:before="1"/>
        <w:ind w:left="1200" w:right="0" w:firstLine="0"/>
        <w:jc w:val="left"/>
        <w:rPr>
          <w:b/>
          <w:sz w:val="24"/>
        </w:rPr>
      </w:pPr>
      <w:r>
        <w:rPr>
          <w:b/>
          <w:sz w:val="24"/>
        </w:rPr>
        <w:t>Table</w:t>
      </w:r>
      <w:r>
        <w:rPr>
          <w:b/>
          <w:spacing w:val="-4"/>
          <w:sz w:val="24"/>
        </w:rPr>
        <w:t> </w:t>
      </w:r>
      <w:r>
        <w:rPr>
          <w:b/>
          <w:sz w:val="24"/>
        </w:rPr>
        <w:t>4.1:</w:t>
      </w:r>
      <w:r>
        <w:rPr>
          <w:b/>
          <w:spacing w:val="-2"/>
          <w:sz w:val="24"/>
        </w:rPr>
        <w:t> </w:t>
      </w:r>
      <w:r>
        <w:rPr>
          <w:b/>
          <w:sz w:val="24"/>
        </w:rPr>
        <w:t>Information of</w:t>
      </w:r>
      <w:r>
        <w:rPr>
          <w:b/>
          <w:spacing w:val="1"/>
          <w:sz w:val="24"/>
        </w:rPr>
        <w:t> </w:t>
      </w:r>
      <w:r>
        <w:rPr>
          <w:b/>
          <w:sz w:val="24"/>
        </w:rPr>
        <w:t>isoniazid tablet</w:t>
      </w:r>
      <w:r>
        <w:rPr>
          <w:b/>
          <w:spacing w:val="-2"/>
          <w:sz w:val="24"/>
        </w:rPr>
        <w:t> </w:t>
      </w:r>
      <w:r>
        <w:rPr>
          <w:b/>
          <w:sz w:val="24"/>
        </w:rPr>
        <w:t>used</w:t>
      </w:r>
      <w:r>
        <w:rPr>
          <w:b/>
          <w:spacing w:val="-3"/>
          <w:sz w:val="24"/>
        </w:rPr>
        <w:t> </w:t>
      </w:r>
      <w:r>
        <w:rPr>
          <w:b/>
          <w:sz w:val="24"/>
        </w:rPr>
        <w:t>in the</w:t>
      </w:r>
      <w:r>
        <w:rPr>
          <w:b/>
          <w:spacing w:val="-2"/>
          <w:sz w:val="24"/>
        </w:rPr>
        <w:t> research</w:t>
      </w:r>
    </w:p>
    <w:p>
      <w:pPr>
        <w:pStyle w:val="BodyText"/>
        <w:spacing w:before="5" w:after="1"/>
        <w:rPr>
          <w:b/>
          <w:sz w:val="15"/>
        </w:rPr>
      </w:pP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1"/>
        <w:gridCol w:w="1617"/>
        <w:gridCol w:w="1878"/>
        <w:gridCol w:w="1291"/>
        <w:gridCol w:w="1333"/>
        <w:gridCol w:w="1347"/>
        <w:gridCol w:w="1789"/>
      </w:tblGrid>
      <w:tr>
        <w:trPr>
          <w:trHeight w:val="584" w:hRule="atLeast"/>
        </w:trPr>
        <w:tc>
          <w:tcPr>
            <w:tcW w:w="1191" w:type="dxa"/>
            <w:tcBorders>
              <w:top w:val="single" w:sz="8" w:space="0" w:color="000000"/>
              <w:bottom w:val="single" w:sz="8" w:space="0" w:color="000000"/>
            </w:tcBorders>
          </w:tcPr>
          <w:p>
            <w:pPr>
              <w:pStyle w:val="TableParagraph"/>
              <w:spacing w:line="272" w:lineRule="exact"/>
              <w:ind w:left="115"/>
              <w:rPr>
                <w:b/>
                <w:sz w:val="24"/>
              </w:rPr>
            </w:pPr>
            <w:r>
              <w:rPr>
                <w:b/>
                <w:spacing w:val="-4"/>
                <w:sz w:val="24"/>
              </w:rPr>
              <w:t>Drug</w:t>
            </w:r>
          </w:p>
        </w:tc>
        <w:tc>
          <w:tcPr>
            <w:tcW w:w="1617" w:type="dxa"/>
            <w:tcBorders>
              <w:top w:val="single" w:sz="8" w:space="0" w:color="000000"/>
              <w:bottom w:val="single" w:sz="8" w:space="0" w:color="000000"/>
            </w:tcBorders>
          </w:tcPr>
          <w:p>
            <w:pPr>
              <w:pStyle w:val="TableParagraph"/>
              <w:spacing w:line="272" w:lineRule="exact"/>
              <w:ind w:left="544"/>
              <w:rPr>
                <w:b/>
                <w:sz w:val="24"/>
              </w:rPr>
            </w:pPr>
            <w:r>
              <w:rPr>
                <w:b/>
                <w:spacing w:val="-2"/>
                <w:sz w:val="24"/>
              </w:rPr>
              <w:t>Source</w:t>
            </w:r>
          </w:p>
        </w:tc>
        <w:tc>
          <w:tcPr>
            <w:tcW w:w="1878" w:type="dxa"/>
            <w:tcBorders>
              <w:top w:val="single" w:sz="8" w:space="0" w:color="000000"/>
              <w:bottom w:val="single" w:sz="8" w:space="0" w:color="000000"/>
            </w:tcBorders>
          </w:tcPr>
          <w:p>
            <w:pPr>
              <w:pStyle w:val="TableParagraph"/>
              <w:spacing w:line="272" w:lineRule="exact"/>
              <w:ind w:left="367"/>
              <w:rPr>
                <w:b/>
                <w:sz w:val="24"/>
              </w:rPr>
            </w:pPr>
            <w:r>
              <w:rPr>
                <w:b/>
                <w:sz w:val="24"/>
              </w:rPr>
              <w:t>INH</w:t>
            </w:r>
            <w:r>
              <w:rPr>
                <w:b/>
                <w:spacing w:val="34"/>
                <w:sz w:val="24"/>
              </w:rPr>
              <w:t>  </w:t>
            </w:r>
            <w:r>
              <w:rPr>
                <w:b/>
                <w:spacing w:val="-2"/>
                <w:sz w:val="24"/>
              </w:rPr>
              <w:t>content</w:t>
            </w:r>
          </w:p>
          <w:p>
            <w:pPr>
              <w:pStyle w:val="TableParagraph"/>
              <w:spacing w:line="240" w:lineRule="auto" w:before="12"/>
              <w:ind w:left="367"/>
              <w:rPr>
                <w:sz w:val="24"/>
              </w:rPr>
            </w:pPr>
            <w:r>
              <w:rPr>
                <w:spacing w:val="-4"/>
                <w:sz w:val="24"/>
              </w:rPr>
              <w:t>(mg)</w:t>
            </w:r>
          </w:p>
        </w:tc>
        <w:tc>
          <w:tcPr>
            <w:tcW w:w="1291" w:type="dxa"/>
            <w:tcBorders>
              <w:top w:val="single" w:sz="8" w:space="0" w:color="000000"/>
              <w:bottom w:val="single" w:sz="8" w:space="0" w:color="000000"/>
            </w:tcBorders>
          </w:tcPr>
          <w:p>
            <w:pPr>
              <w:pStyle w:val="TableParagraph"/>
              <w:spacing w:line="268" w:lineRule="exact"/>
              <w:ind w:left="109"/>
              <w:rPr>
                <w:sz w:val="24"/>
              </w:rPr>
            </w:pPr>
            <w:r>
              <w:rPr>
                <w:b/>
                <w:sz w:val="24"/>
              </w:rPr>
              <w:t>Batch</w:t>
            </w:r>
            <w:r>
              <w:rPr>
                <w:b/>
                <w:spacing w:val="-2"/>
                <w:sz w:val="24"/>
              </w:rPr>
              <w:t> </w:t>
            </w:r>
            <w:r>
              <w:rPr>
                <w:b/>
                <w:spacing w:val="-5"/>
                <w:sz w:val="24"/>
              </w:rPr>
              <w:t>No</w:t>
            </w:r>
            <w:r>
              <w:rPr>
                <w:spacing w:val="-5"/>
                <w:sz w:val="24"/>
              </w:rPr>
              <w:t>.</w:t>
            </w:r>
          </w:p>
        </w:tc>
        <w:tc>
          <w:tcPr>
            <w:tcW w:w="1333" w:type="dxa"/>
            <w:tcBorders>
              <w:top w:val="single" w:sz="8" w:space="0" w:color="000000"/>
              <w:bottom w:val="single" w:sz="8" w:space="0" w:color="000000"/>
            </w:tcBorders>
          </w:tcPr>
          <w:p>
            <w:pPr>
              <w:pStyle w:val="TableParagraph"/>
              <w:spacing w:line="272" w:lineRule="exact"/>
              <w:ind w:left="170"/>
              <w:rPr>
                <w:b/>
                <w:sz w:val="24"/>
              </w:rPr>
            </w:pPr>
            <w:r>
              <w:rPr>
                <w:b/>
                <w:sz w:val="24"/>
              </w:rPr>
              <w:t>Man</w:t>
            </w:r>
            <w:r>
              <w:rPr>
                <w:b/>
                <w:spacing w:val="-3"/>
                <w:sz w:val="24"/>
              </w:rPr>
              <w:t> </w:t>
            </w:r>
            <w:r>
              <w:rPr>
                <w:b/>
                <w:spacing w:val="-4"/>
                <w:sz w:val="24"/>
              </w:rPr>
              <w:t>date</w:t>
            </w:r>
          </w:p>
        </w:tc>
        <w:tc>
          <w:tcPr>
            <w:tcW w:w="1347" w:type="dxa"/>
            <w:tcBorders>
              <w:top w:val="single" w:sz="8" w:space="0" w:color="000000"/>
              <w:bottom w:val="single" w:sz="8" w:space="0" w:color="000000"/>
            </w:tcBorders>
          </w:tcPr>
          <w:p>
            <w:pPr>
              <w:pStyle w:val="TableParagraph"/>
              <w:spacing w:line="272" w:lineRule="exact"/>
              <w:ind w:left="186"/>
              <w:rPr>
                <w:b/>
                <w:sz w:val="24"/>
              </w:rPr>
            </w:pPr>
            <w:r>
              <w:rPr>
                <w:b/>
                <w:sz w:val="24"/>
              </w:rPr>
              <w:t>Exp.</w:t>
            </w:r>
            <w:r>
              <w:rPr>
                <w:b/>
                <w:spacing w:val="-2"/>
                <w:sz w:val="24"/>
              </w:rPr>
              <w:t> </w:t>
            </w:r>
            <w:r>
              <w:rPr>
                <w:b/>
                <w:spacing w:val="-4"/>
                <w:sz w:val="24"/>
              </w:rPr>
              <w:t>date</w:t>
            </w:r>
          </w:p>
        </w:tc>
        <w:tc>
          <w:tcPr>
            <w:tcW w:w="1789" w:type="dxa"/>
            <w:tcBorders>
              <w:top w:val="single" w:sz="8" w:space="0" w:color="000000"/>
              <w:bottom w:val="single" w:sz="8" w:space="0" w:color="000000"/>
            </w:tcBorders>
          </w:tcPr>
          <w:p>
            <w:pPr>
              <w:pStyle w:val="TableParagraph"/>
              <w:spacing w:line="272" w:lineRule="exact"/>
              <w:ind w:left="190"/>
              <w:rPr>
                <w:b/>
                <w:sz w:val="24"/>
              </w:rPr>
            </w:pPr>
            <w:r>
              <w:rPr>
                <w:b/>
                <w:sz w:val="24"/>
              </w:rPr>
              <w:t>NAFDAC</w:t>
            </w:r>
            <w:r>
              <w:rPr>
                <w:b/>
                <w:spacing w:val="-3"/>
                <w:sz w:val="24"/>
              </w:rPr>
              <w:t> </w:t>
            </w:r>
            <w:r>
              <w:rPr>
                <w:b/>
                <w:spacing w:val="-5"/>
                <w:sz w:val="24"/>
              </w:rPr>
              <w:t>No.</w:t>
            </w:r>
          </w:p>
        </w:tc>
      </w:tr>
      <w:tr>
        <w:trPr>
          <w:trHeight w:val="452" w:hRule="atLeast"/>
        </w:trPr>
        <w:tc>
          <w:tcPr>
            <w:tcW w:w="1191" w:type="dxa"/>
            <w:tcBorders>
              <w:top w:val="single" w:sz="8" w:space="0" w:color="000000"/>
              <w:bottom w:val="single" w:sz="8" w:space="0" w:color="000000"/>
            </w:tcBorders>
          </w:tcPr>
          <w:p>
            <w:pPr>
              <w:pStyle w:val="TableParagraph"/>
              <w:spacing w:line="268" w:lineRule="exact"/>
              <w:ind w:left="115"/>
              <w:rPr>
                <w:sz w:val="24"/>
              </w:rPr>
            </w:pPr>
            <w:r>
              <w:rPr>
                <w:spacing w:val="-5"/>
                <w:sz w:val="24"/>
              </w:rPr>
              <w:t>INH</w:t>
            </w:r>
          </w:p>
        </w:tc>
        <w:tc>
          <w:tcPr>
            <w:tcW w:w="1617" w:type="dxa"/>
            <w:tcBorders>
              <w:top w:val="single" w:sz="8" w:space="0" w:color="000000"/>
              <w:bottom w:val="single" w:sz="8" w:space="0" w:color="000000"/>
            </w:tcBorders>
          </w:tcPr>
          <w:p>
            <w:pPr>
              <w:pStyle w:val="TableParagraph"/>
              <w:spacing w:line="268" w:lineRule="exact"/>
              <w:ind w:left="544"/>
              <w:rPr>
                <w:sz w:val="24"/>
              </w:rPr>
            </w:pPr>
            <w:r>
              <w:rPr>
                <w:spacing w:val="-2"/>
                <w:sz w:val="24"/>
              </w:rPr>
              <w:t>India</w:t>
            </w:r>
          </w:p>
        </w:tc>
        <w:tc>
          <w:tcPr>
            <w:tcW w:w="1878" w:type="dxa"/>
            <w:tcBorders>
              <w:top w:val="single" w:sz="8" w:space="0" w:color="000000"/>
              <w:bottom w:val="single" w:sz="8" w:space="0" w:color="000000"/>
            </w:tcBorders>
          </w:tcPr>
          <w:p>
            <w:pPr>
              <w:pStyle w:val="TableParagraph"/>
              <w:spacing w:line="268" w:lineRule="exact"/>
              <w:ind w:left="367"/>
              <w:rPr>
                <w:sz w:val="24"/>
              </w:rPr>
            </w:pPr>
            <w:r>
              <w:rPr>
                <w:spacing w:val="-5"/>
                <w:sz w:val="24"/>
              </w:rPr>
              <w:t>300</w:t>
            </w:r>
          </w:p>
        </w:tc>
        <w:tc>
          <w:tcPr>
            <w:tcW w:w="1291" w:type="dxa"/>
            <w:tcBorders>
              <w:top w:val="single" w:sz="8" w:space="0" w:color="000000"/>
              <w:bottom w:val="single" w:sz="8" w:space="0" w:color="000000"/>
            </w:tcBorders>
          </w:tcPr>
          <w:p>
            <w:pPr>
              <w:pStyle w:val="TableParagraph"/>
              <w:spacing w:line="268" w:lineRule="exact"/>
              <w:ind w:left="109"/>
              <w:rPr>
                <w:sz w:val="24"/>
              </w:rPr>
            </w:pPr>
            <w:r>
              <w:rPr>
                <w:spacing w:val="-4"/>
                <w:sz w:val="24"/>
              </w:rPr>
              <w:t>TQ27</w:t>
            </w:r>
          </w:p>
        </w:tc>
        <w:tc>
          <w:tcPr>
            <w:tcW w:w="1333" w:type="dxa"/>
            <w:tcBorders>
              <w:top w:val="single" w:sz="8" w:space="0" w:color="000000"/>
              <w:bottom w:val="single" w:sz="8" w:space="0" w:color="000000"/>
            </w:tcBorders>
          </w:tcPr>
          <w:p>
            <w:pPr>
              <w:pStyle w:val="TableParagraph"/>
              <w:spacing w:line="268" w:lineRule="exact"/>
              <w:ind w:left="170"/>
              <w:rPr>
                <w:sz w:val="24"/>
              </w:rPr>
            </w:pPr>
            <w:r>
              <w:rPr>
                <w:spacing w:val="-2"/>
                <w:sz w:val="24"/>
              </w:rPr>
              <w:t>06/2015</w:t>
            </w:r>
          </w:p>
        </w:tc>
        <w:tc>
          <w:tcPr>
            <w:tcW w:w="1347" w:type="dxa"/>
            <w:tcBorders>
              <w:top w:val="single" w:sz="8" w:space="0" w:color="000000"/>
              <w:bottom w:val="single" w:sz="8" w:space="0" w:color="000000"/>
            </w:tcBorders>
          </w:tcPr>
          <w:p>
            <w:pPr>
              <w:pStyle w:val="TableParagraph"/>
              <w:spacing w:line="268" w:lineRule="exact"/>
              <w:ind w:left="186"/>
              <w:rPr>
                <w:sz w:val="24"/>
              </w:rPr>
            </w:pPr>
            <w:r>
              <w:rPr>
                <w:spacing w:val="-2"/>
                <w:sz w:val="24"/>
              </w:rPr>
              <w:t>05/2020</w:t>
            </w:r>
          </w:p>
        </w:tc>
        <w:tc>
          <w:tcPr>
            <w:tcW w:w="1789" w:type="dxa"/>
            <w:tcBorders>
              <w:top w:val="single" w:sz="8" w:space="0" w:color="000000"/>
              <w:bottom w:val="single" w:sz="8" w:space="0" w:color="000000"/>
            </w:tcBorders>
          </w:tcPr>
          <w:p>
            <w:pPr>
              <w:pStyle w:val="TableParagraph"/>
              <w:spacing w:line="268" w:lineRule="exact"/>
              <w:ind w:left="190"/>
              <w:rPr>
                <w:sz w:val="24"/>
              </w:rPr>
            </w:pPr>
            <w:r>
              <w:rPr>
                <w:spacing w:val="-2"/>
                <w:sz w:val="24"/>
              </w:rPr>
              <w:t>A4-</w:t>
            </w:r>
            <w:r>
              <w:rPr>
                <w:spacing w:val="-4"/>
                <w:sz w:val="24"/>
              </w:rPr>
              <w:t>0763</w:t>
            </w:r>
          </w:p>
        </w:tc>
      </w:tr>
    </w:tbl>
    <w:p>
      <w:pPr>
        <w:spacing w:after="0" w:line="268" w:lineRule="exact"/>
        <w:rPr>
          <w:sz w:val="24"/>
        </w:rPr>
        <w:sectPr>
          <w:pgSz w:w="12240" w:h="15840"/>
          <w:pgMar w:header="0" w:footer="1015" w:top="1360" w:bottom="1200" w:left="240" w:right="0"/>
        </w:sectPr>
      </w:pPr>
    </w:p>
    <w:p>
      <w:pPr>
        <w:spacing w:before="76"/>
        <w:ind w:left="1200" w:right="0" w:firstLine="0"/>
        <w:jc w:val="left"/>
        <w:rPr>
          <w:b/>
          <w:sz w:val="24"/>
        </w:rPr>
      </w:pPr>
      <w:r>
        <w:rPr>
          <w:b/>
          <w:sz w:val="24"/>
        </w:rPr>
        <w:t>Table</w:t>
      </w:r>
      <w:r>
        <w:rPr>
          <w:b/>
          <w:spacing w:val="-3"/>
          <w:sz w:val="24"/>
        </w:rPr>
        <w:t> </w:t>
      </w:r>
      <w:r>
        <w:rPr>
          <w:b/>
          <w:sz w:val="24"/>
        </w:rPr>
        <w:t>4.2:</w:t>
      </w:r>
      <w:r>
        <w:rPr>
          <w:b/>
          <w:spacing w:val="-2"/>
          <w:sz w:val="24"/>
        </w:rPr>
        <w:t> </w:t>
      </w:r>
      <w:r>
        <w:rPr>
          <w:b/>
          <w:sz w:val="24"/>
        </w:rPr>
        <w:t>Melting</w:t>
      </w:r>
      <w:r>
        <w:rPr>
          <w:b/>
          <w:spacing w:val="-1"/>
          <w:sz w:val="24"/>
        </w:rPr>
        <w:t> </w:t>
      </w:r>
      <w:r>
        <w:rPr>
          <w:b/>
          <w:sz w:val="24"/>
        </w:rPr>
        <w:t>point</w:t>
      </w:r>
      <w:r>
        <w:rPr>
          <w:b/>
          <w:spacing w:val="-2"/>
          <w:sz w:val="24"/>
        </w:rPr>
        <w:t> </w:t>
      </w:r>
      <w:r>
        <w:rPr>
          <w:b/>
          <w:sz w:val="24"/>
        </w:rPr>
        <w:t>determination</w:t>
      </w:r>
      <w:r>
        <w:rPr>
          <w:b/>
          <w:spacing w:val="1"/>
          <w:sz w:val="24"/>
        </w:rPr>
        <w:t> </w:t>
      </w:r>
      <w:r>
        <w:rPr>
          <w:b/>
          <w:sz w:val="24"/>
        </w:rPr>
        <w:t>of isoniazidstandard</w:t>
      </w:r>
      <w:r>
        <w:rPr>
          <w:b/>
          <w:spacing w:val="-1"/>
          <w:sz w:val="24"/>
        </w:rPr>
        <w:t> </w:t>
      </w:r>
      <w:r>
        <w:rPr>
          <w:b/>
          <w:sz w:val="24"/>
        </w:rPr>
        <w:t>powder</w:t>
      </w:r>
      <w:r>
        <w:rPr>
          <w:b/>
          <w:spacing w:val="-2"/>
          <w:sz w:val="24"/>
        </w:rPr>
        <w:t> </w:t>
      </w:r>
      <w:r>
        <w:rPr>
          <w:b/>
          <w:sz w:val="24"/>
        </w:rPr>
        <w:t>and</w:t>
      </w:r>
      <w:r>
        <w:rPr>
          <w:b/>
          <w:spacing w:val="-1"/>
          <w:sz w:val="24"/>
        </w:rPr>
        <w:t> </w:t>
      </w:r>
      <w:r>
        <w:rPr>
          <w:b/>
          <w:spacing w:val="-2"/>
          <w:sz w:val="24"/>
        </w:rPr>
        <w:t>tablet</w:t>
      </w:r>
    </w:p>
    <w:p>
      <w:pPr>
        <w:pStyle w:val="BodyText"/>
        <w:spacing w:before="7"/>
        <w:rPr>
          <w:b/>
          <w:sz w:val="15"/>
        </w:rPr>
      </w:pP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7"/>
        <w:gridCol w:w="3615"/>
      </w:tblGrid>
      <w:tr>
        <w:trPr>
          <w:trHeight w:val="266" w:hRule="atLeast"/>
        </w:trPr>
        <w:tc>
          <w:tcPr>
            <w:tcW w:w="2777" w:type="dxa"/>
            <w:tcBorders>
              <w:top w:val="single" w:sz="8" w:space="0" w:color="000000"/>
              <w:bottom w:val="single" w:sz="8" w:space="0" w:color="000000"/>
            </w:tcBorders>
          </w:tcPr>
          <w:p>
            <w:pPr>
              <w:pStyle w:val="TableParagraph"/>
              <w:spacing w:line="272" w:lineRule="exact"/>
              <w:ind w:left="115"/>
              <w:rPr>
                <w:b/>
                <w:sz w:val="24"/>
              </w:rPr>
            </w:pPr>
            <w:r>
              <w:rPr>
                <w:b/>
                <w:spacing w:val="-2"/>
                <w:sz w:val="24"/>
              </w:rPr>
              <w:t>Sample</w:t>
            </w:r>
          </w:p>
        </w:tc>
        <w:tc>
          <w:tcPr>
            <w:tcW w:w="3615" w:type="dxa"/>
            <w:tcBorders>
              <w:top w:val="single" w:sz="8" w:space="0" w:color="000000"/>
              <w:bottom w:val="single" w:sz="8" w:space="0" w:color="000000"/>
            </w:tcBorders>
          </w:tcPr>
          <w:p>
            <w:pPr>
              <w:pStyle w:val="TableParagraph"/>
              <w:spacing w:line="272" w:lineRule="exact"/>
              <w:ind w:left="530"/>
              <w:rPr>
                <w:b/>
                <w:sz w:val="24"/>
              </w:rPr>
            </w:pPr>
            <w:r>
              <w:rPr>
                <w:b/>
                <w:sz w:val="24"/>
              </w:rPr>
              <w:t>Melting</w:t>
            </w:r>
            <w:r>
              <w:rPr>
                <w:b/>
                <w:spacing w:val="-2"/>
                <w:sz w:val="24"/>
              </w:rPr>
              <w:t> point</w:t>
            </w:r>
          </w:p>
        </w:tc>
      </w:tr>
      <w:tr>
        <w:trPr>
          <w:trHeight w:val="368" w:hRule="atLeast"/>
        </w:trPr>
        <w:tc>
          <w:tcPr>
            <w:tcW w:w="2777" w:type="dxa"/>
            <w:tcBorders>
              <w:top w:val="single" w:sz="8" w:space="0" w:color="000000"/>
            </w:tcBorders>
          </w:tcPr>
          <w:p>
            <w:pPr>
              <w:pStyle w:val="TableParagraph"/>
              <w:spacing w:line="270" w:lineRule="exact"/>
              <w:ind w:left="115"/>
              <w:rPr>
                <w:sz w:val="24"/>
              </w:rPr>
            </w:pPr>
            <w:r>
              <w:rPr>
                <w:sz w:val="24"/>
              </w:rPr>
              <w:t>Standard</w:t>
            </w:r>
            <w:r>
              <w:rPr>
                <w:spacing w:val="-3"/>
                <w:sz w:val="24"/>
              </w:rPr>
              <w:t> </w:t>
            </w:r>
            <w:r>
              <w:rPr>
                <w:sz w:val="24"/>
              </w:rPr>
              <w:t>INH</w:t>
            </w:r>
            <w:r>
              <w:rPr>
                <w:spacing w:val="-3"/>
                <w:sz w:val="24"/>
              </w:rPr>
              <w:t> </w:t>
            </w:r>
            <w:r>
              <w:rPr>
                <w:spacing w:val="-2"/>
                <w:sz w:val="24"/>
              </w:rPr>
              <w:t>Powder</w:t>
            </w:r>
          </w:p>
        </w:tc>
        <w:tc>
          <w:tcPr>
            <w:tcW w:w="3615" w:type="dxa"/>
            <w:tcBorders>
              <w:top w:val="single" w:sz="8" w:space="0" w:color="000000"/>
            </w:tcBorders>
          </w:tcPr>
          <w:p>
            <w:pPr>
              <w:pStyle w:val="TableParagraph"/>
              <w:spacing w:line="270" w:lineRule="exact"/>
              <w:ind w:left="530"/>
              <w:rPr>
                <w:sz w:val="24"/>
              </w:rPr>
            </w:pPr>
            <w:r>
              <w:rPr>
                <w:sz w:val="24"/>
              </w:rPr>
              <w:t>170 – 172 </w:t>
            </w:r>
            <w:r>
              <w:rPr>
                <w:spacing w:val="-5"/>
                <w:sz w:val="24"/>
                <w:vertAlign w:val="superscript"/>
              </w:rPr>
              <w:t>o</w:t>
            </w:r>
            <w:r>
              <w:rPr>
                <w:spacing w:val="-5"/>
                <w:sz w:val="24"/>
                <w:vertAlign w:val="baseline"/>
              </w:rPr>
              <w:t>C</w:t>
            </w:r>
          </w:p>
        </w:tc>
      </w:tr>
      <w:tr>
        <w:trPr>
          <w:trHeight w:val="563" w:hRule="atLeast"/>
        </w:trPr>
        <w:tc>
          <w:tcPr>
            <w:tcW w:w="2777" w:type="dxa"/>
            <w:tcBorders>
              <w:bottom w:val="single" w:sz="8" w:space="0" w:color="000000"/>
            </w:tcBorders>
          </w:tcPr>
          <w:p>
            <w:pPr>
              <w:pStyle w:val="TableParagraph"/>
              <w:spacing w:line="240" w:lineRule="auto" w:before="102"/>
              <w:ind w:left="115"/>
              <w:rPr>
                <w:sz w:val="24"/>
              </w:rPr>
            </w:pPr>
            <w:r>
              <w:rPr>
                <w:spacing w:val="-2"/>
                <w:sz w:val="24"/>
              </w:rPr>
              <w:t>Tablet</w:t>
            </w:r>
          </w:p>
        </w:tc>
        <w:tc>
          <w:tcPr>
            <w:tcW w:w="3615" w:type="dxa"/>
            <w:tcBorders>
              <w:bottom w:val="single" w:sz="8" w:space="0" w:color="000000"/>
            </w:tcBorders>
          </w:tcPr>
          <w:p>
            <w:pPr>
              <w:pStyle w:val="TableParagraph"/>
              <w:spacing w:line="240" w:lineRule="auto" w:before="102"/>
              <w:ind w:left="530"/>
              <w:rPr>
                <w:sz w:val="24"/>
              </w:rPr>
            </w:pPr>
            <w:r>
              <w:rPr>
                <w:sz w:val="24"/>
              </w:rPr>
              <w:t>172 – 174 </w:t>
            </w:r>
            <w:r>
              <w:rPr>
                <w:spacing w:val="-5"/>
                <w:sz w:val="24"/>
                <w:vertAlign w:val="superscript"/>
              </w:rPr>
              <w:t>o</w:t>
            </w:r>
            <w:r>
              <w:rPr>
                <w:spacing w:val="-5"/>
                <w:sz w:val="24"/>
                <w:vertAlign w:val="baseline"/>
              </w:rPr>
              <w:t>C</w:t>
            </w:r>
          </w:p>
        </w:tc>
      </w:tr>
    </w:tbl>
    <w:p>
      <w:pPr>
        <w:pStyle w:val="BodyText"/>
        <w:spacing w:before="167"/>
        <w:rPr>
          <w:b/>
        </w:rPr>
      </w:pPr>
    </w:p>
    <w:p>
      <w:pPr>
        <w:pStyle w:val="BodyText"/>
        <w:ind w:left="1200"/>
      </w:pPr>
      <w:r>
        <w:rPr/>
        <w:t>Official</w:t>
      </w:r>
      <w:r>
        <w:rPr>
          <w:spacing w:val="-1"/>
        </w:rPr>
        <w:t> </w:t>
      </w:r>
      <w:r>
        <w:rPr/>
        <w:t>reference</w:t>
      </w:r>
      <w:r>
        <w:rPr>
          <w:spacing w:val="-2"/>
        </w:rPr>
        <w:t> </w:t>
      </w:r>
      <w:r>
        <w:rPr/>
        <w:t>standard</w:t>
      </w:r>
      <w:r>
        <w:rPr>
          <w:spacing w:val="1"/>
        </w:rPr>
        <w:t> </w:t>
      </w:r>
      <w:r>
        <w:rPr/>
        <w:t>is170</w:t>
      </w:r>
      <w:r>
        <w:rPr>
          <w:spacing w:val="-1"/>
        </w:rPr>
        <w:t> </w:t>
      </w:r>
      <w:r>
        <w:rPr/>
        <w:t>–</w:t>
      </w:r>
      <w:r>
        <w:rPr>
          <w:spacing w:val="-1"/>
        </w:rPr>
        <w:t> </w:t>
      </w:r>
      <w:r>
        <w:rPr/>
        <w:t>174 </w:t>
      </w:r>
      <w:r>
        <w:rPr>
          <w:spacing w:val="-5"/>
          <w:vertAlign w:val="superscript"/>
        </w:rPr>
        <w:t>o</w:t>
      </w:r>
      <w:r>
        <w:rPr>
          <w:spacing w:val="-5"/>
          <w:vertAlign w:val="baseline"/>
        </w:rPr>
        <w:t>C</w:t>
      </w:r>
    </w:p>
    <w:p>
      <w:pPr>
        <w:spacing w:after="0"/>
        <w:sectPr>
          <w:pgSz w:w="12240" w:h="15840"/>
          <w:pgMar w:header="0" w:footer="1015" w:top="1360" w:bottom="1200" w:left="240" w:right="0"/>
        </w:sectPr>
      </w:pPr>
    </w:p>
    <w:p>
      <w:pPr>
        <w:pStyle w:val="BodyText"/>
        <w:ind w:left="1420"/>
        <w:rPr>
          <w:sz w:val="20"/>
        </w:rPr>
      </w:pPr>
      <w:r>
        <w:rPr>
          <w:sz w:val="20"/>
        </w:rPr>
        <w:drawing>
          <wp:inline distT="0" distB="0" distL="0" distR="0">
            <wp:extent cx="5815791" cy="2940367"/>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16" cstate="print"/>
                    <a:stretch>
                      <a:fillRect/>
                    </a:stretch>
                  </pic:blipFill>
                  <pic:spPr>
                    <a:xfrm>
                      <a:off x="0" y="0"/>
                      <a:ext cx="5815791" cy="2940367"/>
                    </a:xfrm>
                    <a:prstGeom prst="rect">
                      <a:avLst/>
                    </a:prstGeom>
                  </pic:spPr>
                </pic:pic>
              </a:graphicData>
            </a:graphic>
          </wp:inline>
        </w:drawing>
      </w:r>
      <w:r>
        <w:rPr>
          <w:sz w:val="20"/>
        </w:rPr>
      </w:r>
    </w:p>
    <w:p>
      <w:pPr>
        <w:spacing w:line="252" w:lineRule="auto" w:before="164"/>
        <w:ind w:left="1200" w:right="1431" w:firstLine="0"/>
        <w:jc w:val="left"/>
        <w:rPr>
          <w:b/>
          <w:sz w:val="24"/>
        </w:rPr>
      </w:pPr>
      <w:r>
        <w:rPr>
          <w:b/>
          <w:sz w:val="24"/>
        </w:rPr>
        <w:t>Figure</w:t>
      </w:r>
      <w:r>
        <w:rPr>
          <w:b/>
          <w:spacing w:val="-5"/>
          <w:sz w:val="24"/>
        </w:rPr>
        <w:t> </w:t>
      </w:r>
      <w:r>
        <w:rPr>
          <w:b/>
          <w:sz w:val="24"/>
        </w:rPr>
        <w:t>4.1:</w:t>
      </w:r>
      <w:r>
        <w:rPr>
          <w:b/>
          <w:spacing w:val="-3"/>
          <w:sz w:val="24"/>
        </w:rPr>
        <w:t> </w:t>
      </w:r>
      <w:r>
        <w:rPr>
          <w:b/>
          <w:sz w:val="24"/>
        </w:rPr>
        <w:t>FTIR</w:t>
      </w:r>
      <w:r>
        <w:rPr>
          <w:b/>
          <w:spacing w:val="-5"/>
          <w:sz w:val="24"/>
        </w:rPr>
        <w:t> </w:t>
      </w:r>
      <w:r>
        <w:rPr>
          <w:b/>
          <w:sz w:val="24"/>
        </w:rPr>
        <w:t>Spectra</w:t>
      </w:r>
      <w:r>
        <w:rPr>
          <w:b/>
          <w:spacing w:val="-3"/>
          <w:sz w:val="24"/>
        </w:rPr>
        <w:t> </w:t>
      </w:r>
      <w:r>
        <w:rPr>
          <w:b/>
          <w:sz w:val="24"/>
        </w:rPr>
        <w:t>of</w:t>
      </w:r>
      <w:r>
        <w:rPr>
          <w:b/>
          <w:spacing w:val="-3"/>
          <w:sz w:val="24"/>
        </w:rPr>
        <w:t> </w:t>
      </w:r>
      <w:r>
        <w:rPr>
          <w:b/>
          <w:sz w:val="24"/>
        </w:rPr>
        <w:t>isoniazid</w:t>
      </w:r>
      <w:r>
        <w:rPr>
          <w:b/>
          <w:spacing w:val="-3"/>
          <w:sz w:val="24"/>
        </w:rPr>
        <w:t> </w:t>
      </w:r>
      <w:r>
        <w:rPr>
          <w:b/>
          <w:sz w:val="24"/>
        </w:rPr>
        <w:t>standard</w:t>
      </w:r>
      <w:r>
        <w:rPr>
          <w:b/>
          <w:spacing w:val="-6"/>
          <w:sz w:val="24"/>
        </w:rPr>
        <w:t> </w:t>
      </w:r>
      <w:r>
        <w:rPr>
          <w:b/>
          <w:sz w:val="24"/>
        </w:rPr>
        <w:t>powder</w:t>
      </w:r>
      <w:r>
        <w:rPr>
          <w:b/>
          <w:spacing w:val="-5"/>
          <w:sz w:val="24"/>
        </w:rPr>
        <w:t> </w:t>
      </w:r>
      <w:r>
        <w:rPr>
          <w:b/>
          <w:sz w:val="24"/>
        </w:rPr>
        <w:t>and</w:t>
      </w:r>
      <w:r>
        <w:rPr>
          <w:b/>
          <w:spacing w:val="-3"/>
          <w:sz w:val="24"/>
        </w:rPr>
        <w:t> </w:t>
      </w:r>
      <w:r>
        <w:rPr>
          <w:b/>
          <w:sz w:val="24"/>
        </w:rPr>
        <w:t>reference,</w:t>
      </w:r>
      <w:r>
        <w:rPr>
          <w:b/>
          <w:spacing w:val="-2"/>
          <w:sz w:val="24"/>
        </w:rPr>
        <w:t> </w:t>
      </w:r>
      <w:r>
        <w:rPr>
          <w:b/>
          <w:sz w:val="24"/>
        </w:rPr>
        <w:t>superimpose</w:t>
      </w:r>
      <w:r>
        <w:rPr>
          <w:b/>
          <w:spacing w:val="-4"/>
          <w:sz w:val="24"/>
        </w:rPr>
        <w:t> </w:t>
      </w:r>
      <w:r>
        <w:rPr>
          <w:b/>
          <w:sz w:val="24"/>
        </w:rPr>
        <w:t>at fingerprint region (600-1500 cm</w:t>
      </w:r>
      <w:r>
        <w:rPr>
          <w:b/>
          <w:sz w:val="24"/>
          <w:vertAlign w:val="superscript"/>
        </w:rPr>
        <w:t>-1</w:t>
      </w:r>
      <w:r>
        <w:rPr>
          <w:b/>
          <w:sz w:val="24"/>
          <w:vertAlign w:val="baseline"/>
        </w:rPr>
        <w:t>)</w:t>
      </w:r>
    </w:p>
    <w:p>
      <w:pPr>
        <w:spacing w:after="0" w:line="252" w:lineRule="auto"/>
        <w:jc w:val="left"/>
        <w:rPr>
          <w:sz w:val="24"/>
        </w:rPr>
        <w:sectPr>
          <w:pgSz w:w="12240" w:h="15840"/>
          <w:pgMar w:header="0" w:footer="1015" w:top="1440" w:bottom="1200" w:left="240" w:right="0"/>
        </w:sectPr>
      </w:pPr>
    </w:p>
    <w:p>
      <w:pPr>
        <w:pStyle w:val="BodyText"/>
        <w:ind w:left="1429"/>
        <w:rPr>
          <w:sz w:val="20"/>
        </w:rPr>
      </w:pPr>
      <w:r>
        <w:rPr>
          <w:sz w:val="20"/>
        </w:rPr>
        <w:drawing>
          <wp:inline distT="0" distB="0" distL="0" distR="0">
            <wp:extent cx="5678902" cy="5229225"/>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17" cstate="print"/>
                    <a:stretch>
                      <a:fillRect/>
                    </a:stretch>
                  </pic:blipFill>
                  <pic:spPr>
                    <a:xfrm>
                      <a:off x="0" y="0"/>
                      <a:ext cx="5678902" cy="5229225"/>
                    </a:xfrm>
                    <a:prstGeom prst="rect">
                      <a:avLst/>
                    </a:prstGeom>
                  </pic:spPr>
                </pic:pic>
              </a:graphicData>
            </a:graphic>
          </wp:inline>
        </w:drawing>
      </w:r>
      <w:r>
        <w:rPr>
          <w:sz w:val="20"/>
        </w:rPr>
      </w:r>
    </w:p>
    <w:p>
      <w:pPr>
        <w:spacing w:before="28"/>
        <w:ind w:left="1200" w:right="0" w:firstLine="0"/>
        <w:jc w:val="left"/>
        <w:rPr>
          <w:b/>
          <w:sz w:val="24"/>
        </w:rPr>
      </w:pPr>
      <w:r>
        <w:rPr>
          <w:b/>
          <w:sz w:val="24"/>
        </w:rPr>
        <w:t>Figure</w:t>
      </w:r>
      <w:r>
        <w:rPr>
          <w:b/>
          <w:spacing w:val="-4"/>
          <w:sz w:val="24"/>
        </w:rPr>
        <w:t> </w:t>
      </w:r>
      <w:r>
        <w:rPr>
          <w:b/>
          <w:sz w:val="24"/>
        </w:rPr>
        <w:t>4.2: FTIR</w:t>
      </w:r>
      <w:r>
        <w:rPr>
          <w:b/>
          <w:spacing w:val="-1"/>
          <w:sz w:val="24"/>
        </w:rPr>
        <w:t> </w:t>
      </w:r>
      <w:r>
        <w:rPr>
          <w:b/>
          <w:sz w:val="24"/>
        </w:rPr>
        <w:t>spectra</w:t>
      </w:r>
      <w:r>
        <w:rPr>
          <w:b/>
          <w:spacing w:val="1"/>
          <w:sz w:val="24"/>
        </w:rPr>
        <w:t> </w:t>
      </w:r>
      <w:r>
        <w:rPr>
          <w:b/>
          <w:sz w:val="24"/>
        </w:rPr>
        <w:t>of</w:t>
      </w:r>
      <w:r>
        <w:rPr>
          <w:b/>
          <w:spacing w:val="1"/>
          <w:sz w:val="24"/>
        </w:rPr>
        <w:t> </w:t>
      </w:r>
      <w:r>
        <w:rPr>
          <w:b/>
          <w:sz w:val="24"/>
        </w:rPr>
        <w:t>isoniazid tablet</w:t>
      </w:r>
      <w:r>
        <w:rPr>
          <w:b/>
          <w:spacing w:val="-2"/>
          <w:sz w:val="24"/>
        </w:rPr>
        <w:t> </w:t>
      </w:r>
      <w:r>
        <w:rPr>
          <w:b/>
          <w:sz w:val="24"/>
        </w:rPr>
        <w:t>and</w:t>
      </w:r>
      <w:r>
        <w:rPr>
          <w:b/>
          <w:spacing w:val="-2"/>
          <w:sz w:val="24"/>
        </w:rPr>
        <w:t> referencesuperimposed</w:t>
      </w:r>
    </w:p>
    <w:p>
      <w:pPr>
        <w:spacing w:after="0"/>
        <w:jc w:val="left"/>
        <w:rPr>
          <w:sz w:val="24"/>
        </w:rPr>
        <w:sectPr>
          <w:pgSz w:w="12240" w:h="15840"/>
          <w:pgMar w:header="0" w:footer="1015" w:top="1440" w:bottom="1200" w:left="240" w:right="0"/>
        </w:sectPr>
      </w:pPr>
    </w:p>
    <w:p>
      <w:pPr>
        <w:pStyle w:val="ListParagraph"/>
        <w:numPr>
          <w:ilvl w:val="1"/>
          <w:numId w:val="14"/>
        </w:numPr>
        <w:tabs>
          <w:tab w:pos="4911" w:val="left" w:leader="none"/>
        </w:tabs>
        <w:spacing w:line="240" w:lineRule="auto" w:before="76" w:after="0"/>
        <w:ind w:left="4911" w:right="0" w:hanging="360"/>
        <w:jc w:val="left"/>
        <w:rPr>
          <w:b/>
          <w:sz w:val="24"/>
        </w:rPr>
      </w:pPr>
      <w:r>
        <w:rPr>
          <w:b/>
          <w:sz w:val="24"/>
        </w:rPr>
        <w:t>Methods</w:t>
      </w:r>
      <w:r>
        <w:rPr>
          <w:b/>
          <w:spacing w:val="-1"/>
          <w:sz w:val="24"/>
        </w:rPr>
        <w:t> </w:t>
      </w:r>
      <w:r>
        <w:rPr>
          <w:b/>
          <w:spacing w:val="-2"/>
          <w:sz w:val="24"/>
        </w:rPr>
        <w:t>Development</w:t>
      </w:r>
    </w:p>
    <w:p>
      <w:pPr>
        <w:pStyle w:val="BodyText"/>
        <w:rPr>
          <w:b/>
        </w:rPr>
      </w:pPr>
    </w:p>
    <w:p>
      <w:pPr>
        <w:pStyle w:val="BodyText"/>
        <w:spacing w:before="78"/>
        <w:rPr>
          <w:b/>
        </w:rPr>
      </w:pPr>
    </w:p>
    <w:p>
      <w:pPr>
        <w:pStyle w:val="ListParagraph"/>
        <w:numPr>
          <w:ilvl w:val="2"/>
          <w:numId w:val="14"/>
        </w:numPr>
        <w:tabs>
          <w:tab w:pos="1740" w:val="left" w:leader="none"/>
        </w:tabs>
        <w:spacing w:line="240" w:lineRule="auto" w:before="0" w:after="0"/>
        <w:ind w:left="1740" w:right="0" w:hanging="540"/>
        <w:jc w:val="both"/>
        <w:rPr>
          <w:b/>
          <w:sz w:val="24"/>
        </w:rPr>
      </w:pPr>
      <w:r>
        <w:rPr>
          <w:b/>
          <w:sz w:val="24"/>
        </w:rPr>
        <w:t>UV</w:t>
      </w:r>
      <w:r>
        <w:rPr>
          <w:b/>
          <w:spacing w:val="-5"/>
          <w:sz w:val="24"/>
        </w:rPr>
        <w:t> </w:t>
      </w:r>
      <w:r>
        <w:rPr>
          <w:b/>
          <w:sz w:val="24"/>
        </w:rPr>
        <w:t>spectrophotometric</w:t>
      </w:r>
      <w:r>
        <w:rPr>
          <w:b/>
          <w:spacing w:val="-1"/>
          <w:sz w:val="24"/>
        </w:rPr>
        <w:t> </w:t>
      </w:r>
      <w:r>
        <w:rPr>
          <w:b/>
          <w:sz w:val="24"/>
        </w:rPr>
        <w:t>methods</w:t>
      </w:r>
      <w:r>
        <w:rPr>
          <w:b/>
          <w:spacing w:val="-2"/>
          <w:sz w:val="24"/>
        </w:rPr>
        <w:t> </w:t>
      </w:r>
      <w:r>
        <w:rPr>
          <w:b/>
          <w:sz w:val="24"/>
        </w:rPr>
        <w:t>using</w:t>
      </w:r>
      <w:r>
        <w:rPr>
          <w:b/>
          <w:spacing w:val="-4"/>
          <w:sz w:val="24"/>
        </w:rPr>
        <w:t> </w:t>
      </w:r>
      <w:r>
        <w:rPr>
          <w:b/>
          <w:sz w:val="24"/>
        </w:rPr>
        <w:t>water</w:t>
      </w:r>
      <w:r>
        <w:rPr>
          <w:b/>
          <w:spacing w:val="-3"/>
          <w:sz w:val="24"/>
        </w:rPr>
        <w:t> </w:t>
      </w:r>
      <w:r>
        <w:rPr>
          <w:b/>
          <w:sz w:val="24"/>
        </w:rPr>
        <w:t>and</w:t>
      </w:r>
      <w:r>
        <w:rPr>
          <w:b/>
          <w:spacing w:val="1"/>
          <w:sz w:val="24"/>
        </w:rPr>
        <w:t> </w:t>
      </w:r>
      <w:r>
        <w:rPr>
          <w:b/>
          <w:spacing w:val="-2"/>
          <w:sz w:val="24"/>
        </w:rPr>
        <w:t>methanol</w:t>
      </w:r>
    </w:p>
    <w:p>
      <w:pPr>
        <w:pStyle w:val="BodyText"/>
        <w:spacing w:line="480" w:lineRule="auto" w:before="170"/>
        <w:ind w:left="1200" w:right="1436"/>
        <w:jc w:val="both"/>
      </w:pPr>
      <w:r>
        <w:rPr/>
        <w:t>The solubility of isoniazid in various solvents is presented in table 4.3. The method and calibration parameters of method 1 and 2 are presented in table 4.4, figure 4.3 and figure 4.4 respectively. The validation parameters are shown in table 4.5.</w:t>
      </w:r>
    </w:p>
    <w:p>
      <w:pPr>
        <w:pStyle w:val="Heading3"/>
        <w:numPr>
          <w:ilvl w:val="2"/>
          <w:numId w:val="14"/>
        </w:numPr>
        <w:tabs>
          <w:tab w:pos="1740" w:val="left" w:leader="none"/>
        </w:tabs>
        <w:spacing w:line="240" w:lineRule="auto" w:before="166" w:after="0"/>
        <w:ind w:left="1740" w:right="0" w:hanging="540"/>
        <w:jc w:val="both"/>
      </w:pPr>
      <w:r>
        <w:rPr/>
        <w:t>Colorimetric</w:t>
      </w:r>
      <w:r>
        <w:rPr>
          <w:spacing w:val="-3"/>
        </w:rPr>
        <w:t> </w:t>
      </w:r>
      <w:r>
        <w:rPr/>
        <w:t>methods</w:t>
      </w:r>
      <w:r>
        <w:rPr>
          <w:spacing w:val="-1"/>
        </w:rPr>
        <w:t> </w:t>
      </w:r>
      <w:r>
        <w:rPr/>
        <w:t>using</w:t>
      </w:r>
      <w:r>
        <w:rPr>
          <w:spacing w:val="-3"/>
        </w:rPr>
        <w:t> </w:t>
      </w:r>
      <w:r>
        <w:rPr/>
        <w:t>2,4-dinitrophenylhydrazine</w:t>
      </w:r>
      <w:r>
        <w:rPr>
          <w:spacing w:val="-1"/>
        </w:rPr>
        <w:t> </w:t>
      </w:r>
      <w:r>
        <w:rPr/>
        <w:t>and</w:t>
      </w:r>
      <w:r>
        <w:rPr>
          <w:spacing w:val="-4"/>
        </w:rPr>
        <w:t> </w:t>
      </w:r>
      <w:r>
        <w:rPr/>
        <w:t>by</w:t>
      </w:r>
      <w:r>
        <w:rPr>
          <w:spacing w:val="-2"/>
        </w:rPr>
        <w:t> diazotization.</w:t>
      </w:r>
    </w:p>
    <w:p>
      <w:pPr>
        <w:pStyle w:val="BodyText"/>
        <w:spacing w:line="480" w:lineRule="auto" w:before="171"/>
        <w:ind w:left="1200" w:right="1442"/>
        <w:jc w:val="both"/>
      </w:pPr>
      <w:r>
        <w:rPr/>
        <w:t>The method and calibration parameters of method 3 and 4 are presented in table 4.6, figure 4.5 and figure 4.6 respectively. The validation parameters are shown in table 4.7</w:t>
      </w:r>
    </w:p>
    <w:p>
      <w:pPr>
        <w:pStyle w:val="Heading3"/>
        <w:spacing w:before="166"/>
        <w:jc w:val="both"/>
      </w:pPr>
      <w:r>
        <w:rPr/>
        <w:t>Table</w:t>
      </w:r>
      <w:r>
        <w:rPr>
          <w:spacing w:val="-3"/>
        </w:rPr>
        <w:t> </w:t>
      </w:r>
      <w:r>
        <w:rPr/>
        <w:t>4.3:</w:t>
      </w:r>
      <w:r>
        <w:rPr>
          <w:spacing w:val="-2"/>
        </w:rPr>
        <w:t> </w:t>
      </w:r>
      <w:r>
        <w:rPr/>
        <w:t>Solubility</w:t>
      </w:r>
      <w:r>
        <w:rPr>
          <w:spacing w:val="-2"/>
        </w:rPr>
        <w:t> </w:t>
      </w:r>
      <w:r>
        <w:rPr/>
        <w:t>of</w:t>
      </w:r>
      <w:r>
        <w:rPr>
          <w:spacing w:val="-2"/>
        </w:rPr>
        <w:t> </w:t>
      </w:r>
      <w:r>
        <w:rPr/>
        <w:t>isoniazid in</w:t>
      </w:r>
      <w:r>
        <w:rPr>
          <w:spacing w:val="-1"/>
        </w:rPr>
        <w:t> </w:t>
      </w:r>
      <w:r>
        <w:rPr/>
        <w:t>different</w:t>
      </w:r>
      <w:r>
        <w:rPr>
          <w:spacing w:val="-1"/>
        </w:rPr>
        <w:t> </w:t>
      </w:r>
      <w:r>
        <w:rPr>
          <w:spacing w:val="-2"/>
        </w:rPr>
        <w:t>solvents</w:t>
      </w:r>
    </w:p>
    <w:p>
      <w:pPr>
        <w:pStyle w:val="BodyText"/>
        <w:spacing w:before="5" w:after="1"/>
        <w:rPr>
          <w:b/>
          <w:sz w:val="15"/>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0"/>
        <w:gridCol w:w="1008"/>
        <w:gridCol w:w="1221"/>
        <w:gridCol w:w="1085"/>
        <w:gridCol w:w="2218"/>
        <w:gridCol w:w="1497"/>
        <w:gridCol w:w="2025"/>
      </w:tblGrid>
      <w:tr>
        <w:trPr>
          <w:trHeight w:val="292" w:hRule="atLeast"/>
        </w:trPr>
        <w:tc>
          <w:tcPr>
            <w:tcW w:w="1860" w:type="dxa"/>
            <w:tcBorders>
              <w:top w:val="single" w:sz="8" w:space="0" w:color="000000"/>
              <w:bottom w:val="single" w:sz="8" w:space="0" w:color="000000"/>
            </w:tcBorders>
          </w:tcPr>
          <w:p>
            <w:pPr>
              <w:pStyle w:val="TableParagraph"/>
              <w:spacing w:line="272" w:lineRule="exact"/>
              <w:ind w:left="115"/>
              <w:rPr>
                <w:b/>
                <w:sz w:val="24"/>
              </w:rPr>
            </w:pPr>
            <w:r>
              <w:rPr>
                <w:b/>
                <w:spacing w:val="-2"/>
                <w:sz w:val="24"/>
              </w:rPr>
              <w:t>Sample</w:t>
            </w:r>
          </w:p>
        </w:tc>
        <w:tc>
          <w:tcPr>
            <w:tcW w:w="1008" w:type="dxa"/>
            <w:tcBorders>
              <w:top w:val="single" w:sz="8" w:space="0" w:color="000000"/>
              <w:bottom w:val="single" w:sz="8" w:space="0" w:color="000000"/>
            </w:tcBorders>
          </w:tcPr>
          <w:p>
            <w:pPr>
              <w:pStyle w:val="TableParagraph"/>
              <w:spacing w:line="272" w:lineRule="exact"/>
              <w:ind w:left="19" w:right="81"/>
              <w:jc w:val="center"/>
              <w:rPr>
                <w:b/>
                <w:sz w:val="24"/>
              </w:rPr>
            </w:pPr>
            <w:r>
              <w:rPr>
                <w:b/>
                <w:spacing w:val="-2"/>
                <w:sz w:val="24"/>
              </w:rPr>
              <w:t>Water</w:t>
            </w:r>
          </w:p>
        </w:tc>
        <w:tc>
          <w:tcPr>
            <w:tcW w:w="1221" w:type="dxa"/>
            <w:tcBorders>
              <w:top w:val="single" w:sz="8" w:space="0" w:color="000000"/>
              <w:bottom w:val="single" w:sz="8" w:space="0" w:color="000000"/>
            </w:tcBorders>
          </w:tcPr>
          <w:p>
            <w:pPr>
              <w:pStyle w:val="TableParagraph"/>
              <w:spacing w:line="272" w:lineRule="exact"/>
              <w:ind w:left="127"/>
              <w:rPr>
                <w:b/>
                <w:sz w:val="24"/>
              </w:rPr>
            </w:pPr>
            <w:r>
              <w:rPr>
                <w:b/>
                <w:spacing w:val="-2"/>
                <w:sz w:val="24"/>
              </w:rPr>
              <w:t>Methanol</w:t>
            </w:r>
          </w:p>
        </w:tc>
        <w:tc>
          <w:tcPr>
            <w:tcW w:w="1085" w:type="dxa"/>
            <w:tcBorders>
              <w:top w:val="single" w:sz="8" w:space="0" w:color="000000"/>
              <w:bottom w:val="single" w:sz="8" w:space="0" w:color="000000"/>
            </w:tcBorders>
          </w:tcPr>
          <w:p>
            <w:pPr>
              <w:pStyle w:val="TableParagraph"/>
              <w:spacing w:line="272" w:lineRule="exact"/>
              <w:ind w:left="80" w:right="129"/>
              <w:jc w:val="center"/>
              <w:rPr>
                <w:b/>
                <w:sz w:val="24"/>
              </w:rPr>
            </w:pPr>
            <w:r>
              <w:rPr>
                <w:b/>
                <w:spacing w:val="-2"/>
                <w:sz w:val="24"/>
              </w:rPr>
              <w:t>Ethanol</w:t>
            </w:r>
          </w:p>
        </w:tc>
        <w:tc>
          <w:tcPr>
            <w:tcW w:w="2218" w:type="dxa"/>
            <w:tcBorders>
              <w:top w:val="single" w:sz="8" w:space="0" w:color="000000"/>
              <w:bottom w:val="single" w:sz="8" w:space="0" w:color="000000"/>
            </w:tcBorders>
          </w:tcPr>
          <w:p>
            <w:pPr>
              <w:pStyle w:val="TableParagraph"/>
              <w:spacing w:line="272" w:lineRule="exact"/>
              <w:ind w:left="162"/>
              <w:rPr>
                <w:b/>
                <w:sz w:val="24"/>
              </w:rPr>
            </w:pPr>
            <w:r>
              <w:rPr>
                <w:b/>
                <w:spacing w:val="-2"/>
                <w:sz w:val="24"/>
              </w:rPr>
              <w:t>Chloroform</w:t>
            </w:r>
          </w:p>
        </w:tc>
        <w:tc>
          <w:tcPr>
            <w:tcW w:w="1497" w:type="dxa"/>
            <w:tcBorders>
              <w:top w:val="single" w:sz="8" w:space="0" w:color="000000"/>
              <w:bottom w:val="single" w:sz="8" w:space="0" w:color="000000"/>
            </w:tcBorders>
          </w:tcPr>
          <w:p>
            <w:pPr>
              <w:pStyle w:val="TableParagraph"/>
              <w:spacing w:line="272" w:lineRule="exact"/>
              <w:ind w:left="373"/>
              <w:rPr>
                <w:b/>
                <w:sz w:val="24"/>
              </w:rPr>
            </w:pPr>
            <w:r>
              <w:rPr>
                <w:b/>
                <w:spacing w:val="-2"/>
                <w:sz w:val="24"/>
              </w:rPr>
              <w:t>Ether</w:t>
            </w:r>
          </w:p>
        </w:tc>
        <w:tc>
          <w:tcPr>
            <w:tcW w:w="2025" w:type="dxa"/>
            <w:tcBorders>
              <w:top w:val="single" w:sz="8" w:space="0" w:color="000000"/>
              <w:bottom w:val="single" w:sz="8" w:space="0" w:color="000000"/>
            </w:tcBorders>
          </w:tcPr>
          <w:p>
            <w:pPr>
              <w:pStyle w:val="TableParagraph"/>
              <w:spacing w:line="272" w:lineRule="exact"/>
              <w:ind w:left="234"/>
              <w:rPr>
                <w:b/>
                <w:sz w:val="24"/>
              </w:rPr>
            </w:pPr>
            <w:r>
              <w:rPr>
                <w:b/>
                <w:spacing w:val="-2"/>
                <w:sz w:val="24"/>
              </w:rPr>
              <w:t>Benzene</w:t>
            </w:r>
          </w:p>
        </w:tc>
      </w:tr>
      <w:tr>
        <w:trPr>
          <w:trHeight w:val="452" w:hRule="atLeast"/>
        </w:trPr>
        <w:tc>
          <w:tcPr>
            <w:tcW w:w="1860" w:type="dxa"/>
            <w:tcBorders>
              <w:top w:val="single" w:sz="8" w:space="0" w:color="000000"/>
              <w:bottom w:val="single" w:sz="8" w:space="0" w:color="000000"/>
            </w:tcBorders>
          </w:tcPr>
          <w:p>
            <w:pPr>
              <w:pStyle w:val="TableParagraph"/>
              <w:spacing w:line="268" w:lineRule="exact"/>
              <w:ind w:left="115"/>
              <w:rPr>
                <w:sz w:val="24"/>
              </w:rPr>
            </w:pPr>
            <w:r>
              <w:rPr>
                <w:sz w:val="24"/>
              </w:rPr>
              <w:t>INH</w:t>
            </w:r>
            <w:r>
              <w:rPr>
                <w:spacing w:val="-2"/>
                <w:sz w:val="24"/>
              </w:rPr>
              <w:t> </w:t>
            </w:r>
            <w:r>
              <w:rPr>
                <w:sz w:val="24"/>
              </w:rPr>
              <w:t>Std</w:t>
            </w:r>
            <w:r>
              <w:rPr>
                <w:spacing w:val="-1"/>
                <w:sz w:val="24"/>
              </w:rPr>
              <w:t> </w:t>
            </w:r>
            <w:r>
              <w:rPr>
                <w:spacing w:val="-2"/>
                <w:sz w:val="24"/>
              </w:rPr>
              <w:t>Powder</w:t>
            </w:r>
          </w:p>
        </w:tc>
        <w:tc>
          <w:tcPr>
            <w:tcW w:w="1008" w:type="dxa"/>
            <w:tcBorders>
              <w:top w:val="single" w:sz="8" w:space="0" w:color="000000"/>
              <w:bottom w:val="single" w:sz="8" w:space="0" w:color="000000"/>
            </w:tcBorders>
          </w:tcPr>
          <w:p>
            <w:pPr>
              <w:pStyle w:val="TableParagraph"/>
              <w:spacing w:line="268" w:lineRule="exact"/>
              <w:ind w:left="81" w:right="62"/>
              <w:jc w:val="center"/>
              <w:rPr>
                <w:sz w:val="24"/>
              </w:rPr>
            </w:pPr>
            <w:r>
              <w:rPr>
                <w:spacing w:val="-2"/>
                <w:sz w:val="24"/>
              </w:rPr>
              <w:t>Soluble</w:t>
            </w:r>
          </w:p>
        </w:tc>
        <w:tc>
          <w:tcPr>
            <w:tcW w:w="1221" w:type="dxa"/>
            <w:tcBorders>
              <w:top w:val="single" w:sz="8" w:space="0" w:color="000000"/>
              <w:bottom w:val="single" w:sz="8" w:space="0" w:color="000000"/>
            </w:tcBorders>
          </w:tcPr>
          <w:p>
            <w:pPr>
              <w:pStyle w:val="TableParagraph"/>
              <w:spacing w:line="268" w:lineRule="exact"/>
              <w:ind w:left="127"/>
              <w:rPr>
                <w:sz w:val="24"/>
              </w:rPr>
            </w:pPr>
            <w:r>
              <w:rPr>
                <w:spacing w:val="-2"/>
                <w:sz w:val="24"/>
              </w:rPr>
              <w:t>Soluble</w:t>
            </w:r>
          </w:p>
        </w:tc>
        <w:tc>
          <w:tcPr>
            <w:tcW w:w="1085" w:type="dxa"/>
            <w:tcBorders>
              <w:top w:val="single" w:sz="8" w:space="0" w:color="000000"/>
              <w:bottom w:val="single" w:sz="8" w:space="0" w:color="000000"/>
            </w:tcBorders>
          </w:tcPr>
          <w:p>
            <w:pPr>
              <w:pStyle w:val="TableParagraph"/>
              <w:spacing w:line="268" w:lineRule="exact"/>
              <w:ind w:right="129"/>
              <w:jc w:val="center"/>
              <w:rPr>
                <w:sz w:val="24"/>
              </w:rPr>
            </w:pPr>
            <w:r>
              <w:rPr>
                <w:spacing w:val="-2"/>
                <w:sz w:val="24"/>
              </w:rPr>
              <w:t>Soluble</w:t>
            </w:r>
          </w:p>
        </w:tc>
        <w:tc>
          <w:tcPr>
            <w:tcW w:w="2218" w:type="dxa"/>
            <w:tcBorders>
              <w:top w:val="single" w:sz="8" w:space="0" w:color="000000"/>
              <w:bottom w:val="single" w:sz="8" w:space="0" w:color="000000"/>
            </w:tcBorders>
          </w:tcPr>
          <w:p>
            <w:pPr>
              <w:pStyle w:val="TableParagraph"/>
              <w:spacing w:line="268" w:lineRule="exact"/>
              <w:ind w:left="162"/>
              <w:rPr>
                <w:sz w:val="24"/>
              </w:rPr>
            </w:pPr>
            <w:r>
              <w:rPr>
                <w:sz w:val="24"/>
              </w:rPr>
              <w:t>Sparingly</w:t>
            </w:r>
            <w:r>
              <w:rPr>
                <w:spacing w:val="-4"/>
                <w:sz w:val="24"/>
              </w:rPr>
              <w:t> </w:t>
            </w:r>
            <w:r>
              <w:rPr>
                <w:spacing w:val="-2"/>
                <w:sz w:val="24"/>
              </w:rPr>
              <w:t>soluble</w:t>
            </w:r>
          </w:p>
        </w:tc>
        <w:tc>
          <w:tcPr>
            <w:tcW w:w="1497" w:type="dxa"/>
            <w:tcBorders>
              <w:top w:val="single" w:sz="8" w:space="0" w:color="000000"/>
              <w:bottom w:val="single" w:sz="8" w:space="0" w:color="000000"/>
            </w:tcBorders>
          </w:tcPr>
          <w:p>
            <w:pPr>
              <w:pStyle w:val="TableParagraph"/>
              <w:spacing w:line="268" w:lineRule="exact"/>
              <w:ind w:left="373"/>
              <w:rPr>
                <w:sz w:val="24"/>
              </w:rPr>
            </w:pPr>
            <w:r>
              <w:rPr>
                <w:spacing w:val="-2"/>
                <w:sz w:val="24"/>
              </w:rPr>
              <w:t>Insoluble</w:t>
            </w:r>
          </w:p>
        </w:tc>
        <w:tc>
          <w:tcPr>
            <w:tcW w:w="2025" w:type="dxa"/>
            <w:tcBorders>
              <w:top w:val="single" w:sz="8" w:space="0" w:color="000000"/>
              <w:bottom w:val="single" w:sz="8" w:space="0" w:color="000000"/>
            </w:tcBorders>
          </w:tcPr>
          <w:p>
            <w:pPr>
              <w:pStyle w:val="TableParagraph"/>
              <w:spacing w:line="268" w:lineRule="exact"/>
              <w:ind w:left="234"/>
              <w:rPr>
                <w:sz w:val="24"/>
              </w:rPr>
            </w:pPr>
            <w:r>
              <w:rPr>
                <w:spacing w:val="-2"/>
                <w:sz w:val="24"/>
              </w:rPr>
              <w:t>Insoluble</w:t>
            </w:r>
          </w:p>
        </w:tc>
      </w:tr>
    </w:tbl>
    <w:p>
      <w:pPr>
        <w:spacing w:after="0" w:line="268" w:lineRule="exact"/>
        <w:rPr>
          <w:sz w:val="24"/>
        </w:rPr>
        <w:sectPr>
          <w:pgSz w:w="12240" w:h="15840"/>
          <w:pgMar w:header="0" w:footer="1015" w:top="1360" w:bottom="1200" w:left="240" w:right="0"/>
        </w:sectPr>
      </w:pPr>
    </w:p>
    <w:p>
      <w:pPr>
        <w:spacing w:line="254" w:lineRule="auto" w:before="76"/>
        <w:ind w:left="1200" w:right="1431" w:firstLine="0"/>
        <w:jc w:val="left"/>
        <w:rPr>
          <w:b/>
          <w:sz w:val="24"/>
        </w:rPr>
      </w:pPr>
      <w:r>
        <w:rPr>
          <w:b/>
          <w:sz w:val="24"/>
        </w:rPr>
        <w:t>Table</w:t>
      </w:r>
      <w:r>
        <w:rPr>
          <w:b/>
          <w:spacing w:val="-4"/>
          <w:sz w:val="24"/>
        </w:rPr>
        <w:t> </w:t>
      </w:r>
      <w:r>
        <w:rPr>
          <w:b/>
          <w:sz w:val="24"/>
        </w:rPr>
        <w:t>4.4:</w:t>
      </w:r>
      <w:r>
        <w:rPr>
          <w:b/>
          <w:spacing w:val="-4"/>
          <w:sz w:val="24"/>
        </w:rPr>
        <w:t> </w:t>
      </w:r>
      <w:r>
        <w:rPr>
          <w:b/>
          <w:sz w:val="24"/>
        </w:rPr>
        <w:t>Validation</w:t>
      </w:r>
      <w:r>
        <w:rPr>
          <w:b/>
          <w:spacing w:val="-3"/>
          <w:sz w:val="24"/>
        </w:rPr>
        <w:t> </w:t>
      </w:r>
      <w:r>
        <w:rPr>
          <w:b/>
          <w:sz w:val="24"/>
        </w:rPr>
        <w:t>parameters</w:t>
      </w:r>
      <w:r>
        <w:rPr>
          <w:b/>
          <w:spacing w:val="-3"/>
          <w:sz w:val="24"/>
        </w:rPr>
        <w:t> </w:t>
      </w:r>
      <w:r>
        <w:rPr>
          <w:b/>
          <w:sz w:val="24"/>
        </w:rPr>
        <w:t>for</w:t>
      </w:r>
      <w:r>
        <w:rPr>
          <w:b/>
          <w:spacing w:val="-4"/>
          <w:sz w:val="24"/>
        </w:rPr>
        <w:t> </w:t>
      </w:r>
      <w:r>
        <w:rPr>
          <w:b/>
          <w:sz w:val="24"/>
        </w:rPr>
        <w:t>UV</w:t>
      </w:r>
      <w:r>
        <w:rPr>
          <w:b/>
          <w:spacing w:val="-4"/>
          <w:sz w:val="24"/>
        </w:rPr>
        <w:t> </w:t>
      </w:r>
      <w:r>
        <w:rPr>
          <w:b/>
          <w:sz w:val="24"/>
        </w:rPr>
        <w:t>spectrophotometric</w:t>
      </w:r>
      <w:r>
        <w:rPr>
          <w:b/>
          <w:spacing w:val="-1"/>
          <w:sz w:val="24"/>
        </w:rPr>
        <w:t> </w:t>
      </w:r>
      <w:r>
        <w:rPr>
          <w:b/>
          <w:sz w:val="24"/>
        </w:rPr>
        <w:t>methods</w:t>
      </w:r>
      <w:r>
        <w:rPr>
          <w:b/>
          <w:spacing w:val="-4"/>
          <w:sz w:val="24"/>
        </w:rPr>
        <w:t> </w:t>
      </w:r>
      <w:r>
        <w:rPr>
          <w:b/>
          <w:sz w:val="24"/>
        </w:rPr>
        <w:t>using</w:t>
      </w:r>
      <w:r>
        <w:rPr>
          <w:b/>
          <w:spacing w:val="-5"/>
          <w:sz w:val="24"/>
        </w:rPr>
        <w:t> </w:t>
      </w:r>
      <w:r>
        <w:rPr>
          <w:b/>
          <w:sz w:val="24"/>
        </w:rPr>
        <w:t>water</w:t>
      </w:r>
      <w:r>
        <w:rPr>
          <w:b/>
          <w:spacing w:val="-4"/>
          <w:sz w:val="24"/>
        </w:rPr>
        <w:t> </w:t>
      </w:r>
      <w:r>
        <w:rPr>
          <w:b/>
          <w:sz w:val="24"/>
        </w:rPr>
        <w:t>and </w:t>
      </w:r>
      <w:r>
        <w:rPr>
          <w:b/>
          <w:spacing w:val="-2"/>
          <w:sz w:val="24"/>
        </w:rPr>
        <w:t>methanol.</w:t>
      </w:r>
    </w:p>
    <w:p>
      <w:pPr>
        <w:pStyle w:val="BodyText"/>
        <w:rPr>
          <w:b/>
          <w:sz w:val="20"/>
        </w:rPr>
      </w:pPr>
    </w:p>
    <w:p>
      <w:pPr>
        <w:pStyle w:val="BodyText"/>
        <w:spacing w:before="154"/>
        <w:rPr>
          <w:b/>
          <w:sz w:val="20"/>
        </w:rPr>
      </w:pP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3"/>
        <w:gridCol w:w="2262"/>
        <w:gridCol w:w="3071"/>
      </w:tblGrid>
      <w:tr>
        <w:trPr>
          <w:trHeight w:val="292" w:hRule="atLeast"/>
        </w:trPr>
        <w:tc>
          <w:tcPr>
            <w:tcW w:w="3693" w:type="dxa"/>
            <w:tcBorders>
              <w:top w:val="single" w:sz="8" w:space="0" w:color="000000"/>
              <w:bottom w:val="single" w:sz="8" w:space="0" w:color="000000"/>
            </w:tcBorders>
          </w:tcPr>
          <w:p>
            <w:pPr>
              <w:pStyle w:val="TableParagraph"/>
              <w:spacing w:line="272" w:lineRule="exact"/>
              <w:ind w:left="115"/>
              <w:rPr>
                <w:b/>
                <w:sz w:val="24"/>
              </w:rPr>
            </w:pPr>
            <w:r>
              <w:rPr>
                <w:b/>
                <w:spacing w:val="-2"/>
                <w:sz w:val="24"/>
              </w:rPr>
              <w:t>Parameter</w:t>
            </w:r>
          </w:p>
        </w:tc>
        <w:tc>
          <w:tcPr>
            <w:tcW w:w="2262" w:type="dxa"/>
            <w:tcBorders>
              <w:top w:val="single" w:sz="8" w:space="0" w:color="000000"/>
              <w:bottom w:val="single" w:sz="8" w:space="0" w:color="000000"/>
            </w:tcBorders>
          </w:tcPr>
          <w:p>
            <w:pPr>
              <w:pStyle w:val="TableParagraph"/>
              <w:spacing w:line="272" w:lineRule="exact"/>
              <w:ind w:left="399"/>
              <w:rPr>
                <w:b/>
                <w:sz w:val="24"/>
              </w:rPr>
            </w:pPr>
            <w:r>
              <w:rPr>
                <w:b/>
                <w:spacing w:val="-2"/>
                <w:sz w:val="24"/>
              </w:rPr>
              <w:t>Water</w:t>
            </w:r>
          </w:p>
        </w:tc>
        <w:tc>
          <w:tcPr>
            <w:tcW w:w="3071" w:type="dxa"/>
            <w:tcBorders>
              <w:top w:val="single" w:sz="8" w:space="0" w:color="000000"/>
              <w:bottom w:val="single" w:sz="8" w:space="0" w:color="000000"/>
            </w:tcBorders>
          </w:tcPr>
          <w:p>
            <w:pPr>
              <w:pStyle w:val="TableParagraph"/>
              <w:spacing w:line="272" w:lineRule="exact"/>
              <w:ind w:left="545"/>
              <w:rPr>
                <w:b/>
                <w:sz w:val="24"/>
              </w:rPr>
            </w:pPr>
            <w:r>
              <w:rPr>
                <w:b/>
                <w:spacing w:val="-2"/>
                <w:sz w:val="24"/>
              </w:rPr>
              <w:t>Methanol</w:t>
            </w:r>
          </w:p>
        </w:tc>
      </w:tr>
      <w:tr>
        <w:trPr>
          <w:trHeight w:val="342" w:hRule="atLeast"/>
        </w:trPr>
        <w:tc>
          <w:tcPr>
            <w:tcW w:w="3693" w:type="dxa"/>
            <w:tcBorders>
              <w:top w:val="single" w:sz="8" w:space="0" w:color="000000"/>
            </w:tcBorders>
          </w:tcPr>
          <w:p>
            <w:pPr>
              <w:pStyle w:val="TableParagraph"/>
              <w:spacing w:line="270" w:lineRule="exact"/>
              <w:ind w:left="115"/>
              <w:rPr>
                <w:sz w:val="24"/>
              </w:rPr>
            </w:pPr>
            <w:r>
              <w:rPr>
                <w:sz w:val="24"/>
              </w:rPr>
              <w:t>λ</w:t>
            </w:r>
            <w:r>
              <w:rPr>
                <w:spacing w:val="-2"/>
                <w:sz w:val="24"/>
              </w:rPr>
              <w:t> </w:t>
            </w:r>
            <w:r>
              <w:rPr>
                <w:spacing w:val="-5"/>
                <w:sz w:val="24"/>
              </w:rPr>
              <w:t>max</w:t>
            </w:r>
          </w:p>
        </w:tc>
        <w:tc>
          <w:tcPr>
            <w:tcW w:w="2262" w:type="dxa"/>
            <w:tcBorders>
              <w:top w:val="single" w:sz="8" w:space="0" w:color="000000"/>
            </w:tcBorders>
          </w:tcPr>
          <w:p>
            <w:pPr>
              <w:pStyle w:val="TableParagraph"/>
              <w:spacing w:line="270" w:lineRule="exact"/>
              <w:ind w:left="399"/>
              <w:rPr>
                <w:sz w:val="24"/>
              </w:rPr>
            </w:pPr>
            <w:r>
              <w:rPr>
                <w:sz w:val="24"/>
              </w:rPr>
              <w:t>264 </w:t>
            </w:r>
            <w:r>
              <w:rPr>
                <w:spacing w:val="-5"/>
                <w:sz w:val="24"/>
              </w:rPr>
              <w:t>nm</w:t>
            </w:r>
          </w:p>
        </w:tc>
        <w:tc>
          <w:tcPr>
            <w:tcW w:w="3071" w:type="dxa"/>
            <w:tcBorders>
              <w:top w:val="single" w:sz="8" w:space="0" w:color="000000"/>
            </w:tcBorders>
          </w:tcPr>
          <w:p>
            <w:pPr>
              <w:pStyle w:val="TableParagraph"/>
              <w:spacing w:line="270" w:lineRule="exact"/>
              <w:ind w:left="545"/>
              <w:rPr>
                <w:sz w:val="24"/>
              </w:rPr>
            </w:pPr>
            <w:r>
              <w:rPr>
                <w:sz w:val="24"/>
              </w:rPr>
              <w:t>264 </w:t>
            </w:r>
            <w:r>
              <w:rPr>
                <w:spacing w:val="-5"/>
                <w:sz w:val="24"/>
              </w:rPr>
              <w:t>nm</w:t>
            </w:r>
          </w:p>
        </w:tc>
      </w:tr>
      <w:tr>
        <w:trPr>
          <w:trHeight w:val="472" w:hRule="atLeast"/>
        </w:trPr>
        <w:tc>
          <w:tcPr>
            <w:tcW w:w="3693" w:type="dxa"/>
          </w:tcPr>
          <w:p>
            <w:pPr>
              <w:pStyle w:val="TableParagraph"/>
              <w:spacing w:line="240" w:lineRule="auto" w:before="102"/>
              <w:ind w:left="115"/>
              <w:rPr>
                <w:sz w:val="24"/>
              </w:rPr>
            </w:pPr>
            <w:r>
              <w:rPr>
                <w:sz w:val="24"/>
              </w:rPr>
              <w:t>Beer</w:t>
            </w:r>
            <w:r>
              <w:rPr>
                <w:sz w:val="24"/>
                <w:vertAlign w:val="superscript"/>
              </w:rPr>
              <w:t>.</w:t>
            </w:r>
            <w:r>
              <w:rPr>
                <w:sz w:val="24"/>
                <w:vertAlign w:val="baseline"/>
              </w:rPr>
              <w:t>s</w:t>
            </w:r>
            <w:r>
              <w:rPr>
                <w:spacing w:val="-2"/>
                <w:sz w:val="24"/>
                <w:vertAlign w:val="baseline"/>
              </w:rPr>
              <w:t> </w:t>
            </w:r>
            <w:r>
              <w:rPr>
                <w:sz w:val="24"/>
                <w:vertAlign w:val="baseline"/>
              </w:rPr>
              <w:t>law</w:t>
            </w:r>
            <w:r>
              <w:rPr>
                <w:spacing w:val="-2"/>
                <w:sz w:val="24"/>
                <w:vertAlign w:val="baseline"/>
              </w:rPr>
              <w:t> range</w:t>
            </w:r>
          </w:p>
        </w:tc>
        <w:tc>
          <w:tcPr>
            <w:tcW w:w="2262" w:type="dxa"/>
          </w:tcPr>
          <w:p>
            <w:pPr>
              <w:pStyle w:val="TableParagraph"/>
              <w:spacing w:line="240" w:lineRule="auto" w:before="102"/>
              <w:ind w:left="399"/>
              <w:rPr>
                <w:sz w:val="24"/>
              </w:rPr>
            </w:pPr>
            <w:r>
              <w:rPr>
                <w:sz w:val="24"/>
              </w:rPr>
              <w:t>1 – 11 </w:t>
            </w:r>
            <w:r>
              <w:rPr>
                <w:spacing w:val="-2"/>
                <w:sz w:val="24"/>
              </w:rPr>
              <w:t>µg/mL</w:t>
            </w:r>
          </w:p>
        </w:tc>
        <w:tc>
          <w:tcPr>
            <w:tcW w:w="3071" w:type="dxa"/>
          </w:tcPr>
          <w:p>
            <w:pPr>
              <w:pStyle w:val="TableParagraph"/>
              <w:spacing w:line="240" w:lineRule="auto" w:before="102"/>
              <w:ind w:left="545"/>
              <w:rPr>
                <w:sz w:val="24"/>
              </w:rPr>
            </w:pPr>
            <w:r>
              <w:rPr>
                <w:sz w:val="24"/>
              </w:rPr>
              <w:t>1 – 11 </w:t>
            </w:r>
            <w:r>
              <w:rPr>
                <w:spacing w:val="-2"/>
                <w:sz w:val="24"/>
              </w:rPr>
              <w:t>µg/mL</w:t>
            </w:r>
          </w:p>
        </w:tc>
      </w:tr>
      <w:tr>
        <w:trPr>
          <w:trHeight w:val="452" w:hRule="atLeast"/>
        </w:trPr>
        <w:tc>
          <w:tcPr>
            <w:tcW w:w="3693" w:type="dxa"/>
          </w:tcPr>
          <w:p>
            <w:pPr>
              <w:pStyle w:val="TableParagraph"/>
              <w:spacing w:line="240" w:lineRule="auto" w:before="83"/>
              <w:ind w:left="115"/>
              <w:rPr>
                <w:sz w:val="24"/>
              </w:rPr>
            </w:pPr>
            <w:r>
              <w:rPr>
                <w:sz w:val="24"/>
              </w:rPr>
              <w:t>Regression</w:t>
            </w:r>
            <w:r>
              <w:rPr>
                <w:spacing w:val="-4"/>
                <w:sz w:val="24"/>
              </w:rPr>
              <w:t> </w:t>
            </w:r>
            <w:r>
              <w:rPr>
                <w:spacing w:val="-2"/>
                <w:sz w:val="24"/>
              </w:rPr>
              <w:t>equation</w:t>
            </w:r>
          </w:p>
        </w:tc>
        <w:tc>
          <w:tcPr>
            <w:tcW w:w="2262" w:type="dxa"/>
          </w:tcPr>
          <w:p>
            <w:pPr>
              <w:pStyle w:val="TableParagraph"/>
              <w:spacing w:line="240" w:lineRule="auto" w:before="83"/>
              <w:ind w:left="399"/>
              <w:rPr>
                <w:sz w:val="24"/>
              </w:rPr>
            </w:pPr>
            <w:r>
              <w:rPr>
                <w:sz w:val="24"/>
              </w:rPr>
              <w:t>y</w:t>
            </w:r>
            <w:r>
              <w:rPr>
                <w:spacing w:val="-6"/>
                <w:sz w:val="24"/>
              </w:rPr>
              <w:t> </w:t>
            </w:r>
            <w:r>
              <w:rPr>
                <w:sz w:val="24"/>
              </w:rPr>
              <w:t>=</w:t>
            </w:r>
            <w:r>
              <w:rPr>
                <w:spacing w:val="1"/>
                <w:sz w:val="24"/>
              </w:rPr>
              <w:t> </w:t>
            </w:r>
            <w:r>
              <w:rPr>
                <w:sz w:val="24"/>
              </w:rPr>
              <w:t>ax</w:t>
            </w:r>
            <w:r>
              <w:rPr>
                <w:spacing w:val="2"/>
                <w:sz w:val="24"/>
              </w:rPr>
              <w:t> </w:t>
            </w:r>
            <w:r>
              <w:rPr>
                <w:sz w:val="24"/>
              </w:rPr>
              <w:t>-</w:t>
            </w:r>
            <w:r>
              <w:rPr>
                <w:spacing w:val="-1"/>
                <w:sz w:val="24"/>
              </w:rPr>
              <w:t> </w:t>
            </w:r>
            <w:r>
              <w:rPr>
                <w:spacing w:val="-10"/>
                <w:sz w:val="24"/>
              </w:rPr>
              <w:t>b</w:t>
            </w:r>
          </w:p>
        </w:tc>
        <w:tc>
          <w:tcPr>
            <w:tcW w:w="3071" w:type="dxa"/>
          </w:tcPr>
          <w:p>
            <w:pPr>
              <w:pStyle w:val="TableParagraph"/>
              <w:spacing w:line="240" w:lineRule="auto" w:before="83"/>
              <w:ind w:left="545"/>
              <w:rPr>
                <w:sz w:val="24"/>
              </w:rPr>
            </w:pPr>
            <w:r>
              <w:rPr>
                <w:sz w:val="24"/>
              </w:rPr>
              <w:t>y</w:t>
            </w:r>
            <w:r>
              <w:rPr>
                <w:spacing w:val="-6"/>
                <w:sz w:val="24"/>
              </w:rPr>
              <w:t> </w:t>
            </w:r>
            <w:r>
              <w:rPr>
                <w:sz w:val="24"/>
              </w:rPr>
              <w:t>=</w:t>
            </w:r>
            <w:r>
              <w:rPr>
                <w:spacing w:val="1"/>
                <w:sz w:val="24"/>
              </w:rPr>
              <w:t> </w:t>
            </w:r>
            <w:r>
              <w:rPr>
                <w:sz w:val="24"/>
              </w:rPr>
              <w:t>ax</w:t>
            </w:r>
            <w:r>
              <w:rPr>
                <w:spacing w:val="2"/>
                <w:sz w:val="24"/>
              </w:rPr>
              <w:t> </w:t>
            </w:r>
            <w:r>
              <w:rPr>
                <w:sz w:val="24"/>
              </w:rPr>
              <w:t>-</w:t>
            </w:r>
            <w:r>
              <w:rPr>
                <w:spacing w:val="-1"/>
                <w:sz w:val="24"/>
              </w:rPr>
              <w:t> </w:t>
            </w:r>
            <w:r>
              <w:rPr>
                <w:spacing w:val="-10"/>
                <w:sz w:val="24"/>
              </w:rPr>
              <w:t>b</w:t>
            </w:r>
          </w:p>
        </w:tc>
      </w:tr>
      <w:tr>
        <w:trPr>
          <w:trHeight w:val="451" w:hRule="atLeast"/>
        </w:trPr>
        <w:tc>
          <w:tcPr>
            <w:tcW w:w="3693" w:type="dxa"/>
          </w:tcPr>
          <w:p>
            <w:pPr>
              <w:pStyle w:val="TableParagraph"/>
              <w:spacing w:line="240" w:lineRule="auto" w:before="82"/>
              <w:ind w:left="115"/>
              <w:rPr>
                <w:sz w:val="24"/>
              </w:rPr>
            </w:pPr>
            <w:r>
              <w:rPr>
                <w:sz w:val="24"/>
              </w:rPr>
              <w:t>Slope </w:t>
            </w:r>
            <w:r>
              <w:rPr>
                <w:spacing w:val="-5"/>
                <w:sz w:val="24"/>
              </w:rPr>
              <w:t>(a)</w:t>
            </w:r>
          </w:p>
        </w:tc>
        <w:tc>
          <w:tcPr>
            <w:tcW w:w="2262" w:type="dxa"/>
          </w:tcPr>
          <w:p>
            <w:pPr>
              <w:pStyle w:val="TableParagraph"/>
              <w:spacing w:line="240" w:lineRule="auto" w:before="82"/>
              <w:ind w:left="399"/>
              <w:rPr>
                <w:sz w:val="24"/>
              </w:rPr>
            </w:pPr>
            <w:r>
              <w:rPr>
                <w:spacing w:val="-2"/>
                <w:sz w:val="24"/>
              </w:rPr>
              <w:t>0.0657</w:t>
            </w:r>
          </w:p>
        </w:tc>
        <w:tc>
          <w:tcPr>
            <w:tcW w:w="3071" w:type="dxa"/>
          </w:tcPr>
          <w:p>
            <w:pPr>
              <w:pStyle w:val="TableParagraph"/>
              <w:spacing w:line="240" w:lineRule="auto" w:before="82"/>
              <w:ind w:left="545"/>
              <w:rPr>
                <w:sz w:val="24"/>
              </w:rPr>
            </w:pPr>
            <w:r>
              <w:rPr>
                <w:spacing w:val="-2"/>
                <w:sz w:val="24"/>
              </w:rPr>
              <w:t>0.0658</w:t>
            </w:r>
          </w:p>
        </w:tc>
      </w:tr>
      <w:tr>
        <w:trPr>
          <w:trHeight w:val="432" w:hRule="atLeast"/>
        </w:trPr>
        <w:tc>
          <w:tcPr>
            <w:tcW w:w="3693" w:type="dxa"/>
          </w:tcPr>
          <w:p>
            <w:pPr>
              <w:pStyle w:val="TableParagraph"/>
              <w:spacing w:line="240" w:lineRule="auto" w:before="82"/>
              <w:ind w:left="115"/>
              <w:rPr>
                <w:sz w:val="24"/>
              </w:rPr>
            </w:pPr>
            <w:r>
              <w:rPr>
                <w:sz w:val="24"/>
              </w:rPr>
              <w:t>Intercept</w:t>
            </w:r>
            <w:r>
              <w:rPr>
                <w:spacing w:val="-2"/>
                <w:sz w:val="24"/>
              </w:rPr>
              <w:t> </w:t>
            </w:r>
            <w:r>
              <w:rPr>
                <w:sz w:val="24"/>
              </w:rPr>
              <w:t>(b</w:t>
            </w:r>
            <w:r>
              <w:rPr>
                <w:spacing w:val="-2"/>
                <w:sz w:val="24"/>
              </w:rPr>
              <w:t> </w:t>
            </w:r>
            <w:r>
              <w:rPr>
                <w:spacing w:val="-10"/>
                <w:sz w:val="24"/>
              </w:rPr>
              <w:t>)</w:t>
            </w:r>
          </w:p>
        </w:tc>
        <w:tc>
          <w:tcPr>
            <w:tcW w:w="2262" w:type="dxa"/>
          </w:tcPr>
          <w:p>
            <w:pPr>
              <w:pStyle w:val="TableParagraph"/>
              <w:spacing w:line="240" w:lineRule="auto" w:before="82"/>
              <w:ind w:left="399"/>
              <w:rPr>
                <w:sz w:val="24"/>
              </w:rPr>
            </w:pPr>
            <w:r>
              <w:rPr>
                <w:spacing w:val="-2"/>
                <w:sz w:val="24"/>
              </w:rPr>
              <w:t>0.0288</w:t>
            </w:r>
          </w:p>
        </w:tc>
        <w:tc>
          <w:tcPr>
            <w:tcW w:w="3071" w:type="dxa"/>
          </w:tcPr>
          <w:p>
            <w:pPr>
              <w:pStyle w:val="TableParagraph"/>
              <w:spacing w:line="240" w:lineRule="auto" w:before="82"/>
              <w:ind w:left="545"/>
              <w:rPr>
                <w:sz w:val="24"/>
              </w:rPr>
            </w:pPr>
            <w:r>
              <w:rPr>
                <w:spacing w:val="-2"/>
                <w:sz w:val="24"/>
              </w:rPr>
              <w:t>0.0296</w:t>
            </w:r>
          </w:p>
        </w:tc>
      </w:tr>
      <w:tr>
        <w:trPr>
          <w:trHeight w:val="472" w:hRule="atLeast"/>
        </w:trPr>
        <w:tc>
          <w:tcPr>
            <w:tcW w:w="3693" w:type="dxa"/>
          </w:tcPr>
          <w:p>
            <w:pPr>
              <w:pStyle w:val="TableParagraph"/>
              <w:spacing w:line="240" w:lineRule="auto" w:before="104"/>
              <w:ind w:left="115"/>
              <w:rPr>
                <w:sz w:val="24"/>
              </w:rPr>
            </w:pPr>
            <w:r>
              <w:rPr>
                <w:sz w:val="24"/>
              </w:rPr>
              <w:t>Coefficient.</w:t>
            </w:r>
            <w:r>
              <w:rPr>
                <w:spacing w:val="-2"/>
                <w:sz w:val="24"/>
              </w:rPr>
              <w:t> </w:t>
            </w:r>
            <w:r>
              <w:rPr>
                <w:sz w:val="24"/>
              </w:rPr>
              <w:t>of</w:t>
            </w:r>
            <w:r>
              <w:rPr>
                <w:spacing w:val="-2"/>
                <w:sz w:val="24"/>
              </w:rPr>
              <w:t> </w:t>
            </w:r>
            <w:r>
              <w:rPr>
                <w:sz w:val="24"/>
              </w:rPr>
              <w:t>determination</w:t>
            </w:r>
            <w:r>
              <w:rPr>
                <w:spacing w:val="-1"/>
                <w:sz w:val="24"/>
              </w:rPr>
              <w:t> </w:t>
            </w:r>
            <w:r>
              <w:rPr>
                <w:spacing w:val="-5"/>
                <w:sz w:val="24"/>
              </w:rPr>
              <w:t>R</w:t>
            </w:r>
            <w:r>
              <w:rPr>
                <w:spacing w:val="-5"/>
                <w:sz w:val="24"/>
                <w:vertAlign w:val="superscript"/>
              </w:rPr>
              <w:t>2</w:t>
            </w:r>
          </w:p>
        </w:tc>
        <w:tc>
          <w:tcPr>
            <w:tcW w:w="2262" w:type="dxa"/>
          </w:tcPr>
          <w:p>
            <w:pPr>
              <w:pStyle w:val="TableParagraph"/>
              <w:spacing w:line="240" w:lineRule="auto" w:before="104"/>
              <w:ind w:left="399"/>
              <w:rPr>
                <w:sz w:val="24"/>
              </w:rPr>
            </w:pPr>
            <w:r>
              <w:rPr>
                <w:spacing w:val="-2"/>
                <w:sz w:val="24"/>
              </w:rPr>
              <w:t>0.9999</w:t>
            </w:r>
          </w:p>
        </w:tc>
        <w:tc>
          <w:tcPr>
            <w:tcW w:w="3071" w:type="dxa"/>
          </w:tcPr>
          <w:p>
            <w:pPr>
              <w:pStyle w:val="TableParagraph"/>
              <w:spacing w:line="240" w:lineRule="auto" w:before="104"/>
              <w:ind w:left="545"/>
              <w:rPr>
                <w:sz w:val="24"/>
              </w:rPr>
            </w:pPr>
            <w:r>
              <w:rPr>
                <w:spacing w:val="-2"/>
                <w:sz w:val="24"/>
              </w:rPr>
              <w:t>0.9998</w:t>
            </w:r>
          </w:p>
        </w:tc>
      </w:tr>
      <w:tr>
        <w:trPr>
          <w:trHeight w:val="451" w:hRule="atLeast"/>
        </w:trPr>
        <w:tc>
          <w:tcPr>
            <w:tcW w:w="3693" w:type="dxa"/>
          </w:tcPr>
          <w:p>
            <w:pPr>
              <w:pStyle w:val="TableParagraph"/>
              <w:spacing w:line="240" w:lineRule="auto" w:before="82"/>
              <w:ind w:left="115"/>
              <w:rPr>
                <w:sz w:val="24"/>
              </w:rPr>
            </w:pPr>
            <w:r>
              <w:rPr>
                <w:sz w:val="24"/>
              </w:rPr>
              <w:t>Coefficient.</w:t>
            </w:r>
            <w:r>
              <w:rPr>
                <w:spacing w:val="-4"/>
                <w:sz w:val="24"/>
              </w:rPr>
              <w:t> </w:t>
            </w:r>
            <w:r>
              <w:rPr>
                <w:sz w:val="24"/>
              </w:rPr>
              <w:t>of correlation</w:t>
            </w:r>
            <w:r>
              <w:rPr>
                <w:spacing w:val="-1"/>
                <w:sz w:val="24"/>
              </w:rPr>
              <w:t> </w:t>
            </w:r>
            <w:r>
              <w:rPr>
                <w:sz w:val="24"/>
              </w:rPr>
              <w:t>(</w:t>
            </w:r>
            <w:r>
              <w:rPr>
                <w:spacing w:val="-1"/>
                <w:sz w:val="24"/>
              </w:rPr>
              <w:t> </w:t>
            </w:r>
            <w:r>
              <w:rPr>
                <w:sz w:val="24"/>
              </w:rPr>
              <w:t>r</w:t>
            </w:r>
            <w:r>
              <w:rPr>
                <w:spacing w:val="-2"/>
                <w:sz w:val="24"/>
              </w:rPr>
              <w:t> </w:t>
            </w:r>
            <w:r>
              <w:rPr>
                <w:spacing w:val="-10"/>
                <w:sz w:val="24"/>
              </w:rPr>
              <w:t>)</w:t>
            </w:r>
          </w:p>
        </w:tc>
        <w:tc>
          <w:tcPr>
            <w:tcW w:w="2262" w:type="dxa"/>
          </w:tcPr>
          <w:p>
            <w:pPr>
              <w:pStyle w:val="TableParagraph"/>
              <w:spacing w:line="240" w:lineRule="auto" w:before="82"/>
              <w:ind w:left="399"/>
              <w:rPr>
                <w:sz w:val="24"/>
              </w:rPr>
            </w:pPr>
            <w:r>
              <w:rPr>
                <w:spacing w:val="-2"/>
                <w:sz w:val="24"/>
              </w:rPr>
              <w:t>0.9999</w:t>
            </w:r>
          </w:p>
        </w:tc>
        <w:tc>
          <w:tcPr>
            <w:tcW w:w="3071" w:type="dxa"/>
          </w:tcPr>
          <w:p>
            <w:pPr>
              <w:pStyle w:val="TableParagraph"/>
              <w:spacing w:line="240" w:lineRule="auto" w:before="82"/>
              <w:ind w:left="545"/>
              <w:rPr>
                <w:sz w:val="24"/>
              </w:rPr>
            </w:pPr>
            <w:r>
              <w:rPr>
                <w:spacing w:val="-2"/>
                <w:sz w:val="24"/>
              </w:rPr>
              <w:t>0.9999</w:t>
            </w:r>
          </w:p>
        </w:tc>
      </w:tr>
      <w:tr>
        <w:trPr>
          <w:trHeight w:val="543" w:hRule="atLeast"/>
        </w:trPr>
        <w:tc>
          <w:tcPr>
            <w:tcW w:w="3693" w:type="dxa"/>
            <w:tcBorders>
              <w:bottom w:val="single" w:sz="8" w:space="0" w:color="000000"/>
            </w:tcBorders>
          </w:tcPr>
          <w:p>
            <w:pPr>
              <w:pStyle w:val="TableParagraph"/>
              <w:spacing w:line="240" w:lineRule="auto" w:before="82"/>
              <w:ind w:left="115"/>
              <w:rPr>
                <w:sz w:val="24"/>
              </w:rPr>
            </w:pPr>
            <w:r>
              <w:rPr>
                <w:sz w:val="24"/>
              </w:rPr>
              <w:t>Effective</w:t>
            </w:r>
            <w:r>
              <w:rPr>
                <w:spacing w:val="-2"/>
                <w:sz w:val="24"/>
              </w:rPr>
              <w:t> </w:t>
            </w:r>
            <w:r>
              <w:rPr>
                <w:sz w:val="24"/>
              </w:rPr>
              <w:t>pH for</w:t>
            </w:r>
            <w:r>
              <w:rPr>
                <w:spacing w:val="-2"/>
                <w:sz w:val="24"/>
              </w:rPr>
              <w:t> </w:t>
            </w:r>
            <w:r>
              <w:rPr>
                <w:sz w:val="24"/>
              </w:rPr>
              <w:t>max. </w:t>
            </w:r>
            <w:r>
              <w:rPr>
                <w:spacing w:val="-2"/>
                <w:sz w:val="24"/>
              </w:rPr>
              <w:t>absorption</w:t>
            </w:r>
          </w:p>
        </w:tc>
        <w:tc>
          <w:tcPr>
            <w:tcW w:w="2262" w:type="dxa"/>
            <w:tcBorders>
              <w:bottom w:val="single" w:sz="8" w:space="0" w:color="000000"/>
            </w:tcBorders>
          </w:tcPr>
          <w:p>
            <w:pPr>
              <w:pStyle w:val="TableParagraph"/>
              <w:spacing w:line="240" w:lineRule="auto" w:before="82"/>
              <w:ind w:left="399"/>
              <w:rPr>
                <w:sz w:val="24"/>
              </w:rPr>
            </w:pPr>
            <w:r>
              <w:rPr>
                <w:spacing w:val="-10"/>
                <w:sz w:val="24"/>
              </w:rPr>
              <w:t>4</w:t>
            </w:r>
          </w:p>
        </w:tc>
        <w:tc>
          <w:tcPr>
            <w:tcW w:w="3071" w:type="dxa"/>
            <w:tcBorders>
              <w:bottom w:val="single" w:sz="8" w:space="0" w:color="000000"/>
            </w:tcBorders>
          </w:tcPr>
          <w:p>
            <w:pPr>
              <w:pStyle w:val="TableParagraph"/>
              <w:spacing w:line="240" w:lineRule="auto" w:before="82"/>
              <w:ind w:left="545"/>
              <w:rPr>
                <w:sz w:val="24"/>
              </w:rPr>
            </w:pPr>
            <w:r>
              <w:rPr>
                <w:spacing w:val="-10"/>
                <w:sz w:val="24"/>
              </w:rPr>
              <w:t>4</w:t>
            </w:r>
          </w:p>
        </w:tc>
      </w:tr>
    </w:tbl>
    <w:p>
      <w:pPr>
        <w:spacing w:after="0" w:line="240" w:lineRule="auto"/>
        <w:rPr>
          <w:sz w:val="24"/>
        </w:rPr>
        <w:sectPr>
          <w:pgSz w:w="12240" w:h="15840"/>
          <w:pgMar w:header="0" w:footer="1015" w:top="1360" w:bottom="1200" w:left="240" w:right="0"/>
        </w:sectPr>
      </w:pPr>
    </w:p>
    <w:p>
      <w:pPr>
        <w:pStyle w:val="BodyText"/>
        <w:spacing w:before="118"/>
        <w:rPr>
          <w:b/>
          <w:sz w:val="20"/>
        </w:rPr>
      </w:pPr>
    </w:p>
    <w:p>
      <w:pPr>
        <w:spacing w:after="0"/>
        <w:rPr>
          <w:sz w:val="20"/>
        </w:rPr>
        <w:sectPr>
          <w:pgSz w:w="12240" w:h="15840"/>
          <w:pgMar w:header="0" w:footer="1015" w:top="1820" w:bottom="1200" w:left="240" w:right="0"/>
        </w:sectPr>
      </w:pPr>
    </w:p>
    <w:p>
      <w:pPr>
        <w:spacing w:before="118"/>
        <w:ind w:left="0" w:right="38" w:firstLine="0"/>
        <w:jc w:val="right"/>
        <w:rPr>
          <w:rFonts w:ascii="Calibri"/>
          <w:sz w:val="20"/>
        </w:rPr>
      </w:pPr>
      <w:r>
        <w:rPr/>
        <mc:AlternateContent>
          <mc:Choice Requires="wps">
            <w:drawing>
              <wp:anchor distT="0" distB="0" distL="0" distR="0" allowOverlap="1" layoutInCell="1" locked="0" behindDoc="1" simplePos="0" relativeHeight="485018112">
                <wp:simplePos x="0" y="0"/>
                <wp:positionH relativeFrom="page">
                  <wp:posOffset>1562100</wp:posOffset>
                </wp:positionH>
                <wp:positionV relativeFrom="paragraph">
                  <wp:posOffset>156476</wp:posOffset>
                </wp:positionV>
                <wp:extent cx="3724910" cy="1964689"/>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3724910" cy="1964689"/>
                          <a:chExt cx="3724910" cy="1964689"/>
                        </a:xfrm>
                      </wpg:grpSpPr>
                      <wps:wsp>
                        <wps:cNvPr id="134" name="Graphic 134"/>
                        <wps:cNvSpPr/>
                        <wps:spPr>
                          <a:xfrm>
                            <a:off x="0" y="4572"/>
                            <a:ext cx="3720465" cy="1960245"/>
                          </a:xfrm>
                          <a:custGeom>
                            <a:avLst/>
                            <a:gdLst/>
                            <a:ahLst/>
                            <a:cxnLst/>
                            <a:rect l="l" t="t" r="r" b="b"/>
                            <a:pathLst>
                              <a:path w="3720465" h="1960245">
                                <a:moveTo>
                                  <a:pt x="39624" y="1920239"/>
                                </a:moveTo>
                                <a:lnTo>
                                  <a:pt x="39624" y="0"/>
                                </a:lnTo>
                              </a:path>
                              <a:path w="3720465" h="1960245">
                                <a:moveTo>
                                  <a:pt x="0" y="1920239"/>
                                </a:moveTo>
                                <a:lnTo>
                                  <a:pt x="39624" y="1920239"/>
                                </a:lnTo>
                              </a:path>
                              <a:path w="3720465" h="1960245">
                                <a:moveTo>
                                  <a:pt x="0" y="1600200"/>
                                </a:moveTo>
                                <a:lnTo>
                                  <a:pt x="39624" y="1600200"/>
                                </a:lnTo>
                              </a:path>
                              <a:path w="3720465" h="1960245">
                                <a:moveTo>
                                  <a:pt x="0" y="1280159"/>
                                </a:moveTo>
                                <a:lnTo>
                                  <a:pt x="39624" y="1280159"/>
                                </a:lnTo>
                              </a:path>
                              <a:path w="3720465" h="1960245">
                                <a:moveTo>
                                  <a:pt x="0" y="960119"/>
                                </a:moveTo>
                                <a:lnTo>
                                  <a:pt x="39624" y="960119"/>
                                </a:lnTo>
                              </a:path>
                              <a:path w="3720465" h="1960245">
                                <a:moveTo>
                                  <a:pt x="0" y="640079"/>
                                </a:moveTo>
                                <a:lnTo>
                                  <a:pt x="39624" y="640079"/>
                                </a:lnTo>
                              </a:path>
                              <a:path w="3720465" h="1960245">
                                <a:moveTo>
                                  <a:pt x="0" y="320039"/>
                                </a:moveTo>
                                <a:lnTo>
                                  <a:pt x="39624" y="320039"/>
                                </a:lnTo>
                              </a:path>
                              <a:path w="3720465" h="1960245">
                                <a:moveTo>
                                  <a:pt x="0" y="0"/>
                                </a:moveTo>
                                <a:lnTo>
                                  <a:pt x="39624" y="0"/>
                                </a:lnTo>
                              </a:path>
                              <a:path w="3720465" h="1960245">
                                <a:moveTo>
                                  <a:pt x="39624" y="1920239"/>
                                </a:moveTo>
                                <a:lnTo>
                                  <a:pt x="3720084" y="1920239"/>
                                </a:lnTo>
                              </a:path>
                              <a:path w="3720465" h="1960245">
                                <a:moveTo>
                                  <a:pt x="39624" y="1920239"/>
                                </a:moveTo>
                                <a:lnTo>
                                  <a:pt x="39624" y="1959863"/>
                                </a:lnTo>
                              </a:path>
                              <a:path w="3720465" h="1960245">
                                <a:moveTo>
                                  <a:pt x="775716" y="1920239"/>
                                </a:moveTo>
                                <a:lnTo>
                                  <a:pt x="775716" y="1959863"/>
                                </a:lnTo>
                              </a:path>
                              <a:path w="3720465" h="1960245">
                                <a:moveTo>
                                  <a:pt x="1511808" y="1920239"/>
                                </a:moveTo>
                                <a:lnTo>
                                  <a:pt x="1511808" y="1959863"/>
                                </a:lnTo>
                              </a:path>
                              <a:path w="3720465" h="1960245">
                                <a:moveTo>
                                  <a:pt x="2247900" y="1920239"/>
                                </a:moveTo>
                                <a:lnTo>
                                  <a:pt x="2247900" y="1959863"/>
                                </a:lnTo>
                              </a:path>
                              <a:path w="3720465" h="1960245">
                                <a:moveTo>
                                  <a:pt x="2983991" y="1920239"/>
                                </a:moveTo>
                                <a:lnTo>
                                  <a:pt x="2983991" y="1959863"/>
                                </a:lnTo>
                              </a:path>
                              <a:path w="3720465" h="1960245">
                                <a:moveTo>
                                  <a:pt x="3720084" y="1920239"/>
                                </a:moveTo>
                                <a:lnTo>
                                  <a:pt x="3720084" y="1959863"/>
                                </a:lnTo>
                              </a:path>
                            </a:pathLst>
                          </a:custGeom>
                          <a:ln w="9144">
                            <a:solidFill>
                              <a:srgbClr val="858585"/>
                            </a:solidFill>
                            <a:prstDash val="solid"/>
                          </a:ln>
                        </wps:spPr>
                        <wps:bodyPr wrap="square" lIns="0" tIns="0" rIns="0" bIns="0" rtlCol="0">
                          <a:prstTxWarp prst="textNoShape">
                            <a:avLst/>
                          </a:prstTxWarp>
                          <a:noAutofit/>
                        </wps:bodyPr>
                      </wps:wsp>
                      <pic:pic>
                        <pic:nvPicPr>
                          <pic:cNvPr id="135" name="Image 135"/>
                          <pic:cNvPicPr/>
                        </pic:nvPicPr>
                        <pic:blipFill>
                          <a:blip r:embed="rId18" cstate="print"/>
                          <a:stretch>
                            <a:fillRect/>
                          </a:stretch>
                        </pic:blipFill>
                        <pic:spPr>
                          <a:xfrm>
                            <a:off x="359663" y="1753616"/>
                            <a:ext cx="98044" cy="98044"/>
                          </a:xfrm>
                          <a:prstGeom prst="rect">
                            <a:avLst/>
                          </a:prstGeom>
                        </pic:spPr>
                      </pic:pic>
                      <pic:pic>
                        <pic:nvPicPr>
                          <pic:cNvPr id="136" name="Image 136"/>
                          <pic:cNvPicPr/>
                        </pic:nvPicPr>
                        <pic:blipFill>
                          <a:blip r:embed="rId19" cstate="print"/>
                          <a:stretch>
                            <a:fillRect/>
                          </a:stretch>
                        </pic:blipFill>
                        <pic:spPr>
                          <a:xfrm>
                            <a:off x="1095628" y="1337436"/>
                            <a:ext cx="98044" cy="98044"/>
                          </a:xfrm>
                          <a:prstGeom prst="rect">
                            <a:avLst/>
                          </a:prstGeom>
                        </pic:spPr>
                      </pic:pic>
                      <pic:pic>
                        <pic:nvPicPr>
                          <pic:cNvPr id="137" name="Image 137"/>
                          <pic:cNvPicPr/>
                        </pic:nvPicPr>
                        <pic:blipFill>
                          <a:blip r:embed="rId20" cstate="print"/>
                          <a:stretch>
                            <a:fillRect/>
                          </a:stretch>
                        </pic:blipFill>
                        <pic:spPr>
                          <a:xfrm>
                            <a:off x="1831594" y="927735"/>
                            <a:ext cx="98044" cy="98044"/>
                          </a:xfrm>
                          <a:prstGeom prst="rect">
                            <a:avLst/>
                          </a:prstGeom>
                        </pic:spPr>
                      </pic:pic>
                      <pic:pic>
                        <pic:nvPicPr>
                          <pic:cNvPr id="138" name="Image 138"/>
                          <pic:cNvPicPr/>
                        </pic:nvPicPr>
                        <pic:blipFill>
                          <a:blip r:embed="rId19" cstate="print"/>
                          <a:stretch>
                            <a:fillRect/>
                          </a:stretch>
                        </pic:blipFill>
                        <pic:spPr>
                          <a:xfrm>
                            <a:off x="2567558" y="489204"/>
                            <a:ext cx="98044" cy="98044"/>
                          </a:xfrm>
                          <a:prstGeom prst="rect">
                            <a:avLst/>
                          </a:prstGeom>
                        </pic:spPr>
                      </pic:pic>
                      <pic:pic>
                        <pic:nvPicPr>
                          <pic:cNvPr id="139" name="Image 139"/>
                          <pic:cNvPicPr/>
                        </pic:nvPicPr>
                        <pic:blipFill>
                          <a:blip r:embed="rId18" cstate="print"/>
                          <a:stretch>
                            <a:fillRect/>
                          </a:stretch>
                        </pic:blipFill>
                        <pic:spPr>
                          <a:xfrm>
                            <a:off x="3303523" y="76200"/>
                            <a:ext cx="98044" cy="98044"/>
                          </a:xfrm>
                          <a:prstGeom prst="rect">
                            <a:avLst/>
                          </a:prstGeom>
                        </pic:spPr>
                      </pic:pic>
                      <wps:wsp>
                        <wps:cNvPr id="140" name="Graphic 140"/>
                        <wps:cNvSpPr/>
                        <wps:spPr>
                          <a:xfrm>
                            <a:off x="408431" y="124968"/>
                            <a:ext cx="2944495" cy="1681480"/>
                          </a:xfrm>
                          <a:custGeom>
                            <a:avLst/>
                            <a:gdLst/>
                            <a:ahLst/>
                            <a:cxnLst/>
                            <a:rect l="l" t="t" r="r" b="b"/>
                            <a:pathLst>
                              <a:path w="2944495" h="1681480">
                                <a:moveTo>
                                  <a:pt x="0" y="1680972"/>
                                </a:moveTo>
                                <a:lnTo>
                                  <a:pt x="2944368" y="0"/>
                                </a:lnTo>
                              </a:path>
                            </a:pathLst>
                          </a:custGeom>
                          <a:ln w="9144">
                            <a:solidFill>
                              <a:srgbClr val="000000"/>
                            </a:solidFill>
                            <a:prstDash val="solid"/>
                          </a:ln>
                        </wps:spPr>
                        <wps:bodyPr wrap="square" lIns="0" tIns="0" rIns="0" bIns="0" rtlCol="0">
                          <a:prstTxWarp prst="textNoShape">
                            <a:avLst/>
                          </a:prstTxWarp>
                          <a:noAutofit/>
                        </wps:bodyPr>
                      </wps:wsp>
                      <wps:wsp>
                        <wps:cNvPr id="141" name="Textbox 141"/>
                        <wps:cNvSpPr txBox="1"/>
                        <wps:spPr>
                          <a:xfrm>
                            <a:off x="2616073" y="62738"/>
                            <a:ext cx="531495" cy="127000"/>
                          </a:xfrm>
                          <a:prstGeom prst="rect">
                            <a:avLst/>
                          </a:prstGeom>
                        </wps:spPr>
                        <wps:txbx>
                          <w:txbxContent>
                            <w:p>
                              <w:pPr>
                                <w:spacing w:line="199" w:lineRule="exact" w:before="0"/>
                                <w:ind w:left="0" w:right="0" w:firstLine="0"/>
                                <w:jc w:val="left"/>
                                <w:rPr>
                                  <w:rFonts w:ascii="Calibri" w:hAnsi="Calibri"/>
                                  <w:sz w:val="20"/>
                                </w:rPr>
                              </w:pPr>
                              <w:r>
                                <w:rPr>
                                  <w:rFonts w:ascii="Calibri" w:hAnsi="Calibri"/>
                                  <w:sz w:val="20"/>
                                </w:rPr>
                                <w:t>R²</w:t>
                              </w:r>
                              <w:r>
                                <w:rPr>
                                  <w:rFonts w:ascii="Calibri" w:hAnsi="Calibri"/>
                                  <w:spacing w:val="-4"/>
                                  <w:sz w:val="20"/>
                                </w:rPr>
                                <w:t> </w:t>
                              </w:r>
                              <w:r>
                                <w:rPr>
                                  <w:rFonts w:ascii="Calibri" w:hAnsi="Calibri"/>
                                  <w:sz w:val="20"/>
                                </w:rPr>
                                <w:t>=</w:t>
                              </w:r>
                              <w:r>
                                <w:rPr>
                                  <w:rFonts w:ascii="Calibri" w:hAnsi="Calibri"/>
                                  <w:spacing w:val="-2"/>
                                  <w:sz w:val="20"/>
                                </w:rPr>
                                <w:t> 0.999</w:t>
                              </w:r>
                            </w:p>
                          </w:txbxContent>
                        </wps:txbx>
                        <wps:bodyPr wrap="square" lIns="0" tIns="0" rIns="0" bIns="0" rtlCol="0">
                          <a:noAutofit/>
                        </wps:bodyPr>
                      </wps:wsp>
                    </wpg:wgp>
                  </a:graphicData>
                </a:graphic>
              </wp:anchor>
            </w:drawing>
          </mc:Choice>
          <mc:Fallback>
            <w:pict>
              <v:group style="position:absolute;margin-left:123pt;margin-top:12.320976pt;width:293.3pt;height:154.7pt;mso-position-horizontal-relative:page;mso-position-vertical-relative:paragraph;z-index:-18298368" id="docshapegroup108" coordorigin="2460,246" coordsize="5866,3094">
                <v:shape style="position:absolute;left:2460;top:253;width:5859;height:3087" id="docshape109" coordorigin="2460,254" coordsize="5859,3087" path="m2522,3278l2522,254m2460,3278l2522,3278m2460,2774l2522,2774m2460,2270l2522,2270m2460,1766l2522,1766m2460,1262l2522,1262m2460,758l2522,758m2460,254l2522,254m2522,3278l8318,3278m2522,3278l2522,3340m3682,3278l3682,3340m4841,3278l4841,3340m6000,3278l6000,3340m7159,3278l7159,3340m8318,3278l8318,3340e" filled="false" stroked="true" strokeweight=".72pt" strokecolor="#858585">
                  <v:path arrowok="t"/>
                  <v:stroke dashstyle="solid"/>
                </v:shape>
                <v:shape style="position:absolute;left:3026;top:3008;width:155;height:155" type="#_x0000_t75" id="docshape110" stroked="false">
                  <v:imagedata r:id="rId18" o:title=""/>
                </v:shape>
                <v:shape style="position:absolute;left:4185;top:2352;width:155;height:155" type="#_x0000_t75" id="docshape111" stroked="false">
                  <v:imagedata r:id="rId19" o:title=""/>
                </v:shape>
                <v:shape style="position:absolute;left:5344;top:1707;width:155;height:155" type="#_x0000_t75" id="docshape112" stroked="false">
                  <v:imagedata r:id="rId20" o:title=""/>
                </v:shape>
                <v:shape style="position:absolute;left:6503;top:1016;width:155;height:155" type="#_x0000_t75" id="docshape113" stroked="false">
                  <v:imagedata r:id="rId19" o:title=""/>
                </v:shape>
                <v:shape style="position:absolute;left:7662;top:366;width:155;height:155" type="#_x0000_t75" id="docshape114" stroked="false">
                  <v:imagedata r:id="rId18" o:title=""/>
                </v:shape>
                <v:line style="position:absolute" from="3103,3090" to="7740,443" stroked="true" strokeweight=".72pt" strokecolor="#000000">
                  <v:stroke dashstyle="solid"/>
                </v:line>
                <v:shape style="position:absolute;left:6579;top:345;width:837;height:200" type="#_x0000_t202" id="docshape115" filled="false" stroked="false">
                  <v:textbox inset="0,0,0,0">
                    <w:txbxContent>
                      <w:p>
                        <w:pPr>
                          <w:spacing w:line="199" w:lineRule="exact" w:before="0"/>
                          <w:ind w:left="0" w:right="0" w:firstLine="0"/>
                          <w:jc w:val="left"/>
                          <w:rPr>
                            <w:rFonts w:ascii="Calibri" w:hAnsi="Calibri"/>
                            <w:sz w:val="20"/>
                          </w:rPr>
                        </w:pPr>
                        <w:r>
                          <w:rPr>
                            <w:rFonts w:ascii="Calibri" w:hAnsi="Calibri"/>
                            <w:sz w:val="20"/>
                          </w:rPr>
                          <w:t>R²</w:t>
                        </w:r>
                        <w:r>
                          <w:rPr>
                            <w:rFonts w:ascii="Calibri" w:hAnsi="Calibri"/>
                            <w:spacing w:val="-4"/>
                            <w:sz w:val="20"/>
                          </w:rPr>
                          <w:t> </w:t>
                        </w:r>
                        <w:r>
                          <w:rPr>
                            <w:rFonts w:ascii="Calibri" w:hAnsi="Calibri"/>
                            <w:sz w:val="20"/>
                          </w:rPr>
                          <w:t>=</w:t>
                        </w:r>
                        <w:r>
                          <w:rPr>
                            <w:rFonts w:ascii="Calibri" w:hAnsi="Calibri"/>
                            <w:spacing w:val="-2"/>
                            <w:sz w:val="20"/>
                          </w:rPr>
                          <w:t> 0.999</w:t>
                        </w:r>
                      </w:p>
                    </w:txbxContent>
                  </v:textbox>
                  <w10:wrap type="none"/>
                </v:shape>
                <w10:wrap type="none"/>
              </v:group>
            </w:pict>
          </mc:Fallback>
        </mc:AlternateContent>
      </w:r>
      <w:r>
        <w:rPr>
          <w:rFonts w:ascii="Calibri"/>
          <w:spacing w:val="-5"/>
          <w:sz w:val="20"/>
        </w:rPr>
        <w:t>0.6</w:t>
      </w:r>
    </w:p>
    <w:p>
      <w:pPr>
        <w:spacing w:before="59"/>
        <w:ind w:left="1844" w:right="0" w:firstLine="0"/>
        <w:jc w:val="left"/>
        <w:rPr>
          <w:rFonts w:ascii="Calibri"/>
          <w:sz w:val="20"/>
        </w:rPr>
      </w:pPr>
      <w:r>
        <w:rPr/>
        <w:br w:type="column"/>
      </w:r>
      <w:r>
        <w:rPr>
          <w:rFonts w:ascii="Calibri"/>
          <w:sz w:val="20"/>
        </w:rPr>
        <w:t>y</w:t>
      </w:r>
      <w:r>
        <w:rPr>
          <w:rFonts w:ascii="Calibri"/>
          <w:spacing w:val="-6"/>
          <w:sz w:val="20"/>
        </w:rPr>
        <w:t> </w:t>
      </w:r>
      <w:r>
        <w:rPr>
          <w:rFonts w:ascii="Calibri"/>
          <w:sz w:val="20"/>
        </w:rPr>
        <w:t>=</w:t>
      </w:r>
      <w:r>
        <w:rPr>
          <w:rFonts w:ascii="Calibri"/>
          <w:spacing w:val="-4"/>
          <w:sz w:val="20"/>
        </w:rPr>
        <w:t> </w:t>
      </w:r>
      <w:r>
        <w:rPr>
          <w:rFonts w:ascii="Calibri"/>
          <w:sz w:val="20"/>
        </w:rPr>
        <w:t>0.065x -</w:t>
      </w:r>
      <w:r>
        <w:rPr>
          <w:rFonts w:ascii="Calibri"/>
          <w:spacing w:val="-4"/>
          <w:sz w:val="20"/>
        </w:rPr>
        <w:t> </w:t>
      </w:r>
      <w:r>
        <w:rPr>
          <w:rFonts w:ascii="Calibri"/>
          <w:spacing w:val="-2"/>
          <w:sz w:val="20"/>
        </w:rPr>
        <w:t>0.028</w:t>
      </w:r>
    </w:p>
    <w:p>
      <w:pPr>
        <w:spacing w:after="0"/>
        <w:jc w:val="left"/>
        <w:rPr>
          <w:rFonts w:ascii="Calibri"/>
          <w:sz w:val="20"/>
        </w:rPr>
        <w:sectPr>
          <w:type w:val="continuous"/>
          <w:pgSz w:w="12240" w:h="15840"/>
          <w:pgMar w:header="0" w:footer="1015" w:top="1360" w:bottom="1200" w:left="240" w:right="0"/>
          <w:cols w:num="2" w:equalWidth="0">
            <w:col w:w="2137" w:space="2054"/>
            <w:col w:w="7809"/>
          </w:cols>
        </w:sectPr>
      </w:pPr>
    </w:p>
    <w:p>
      <w:pPr>
        <w:pStyle w:val="BodyText"/>
        <w:spacing w:before="16"/>
        <w:rPr>
          <w:rFonts w:ascii="Calibri"/>
          <w:sz w:val="20"/>
        </w:rPr>
      </w:pPr>
    </w:p>
    <w:p>
      <w:pPr>
        <w:spacing w:before="0"/>
        <w:ind w:left="1844" w:right="0" w:firstLine="0"/>
        <w:jc w:val="left"/>
        <w:rPr>
          <w:rFonts w:ascii="Calibri"/>
          <w:sz w:val="20"/>
        </w:rPr>
      </w:pPr>
      <w:r>
        <w:rPr>
          <w:rFonts w:ascii="Calibri"/>
          <w:spacing w:val="-5"/>
          <w:sz w:val="20"/>
        </w:rPr>
        <w:t>0.5</w:t>
      </w:r>
    </w:p>
    <w:p>
      <w:pPr>
        <w:pStyle w:val="BodyText"/>
        <w:spacing w:before="16"/>
        <w:rPr>
          <w:rFonts w:ascii="Calibri"/>
          <w:sz w:val="20"/>
        </w:rPr>
      </w:pPr>
    </w:p>
    <w:p>
      <w:pPr>
        <w:spacing w:before="0"/>
        <w:ind w:left="1844" w:right="0" w:firstLine="0"/>
        <w:jc w:val="left"/>
        <w:rPr>
          <w:rFonts w:ascii="Calibri"/>
          <w:sz w:val="20"/>
        </w:rPr>
      </w:pPr>
      <w:r>
        <w:rPr/>
        <mc:AlternateContent>
          <mc:Choice Requires="wps">
            <w:drawing>
              <wp:anchor distT="0" distB="0" distL="0" distR="0" allowOverlap="1" layoutInCell="1" locked="0" behindDoc="0" simplePos="0" relativeHeight="15759872">
                <wp:simplePos x="0" y="0"/>
                <wp:positionH relativeFrom="page">
                  <wp:posOffset>1086332</wp:posOffset>
                </wp:positionH>
                <wp:positionV relativeFrom="paragraph">
                  <wp:posOffset>81282</wp:posOffset>
                </wp:positionV>
                <wp:extent cx="152400" cy="65087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52400" cy="65087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Absorbance</w:t>
                            </w:r>
                          </w:p>
                        </w:txbxContent>
                      </wps:txbx>
                      <wps:bodyPr wrap="square" lIns="0" tIns="0" rIns="0" bIns="0" rtlCol="0" vert="vert270">
                        <a:noAutofit/>
                      </wps:bodyPr>
                    </wps:wsp>
                  </a:graphicData>
                </a:graphic>
              </wp:anchor>
            </w:drawing>
          </mc:Choice>
          <mc:Fallback>
            <w:pict>
              <v:shape style="position:absolute;margin-left:85.538002pt;margin-top:6.400179pt;width:12pt;height:51.25pt;mso-position-horizontal-relative:page;mso-position-vertical-relative:paragraph;z-index:15759872" type="#_x0000_t202" id="docshape116"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Absorbance</w:t>
                      </w:r>
                    </w:p>
                  </w:txbxContent>
                </v:textbox>
                <w10:wrap type="none"/>
              </v:shape>
            </w:pict>
          </mc:Fallback>
        </mc:AlternateContent>
      </w:r>
      <w:r>
        <w:rPr>
          <w:rFonts w:ascii="Calibri"/>
          <w:spacing w:val="-5"/>
          <w:sz w:val="20"/>
        </w:rPr>
        <w:t>0.4</w:t>
      </w:r>
    </w:p>
    <w:p>
      <w:pPr>
        <w:pStyle w:val="BodyText"/>
        <w:spacing w:before="15"/>
        <w:rPr>
          <w:rFonts w:ascii="Calibri"/>
          <w:sz w:val="20"/>
        </w:rPr>
      </w:pPr>
    </w:p>
    <w:p>
      <w:pPr>
        <w:spacing w:before="1"/>
        <w:ind w:left="1844" w:right="0" w:firstLine="0"/>
        <w:jc w:val="left"/>
        <w:rPr>
          <w:rFonts w:ascii="Calibri"/>
          <w:sz w:val="20"/>
        </w:rPr>
      </w:pPr>
      <w:r>
        <w:rPr>
          <w:rFonts w:ascii="Calibri"/>
          <w:spacing w:val="-5"/>
          <w:sz w:val="20"/>
        </w:rPr>
        <w:t>0.3</w:t>
      </w:r>
    </w:p>
    <w:p>
      <w:pPr>
        <w:pStyle w:val="BodyText"/>
        <w:spacing w:before="15"/>
        <w:rPr>
          <w:rFonts w:ascii="Calibri"/>
          <w:sz w:val="20"/>
        </w:rPr>
      </w:pPr>
    </w:p>
    <w:p>
      <w:pPr>
        <w:spacing w:before="0"/>
        <w:ind w:left="1844" w:right="0" w:firstLine="0"/>
        <w:jc w:val="left"/>
        <w:rPr>
          <w:rFonts w:ascii="Calibri"/>
          <w:sz w:val="20"/>
        </w:rPr>
      </w:pPr>
      <w:r>
        <w:rPr>
          <w:rFonts w:ascii="Calibri"/>
          <w:spacing w:val="-5"/>
          <w:sz w:val="20"/>
        </w:rPr>
        <w:t>0.2</w:t>
      </w:r>
    </w:p>
    <w:p>
      <w:pPr>
        <w:pStyle w:val="BodyText"/>
        <w:spacing w:before="16"/>
        <w:rPr>
          <w:rFonts w:ascii="Calibri"/>
          <w:sz w:val="20"/>
        </w:rPr>
      </w:pPr>
    </w:p>
    <w:p>
      <w:pPr>
        <w:spacing w:before="0"/>
        <w:ind w:left="1844" w:right="0" w:firstLine="0"/>
        <w:jc w:val="left"/>
        <w:rPr>
          <w:rFonts w:ascii="Calibri"/>
          <w:sz w:val="20"/>
        </w:rPr>
      </w:pPr>
      <w:r>
        <w:rPr>
          <w:rFonts w:ascii="Calibri"/>
          <w:spacing w:val="-5"/>
          <w:sz w:val="20"/>
        </w:rPr>
        <w:t>0.1</w:t>
      </w:r>
    </w:p>
    <w:p>
      <w:pPr>
        <w:pStyle w:val="BodyText"/>
        <w:spacing w:before="16"/>
        <w:rPr>
          <w:rFonts w:ascii="Calibri"/>
          <w:sz w:val="20"/>
        </w:rPr>
      </w:pPr>
    </w:p>
    <w:p>
      <w:pPr>
        <w:spacing w:before="0"/>
        <w:ind w:left="1996" w:right="0" w:firstLine="0"/>
        <w:jc w:val="left"/>
        <w:rPr>
          <w:rFonts w:ascii="Calibri"/>
          <w:sz w:val="20"/>
        </w:rPr>
      </w:pPr>
      <w:r>
        <w:rPr>
          <w:rFonts w:ascii="Calibri"/>
          <w:spacing w:val="-10"/>
          <w:sz w:val="20"/>
        </w:rPr>
        <w:t>0</w:t>
      </w:r>
    </w:p>
    <w:p>
      <w:pPr>
        <w:tabs>
          <w:tab w:pos="3392" w:val="left" w:leader="none"/>
          <w:tab w:pos="4551" w:val="left" w:leader="none"/>
          <w:tab w:pos="5710" w:val="left" w:leader="none"/>
          <w:tab w:pos="6870" w:val="left" w:leader="none"/>
          <w:tab w:pos="7979" w:val="left" w:leader="none"/>
        </w:tabs>
        <w:spacing w:before="74"/>
        <w:ind w:left="2233" w:right="0" w:firstLine="0"/>
        <w:jc w:val="left"/>
        <w:rPr>
          <w:rFonts w:ascii="Calibri"/>
          <w:sz w:val="20"/>
        </w:rPr>
      </w:pPr>
      <w:r>
        <w:rPr>
          <w:rFonts w:ascii="Calibri"/>
          <w:spacing w:val="-10"/>
          <w:sz w:val="20"/>
        </w:rPr>
        <w:t>0</w:t>
      </w:r>
      <w:r>
        <w:rPr>
          <w:rFonts w:ascii="Calibri"/>
          <w:sz w:val="20"/>
        </w:rPr>
        <w:tab/>
      </w:r>
      <w:r>
        <w:rPr>
          <w:rFonts w:ascii="Calibri"/>
          <w:spacing w:val="-10"/>
          <w:sz w:val="20"/>
        </w:rPr>
        <w:t>2</w:t>
      </w:r>
      <w:r>
        <w:rPr>
          <w:rFonts w:ascii="Calibri"/>
          <w:sz w:val="20"/>
        </w:rPr>
        <w:tab/>
      </w:r>
      <w:r>
        <w:rPr>
          <w:rFonts w:ascii="Calibri"/>
          <w:spacing w:val="-10"/>
          <w:sz w:val="20"/>
        </w:rPr>
        <w:t>4</w:t>
      </w:r>
      <w:r>
        <w:rPr>
          <w:rFonts w:ascii="Calibri"/>
          <w:sz w:val="20"/>
        </w:rPr>
        <w:tab/>
      </w:r>
      <w:r>
        <w:rPr>
          <w:rFonts w:ascii="Calibri"/>
          <w:spacing w:val="-10"/>
          <w:sz w:val="20"/>
        </w:rPr>
        <w:t>6</w:t>
      </w:r>
      <w:r>
        <w:rPr>
          <w:rFonts w:ascii="Calibri"/>
          <w:sz w:val="20"/>
        </w:rPr>
        <w:tab/>
      </w:r>
      <w:r>
        <w:rPr>
          <w:rFonts w:ascii="Calibri"/>
          <w:spacing w:val="-10"/>
          <w:sz w:val="20"/>
        </w:rPr>
        <w:t>8</w:t>
      </w:r>
      <w:r>
        <w:rPr>
          <w:rFonts w:ascii="Calibri"/>
          <w:sz w:val="20"/>
        </w:rPr>
        <w:tab/>
      </w:r>
      <w:r>
        <w:rPr>
          <w:rFonts w:ascii="Calibri"/>
          <w:spacing w:val="-5"/>
          <w:sz w:val="20"/>
        </w:rPr>
        <w:t>10</w:t>
      </w:r>
    </w:p>
    <w:p>
      <w:pPr>
        <w:spacing w:before="151"/>
        <w:ind w:left="0" w:right="1635" w:firstLine="0"/>
        <w:jc w:val="center"/>
        <w:rPr>
          <w:rFonts w:ascii="Calibri" w:hAnsi="Calibri"/>
          <w:b/>
          <w:sz w:val="20"/>
        </w:rPr>
      </w:pPr>
      <w:r>
        <w:rPr>
          <w:rFonts w:ascii="Calibri" w:hAnsi="Calibri"/>
          <w:b/>
          <w:sz w:val="20"/>
        </w:rPr>
        <w:t>Concentration</w:t>
      </w:r>
      <w:r>
        <w:rPr>
          <w:rFonts w:ascii="Calibri" w:hAnsi="Calibri"/>
          <w:b/>
          <w:spacing w:val="-12"/>
          <w:sz w:val="20"/>
        </w:rPr>
        <w:t> </w:t>
      </w:r>
      <w:r>
        <w:rPr>
          <w:rFonts w:ascii="Calibri" w:hAnsi="Calibri"/>
          <w:b/>
          <w:sz w:val="20"/>
        </w:rPr>
        <w:t>in</w:t>
      </w:r>
      <w:r>
        <w:rPr>
          <w:rFonts w:ascii="Calibri" w:hAnsi="Calibri"/>
          <w:b/>
          <w:spacing w:val="-6"/>
          <w:sz w:val="20"/>
        </w:rPr>
        <w:t> </w:t>
      </w:r>
      <w:r>
        <w:rPr>
          <w:rFonts w:ascii="Calibri" w:hAnsi="Calibri"/>
          <w:b/>
          <w:spacing w:val="-4"/>
          <w:sz w:val="20"/>
        </w:rPr>
        <w:t>μg/ml</w:t>
      </w:r>
    </w:p>
    <w:p>
      <w:pPr>
        <w:pStyle w:val="BodyText"/>
        <w:rPr>
          <w:rFonts w:ascii="Calibri"/>
          <w:b/>
        </w:rPr>
      </w:pPr>
    </w:p>
    <w:p>
      <w:pPr>
        <w:pStyle w:val="BodyText"/>
        <w:spacing w:before="120"/>
        <w:rPr>
          <w:rFonts w:ascii="Calibri"/>
          <w:b/>
        </w:rPr>
      </w:pPr>
    </w:p>
    <w:p>
      <w:pPr>
        <w:pStyle w:val="Heading3"/>
        <w:spacing w:before="0"/>
      </w:pPr>
      <w:r>
        <w:rPr/>
        <w:t>Figure</w:t>
      </w:r>
      <w:r>
        <w:rPr>
          <w:spacing w:val="-3"/>
        </w:rPr>
        <w:t> </w:t>
      </w:r>
      <w:r>
        <w:rPr/>
        <w:t>4.3:</w:t>
      </w:r>
      <w:r>
        <w:rPr>
          <w:spacing w:val="-1"/>
        </w:rPr>
        <w:t> </w:t>
      </w:r>
      <w:r>
        <w:rPr/>
        <w:t>Calibration</w:t>
      </w:r>
      <w:r>
        <w:rPr>
          <w:spacing w:val="-1"/>
        </w:rPr>
        <w:t> </w:t>
      </w:r>
      <w:r>
        <w:rPr/>
        <w:t>curve</w:t>
      </w:r>
      <w:r>
        <w:rPr>
          <w:spacing w:val="-2"/>
        </w:rPr>
        <w:t> </w:t>
      </w:r>
      <w:r>
        <w:rPr/>
        <w:t>of</w:t>
      </w:r>
      <w:r>
        <w:rPr>
          <w:spacing w:val="1"/>
        </w:rPr>
        <w:t> </w:t>
      </w:r>
      <w:r>
        <w:rPr/>
        <w:t>isoniazidin</w:t>
      </w:r>
      <w:r>
        <w:rPr>
          <w:spacing w:val="-1"/>
        </w:rPr>
        <w:t> </w:t>
      </w:r>
      <w:r>
        <w:rPr/>
        <w:t>distilled</w:t>
      </w:r>
      <w:r>
        <w:rPr>
          <w:spacing w:val="-1"/>
        </w:rPr>
        <w:t> </w:t>
      </w:r>
      <w:r>
        <w:rPr>
          <w:spacing w:val="-2"/>
        </w:rPr>
        <w:t>water</w:t>
      </w:r>
    </w:p>
    <w:p>
      <w:pPr>
        <w:spacing w:after="0"/>
        <w:sectPr>
          <w:type w:val="continuous"/>
          <w:pgSz w:w="12240" w:h="15840"/>
          <w:pgMar w:header="0" w:footer="1015" w:top="1360" w:bottom="1200" w:left="240" w:right="0"/>
        </w:sectPr>
      </w:pPr>
    </w:p>
    <w:p>
      <w:pPr>
        <w:spacing w:before="48"/>
        <w:ind w:left="1844" w:right="0" w:firstLine="0"/>
        <w:jc w:val="left"/>
        <w:rPr>
          <w:rFonts w:ascii="Calibri"/>
          <w:sz w:val="20"/>
        </w:rPr>
      </w:pPr>
      <w:r>
        <w:rPr/>
        <mc:AlternateContent>
          <mc:Choice Requires="wps">
            <w:drawing>
              <wp:anchor distT="0" distB="0" distL="0" distR="0" allowOverlap="1" layoutInCell="1" locked="0" behindDoc="0" simplePos="0" relativeHeight="15760384">
                <wp:simplePos x="0" y="0"/>
                <wp:positionH relativeFrom="page">
                  <wp:posOffset>1562100</wp:posOffset>
                </wp:positionH>
                <wp:positionV relativeFrom="paragraph">
                  <wp:posOffset>111760</wp:posOffset>
                </wp:positionV>
                <wp:extent cx="3724910" cy="1964689"/>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3724910" cy="1964689"/>
                          <a:chExt cx="3724910" cy="1964689"/>
                        </a:xfrm>
                      </wpg:grpSpPr>
                      <wps:wsp>
                        <wps:cNvPr id="144" name="Graphic 144"/>
                        <wps:cNvSpPr/>
                        <wps:spPr>
                          <a:xfrm>
                            <a:off x="0" y="4572"/>
                            <a:ext cx="3720465" cy="1960245"/>
                          </a:xfrm>
                          <a:custGeom>
                            <a:avLst/>
                            <a:gdLst/>
                            <a:ahLst/>
                            <a:cxnLst/>
                            <a:rect l="l" t="t" r="r" b="b"/>
                            <a:pathLst>
                              <a:path w="3720465" h="1960245">
                                <a:moveTo>
                                  <a:pt x="39624" y="1920240"/>
                                </a:moveTo>
                                <a:lnTo>
                                  <a:pt x="39624" y="0"/>
                                </a:lnTo>
                              </a:path>
                              <a:path w="3720465" h="1960245">
                                <a:moveTo>
                                  <a:pt x="0" y="1920240"/>
                                </a:moveTo>
                                <a:lnTo>
                                  <a:pt x="39624" y="1920240"/>
                                </a:lnTo>
                              </a:path>
                              <a:path w="3720465" h="1960245">
                                <a:moveTo>
                                  <a:pt x="0" y="1600200"/>
                                </a:moveTo>
                                <a:lnTo>
                                  <a:pt x="39624" y="1600200"/>
                                </a:lnTo>
                              </a:path>
                              <a:path w="3720465" h="1960245">
                                <a:moveTo>
                                  <a:pt x="0" y="1280160"/>
                                </a:moveTo>
                                <a:lnTo>
                                  <a:pt x="39624" y="1280160"/>
                                </a:lnTo>
                              </a:path>
                              <a:path w="3720465" h="1960245">
                                <a:moveTo>
                                  <a:pt x="0" y="960120"/>
                                </a:moveTo>
                                <a:lnTo>
                                  <a:pt x="39624" y="960120"/>
                                </a:lnTo>
                              </a:path>
                              <a:path w="3720465" h="1960245">
                                <a:moveTo>
                                  <a:pt x="0" y="640079"/>
                                </a:moveTo>
                                <a:lnTo>
                                  <a:pt x="39624" y="640079"/>
                                </a:lnTo>
                              </a:path>
                              <a:path w="3720465" h="1960245">
                                <a:moveTo>
                                  <a:pt x="0" y="320040"/>
                                </a:moveTo>
                                <a:lnTo>
                                  <a:pt x="39624" y="320040"/>
                                </a:lnTo>
                              </a:path>
                              <a:path w="3720465" h="1960245">
                                <a:moveTo>
                                  <a:pt x="0" y="0"/>
                                </a:moveTo>
                                <a:lnTo>
                                  <a:pt x="39624" y="0"/>
                                </a:lnTo>
                              </a:path>
                              <a:path w="3720465" h="1960245">
                                <a:moveTo>
                                  <a:pt x="39624" y="1920240"/>
                                </a:moveTo>
                                <a:lnTo>
                                  <a:pt x="3720084" y="1920240"/>
                                </a:lnTo>
                              </a:path>
                              <a:path w="3720465" h="1960245">
                                <a:moveTo>
                                  <a:pt x="39624" y="1920240"/>
                                </a:moveTo>
                                <a:lnTo>
                                  <a:pt x="39624" y="1959864"/>
                                </a:lnTo>
                              </a:path>
                              <a:path w="3720465" h="1960245">
                                <a:moveTo>
                                  <a:pt x="775716" y="1920240"/>
                                </a:moveTo>
                                <a:lnTo>
                                  <a:pt x="775716" y="1959864"/>
                                </a:lnTo>
                              </a:path>
                              <a:path w="3720465" h="1960245">
                                <a:moveTo>
                                  <a:pt x="1511808" y="1920240"/>
                                </a:moveTo>
                                <a:lnTo>
                                  <a:pt x="1511808" y="1959864"/>
                                </a:lnTo>
                              </a:path>
                              <a:path w="3720465" h="1960245">
                                <a:moveTo>
                                  <a:pt x="2247900" y="1920240"/>
                                </a:moveTo>
                                <a:lnTo>
                                  <a:pt x="2247900" y="1959864"/>
                                </a:lnTo>
                              </a:path>
                              <a:path w="3720465" h="1960245">
                                <a:moveTo>
                                  <a:pt x="2983991" y="1920240"/>
                                </a:moveTo>
                                <a:lnTo>
                                  <a:pt x="2983991" y="1959864"/>
                                </a:lnTo>
                              </a:path>
                              <a:path w="3720465" h="1960245">
                                <a:moveTo>
                                  <a:pt x="3720084" y="1920240"/>
                                </a:moveTo>
                                <a:lnTo>
                                  <a:pt x="3720084" y="1959864"/>
                                </a:lnTo>
                              </a:path>
                            </a:pathLst>
                          </a:custGeom>
                          <a:ln w="9144">
                            <a:solidFill>
                              <a:srgbClr val="858585"/>
                            </a:solidFill>
                            <a:prstDash val="solid"/>
                          </a:ln>
                        </wps:spPr>
                        <wps:bodyPr wrap="square" lIns="0" tIns="0" rIns="0" bIns="0" rtlCol="0">
                          <a:prstTxWarp prst="textNoShape">
                            <a:avLst/>
                          </a:prstTxWarp>
                          <a:noAutofit/>
                        </wps:bodyPr>
                      </wps:wsp>
                      <pic:pic>
                        <pic:nvPicPr>
                          <pic:cNvPr id="145" name="Image 145"/>
                          <pic:cNvPicPr/>
                        </pic:nvPicPr>
                        <pic:blipFill>
                          <a:blip r:embed="rId20" cstate="print"/>
                          <a:stretch>
                            <a:fillRect/>
                          </a:stretch>
                        </pic:blipFill>
                        <pic:spPr>
                          <a:xfrm>
                            <a:off x="359663" y="1756664"/>
                            <a:ext cx="98044" cy="98044"/>
                          </a:xfrm>
                          <a:prstGeom prst="rect">
                            <a:avLst/>
                          </a:prstGeom>
                        </pic:spPr>
                      </pic:pic>
                      <pic:pic>
                        <pic:nvPicPr>
                          <pic:cNvPr id="146" name="Image 146"/>
                          <pic:cNvPicPr/>
                        </pic:nvPicPr>
                        <pic:blipFill>
                          <a:blip r:embed="rId21" cstate="print"/>
                          <a:stretch>
                            <a:fillRect/>
                          </a:stretch>
                        </pic:blipFill>
                        <pic:spPr>
                          <a:xfrm>
                            <a:off x="1095628" y="1334135"/>
                            <a:ext cx="98044" cy="98044"/>
                          </a:xfrm>
                          <a:prstGeom prst="rect">
                            <a:avLst/>
                          </a:prstGeom>
                        </pic:spPr>
                      </pic:pic>
                      <pic:pic>
                        <pic:nvPicPr>
                          <pic:cNvPr id="147" name="Image 147"/>
                          <pic:cNvPicPr/>
                        </pic:nvPicPr>
                        <pic:blipFill>
                          <a:blip r:embed="rId18" cstate="print"/>
                          <a:stretch>
                            <a:fillRect/>
                          </a:stretch>
                        </pic:blipFill>
                        <pic:spPr>
                          <a:xfrm>
                            <a:off x="1831594" y="930910"/>
                            <a:ext cx="98044" cy="98044"/>
                          </a:xfrm>
                          <a:prstGeom prst="rect">
                            <a:avLst/>
                          </a:prstGeom>
                        </pic:spPr>
                      </pic:pic>
                      <pic:pic>
                        <pic:nvPicPr>
                          <pic:cNvPr id="148" name="Image 148"/>
                          <pic:cNvPicPr/>
                        </pic:nvPicPr>
                        <pic:blipFill>
                          <a:blip r:embed="rId19" cstate="print"/>
                          <a:stretch>
                            <a:fillRect/>
                          </a:stretch>
                        </pic:blipFill>
                        <pic:spPr>
                          <a:xfrm>
                            <a:off x="2567558" y="486029"/>
                            <a:ext cx="98044" cy="98044"/>
                          </a:xfrm>
                          <a:prstGeom prst="rect">
                            <a:avLst/>
                          </a:prstGeom>
                        </pic:spPr>
                      </pic:pic>
                      <pic:pic>
                        <pic:nvPicPr>
                          <pic:cNvPr id="149" name="Image 149"/>
                          <pic:cNvPicPr/>
                        </pic:nvPicPr>
                        <pic:blipFill>
                          <a:blip r:embed="rId18" cstate="print"/>
                          <a:stretch>
                            <a:fillRect/>
                          </a:stretch>
                        </pic:blipFill>
                        <pic:spPr>
                          <a:xfrm>
                            <a:off x="3303523" y="73152"/>
                            <a:ext cx="98044" cy="98044"/>
                          </a:xfrm>
                          <a:prstGeom prst="rect">
                            <a:avLst/>
                          </a:prstGeom>
                        </pic:spPr>
                      </pic:pic>
                      <wps:wsp>
                        <wps:cNvPr id="150" name="Graphic 150"/>
                        <wps:cNvSpPr/>
                        <wps:spPr>
                          <a:xfrm>
                            <a:off x="408431" y="121920"/>
                            <a:ext cx="2944495" cy="1687195"/>
                          </a:xfrm>
                          <a:custGeom>
                            <a:avLst/>
                            <a:gdLst/>
                            <a:ahLst/>
                            <a:cxnLst/>
                            <a:rect l="l" t="t" r="r" b="b"/>
                            <a:pathLst>
                              <a:path w="2944495" h="1687195">
                                <a:moveTo>
                                  <a:pt x="0" y="1687068"/>
                                </a:moveTo>
                                <a:lnTo>
                                  <a:pt x="2944368" y="0"/>
                                </a:lnTo>
                              </a:path>
                            </a:pathLst>
                          </a:custGeom>
                          <a:ln w="9144">
                            <a:solidFill>
                              <a:srgbClr val="000000"/>
                            </a:solidFill>
                            <a:prstDash val="solid"/>
                          </a:ln>
                        </wps:spPr>
                        <wps:bodyPr wrap="square" lIns="0" tIns="0" rIns="0" bIns="0" rtlCol="0">
                          <a:prstTxWarp prst="textNoShape">
                            <a:avLst/>
                          </a:prstTxWarp>
                          <a:noAutofit/>
                        </wps:bodyPr>
                      </wps:wsp>
                      <wps:wsp>
                        <wps:cNvPr id="151" name="Textbox 151"/>
                        <wps:cNvSpPr txBox="1"/>
                        <wps:spPr>
                          <a:xfrm>
                            <a:off x="0" y="0"/>
                            <a:ext cx="3724910" cy="1964689"/>
                          </a:xfrm>
                          <a:prstGeom prst="rect">
                            <a:avLst/>
                          </a:prstGeom>
                        </wps:spPr>
                        <wps:txbx>
                          <w:txbxContent>
                            <w:p>
                              <w:pPr>
                                <w:spacing w:before="114"/>
                                <w:ind w:left="1646" w:right="2694" w:firstLine="0"/>
                                <w:jc w:val="center"/>
                                <w:rPr>
                                  <w:rFonts w:ascii="Calibri" w:hAnsi="Calibri"/>
                                  <w:sz w:val="20"/>
                                </w:rPr>
                              </w:pPr>
                              <w:r>
                                <w:rPr>
                                  <w:rFonts w:ascii="Calibri" w:hAnsi="Calibri"/>
                                  <w:sz w:val="20"/>
                                </w:rPr>
                                <w:t>y</w:t>
                              </w:r>
                              <w:r>
                                <w:rPr>
                                  <w:rFonts w:ascii="Calibri" w:hAnsi="Calibri"/>
                                  <w:spacing w:val="-12"/>
                                  <w:sz w:val="20"/>
                                </w:rPr>
                                <w:t> </w:t>
                              </w:r>
                              <w:r>
                                <w:rPr>
                                  <w:rFonts w:ascii="Calibri" w:hAnsi="Calibri"/>
                                  <w:sz w:val="20"/>
                                </w:rPr>
                                <w:t>=</w:t>
                              </w:r>
                              <w:r>
                                <w:rPr>
                                  <w:rFonts w:ascii="Calibri" w:hAnsi="Calibri"/>
                                  <w:spacing w:val="-11"/>
                                  <w:sz w:val="20"/>
                                </w:rPr>
                                <w:t> </w:t>
                              </w:r>
                              <w:r>
                                <w:rPr>
                                  <w:rFonts w:ascii="Calibri" w:hAnsi="Calibri"/>
                                  <w:sz w:val="20"/>
                                </w:rPr>
                                <w:t>0.065x</w:t>
                              </w:r>
                              <w:r>
                                <w:rPr>
                                  <w:rFonts w:ascii="Calibri" w:hAnsi="Calibri"/>
                                  <w:spacing w:val="-8"/>
                                  <w:sz w:val="20"/>
                                </w:rPr>
                                <w:t> </w:t>
                              </w:r>
                              <w:r>
                                <w:rPr>
                                  <w:rFonts w:ascii="Calibri" w:hAnsi="Calibri"/>
                                  <w:sz w:val="20"/>
                                </w:rPr>
                                <w:t>-</w:t>
                              </w:r>
                              <w:r>
                                <w:rPr>
                                  <w:rFonts w:ascii="Calibri" w:hAnsi="Calibri"/>
                                  <w:spacing w:val="-11"/>
                                  <w:sz w:val="20"/>
                                </w:rPr>
                                <w:t> </w:t>
                              </w:r>
                              <w:r>
                                <w:rPr>
                                  <w:rFonts w:ascii="Calibri" w:hAnsi="Calibri"/>
                                  <w:sz w:val="20"/>
                                </w:rPr>
                                <w:t>0.029 R² = 0.999</w:t>
                              </w:r>
                            </w:p>
                          </w:txbxContent>
                        </wps:txbx>
                        <wps:bodyPr wrap="square" lIns="0" tIns="0" rIns="0" bIns="0" rtlCol="0">
                          <a:noAutofit/>
                        </wps:bodyPr>
                      </wps:wsp>
                    </wpg:wgp>
                  </a:graphicData>
                </a:graphic>
              </wp:anchor>
            </w:drawing>
          </mc:Choice>
          <mc:Fallback>
            <w:pict>
              <v:group style="position:absolute;margin-left:123pt;margin-top:8.8pt;width:293.3pt;height:154.7pt;mso-position-horizontal-relative:page;mso-position-vertical-relative:paragraph;z-index:15760384" id="docshapegroup117" coordorigin="2460,176" coordsize="5866,3094">
                <v:shape style="position:absolute;left:2460;top:183;width:5859;height:3087" id="docshape118" coordorigin="2460,183" coordsize="5859,3087" path="m2522,3207l2522,183m2460,3207l2522,3207m2460,2703l2522,2703m2460,2199l2522,2199m2460,1695l2522,1695m2460,1191l2522,1191m2460,687l2522,687m2460,183l2522,183m2522,3207l8318,3207m2522,3207l2522,3270m3682,3207l3682,3270m4841,3207l4841,3270m6000,3207l6000,3270m7159,3207l7159,3270m8318,3207l8318,3270e" filled="false" stroked="true" strokeweight=".72pt" strokecolor="#858585">
                  <v:path arrowok="t"/>
                  <v:stroke dashstyle="solid"/>
                </v:shape>
                <v:shape style="position:absolute;left:3026;top:2942;width:155;height:155" type="#_x0000_t75" id="docshape119" stroked="false">
                  <v:imagedata r:id="rId20" o:title=""/>
                </v:shape>
                <v:shape style="position:absolute;left:4185;top:2277;width:155;height:155" type="#_x0000_t75" id="docshape120" stroked="false">
                  <v:imagedata r:id="rId21" o:title=""/>
                </v:shape>
                <v:shape style="position:absolute;left:5344;top:1642;width:155;height:155" type="#_x0000_t75" id="docshape121" stroked="false">
                  <v:imagedata r:id="rId18" o:title=""/>
                </v:shape>
                <v:shape style="position:absolute;left:6503;top:941;width:155;height:155" type="#_x0000_t75" id="docshape122" stroked="false">
                  <v:imagedata r:id="rId19" o:title=""/>
                </v:shape>
                <v:shape style="position:absolute;left:7662;top:291;width:155;height:155" type="#_x0000_t75" id="docshape123" stroked="false">
                  <v:imagedata r:id="rId18" o:title=""/>
                </v:shape>
                <v:line style="position:absolute" from="3103,3025" to="7740,368" stroked="true" strokeweight=".72pt" strokecolor="#000000">
                  <v:stroke dashstyle="solid"/>
                </v:line>
                <v:shape style="position:absolute;left:2460;top:176;width:5866;height:3094" type="#_x0000_t202" id="docshape124" filled="false" stroked="false">
                  <v:textbox inset="0,0,0,0">
                    <w:txbxContent>
                      <w:p>
                        <w:pPr>
                          <w:spacing w:before="114"/>
                          <w:ind w:left="1646" w:right="2694" w:firstLine="0"/>
                          <w:jc w:val="center"/>
                          <w:rPr>
                            <w:rFonts w:ascii="Calibri" w:hAnsi="Calibri"/>
                            <w:sz w:val="20"/>
                          </w:rPr>
                        </w:pPr>
                        <w:r>
                          <w:rPr>
                            <w:rFonts w:ascii="Calibri" w:hAnsi="Calibri"/>
                            <w:sz w:val="20"/>
                          </w:rPr>
                          <w:t>y</w:t>
                        </w:r>
                        <w:r>
                          <w:rPr>
                            <w:rFonts w:ascii="Calibri" w:hAnsi="Calibri"/>
                            <w:spacing w:val="-12"/>
                            <w:sz w:val="20"/>
                          </w:rPr>
                          <w:t> </w:t>
                        </w:r>
                        <w:r>
                          <w:rPr>
                            <w:rFonts w:ascii="Calibri" w:hAnsi="Calibri"/>
                            <w:sz w:val="20"/>
                          </w:rPr>
                          <w:t>=</w:t>
                        </w:r>
                        <w:r>
                          <w:rPr>
                            <w:rFonts w:ascii="Calibri" w:hAnsi="Calibri"/>
                            <w:spacing w:val="-11"/>
                            <w:sz w:val="20"/>
                          </w:rPr>
                          <w:t> </w:t>
                        </w:r>
                        <w:r>
                          <w:rPr>
                            <w:rFonts w:ascii="Calibri" w:hAnsi="Calibri"/>
                            <w:sz w:val="20"/>
                          </w:rPr>
                          <w:t>0.065x</w:t>
                        </w:r>
                        <w:r>
                          <w:rPr>
                            <w:rFonts w:ascii="Calibri" w:hAnsi="Calibri"/>
                            <w:spacing w:val="-8"/>
                            <w:sz w:val="20"/>
                          </w:rPr>
                          <w:t> </w:t>
                        </w:r>
                        <w:r>
                          <w:rPr>
                            <w:rFonts w:ascii="Calibri" w:hAnsi="Calibri"/>
                            <w:sz w:val="20"/>
                          </w:rPr>
                          <w:t>-</w:t>
                        </w:r>
                        <w:r>
                          <w:rPr>
                            <w:rFonts w:ascii="Calibri" w:hAnsi="Calibri"/>
                            <w:spacing w:val="-11"/>
                            <w:sz w:val="20"/>
                          </w:rPr>
                          <w:t> </w:t>
                        </w:r>
                        <w:r>
                          <w:rPr>
                            <w:rFonts w:ascii="Calibri" w:hAnsi="Calibri"/>
                            <w:sz w:val="20"/>
                          </w:rPr>
                          <w:t>0.029 R² = 0.999</w:t>
                        </w:r>
                      </w:p>
                    </w:txbxContent>
                  </v:textbox>
                  <w10:wrap type="none"/>
                </v:shape>
                <w10:wrap type="none"/>
              </v:group>
            </w:pict>
          </mc:Fallback>
        </mc:AlternateContent>
      </w:r>
      <w:r>
        <w:rPr>
          <w:rFonts w:ascii="Calibri"/>
          <w:spacing w:val="-5"/>
          <w:sz w:val="20"/>
        </w:rPr>
        <w:t>0.6</w:t>
      </w:r>
    </w:p>
    <w:p>
      <w:pPr>
        <w:pStyle w:val="BodyText"/>
        <w:spacing w:before="16"/>
        <w:rPr>
          <w:rFonts w:ascii="Calibri"/>
          <w:sz w:val="20"/>
        </w:rPr>
      </w:pPr>
    </w:p>
    <w:p>
      <w:pPr>
        <w:spacing w:before="0"/>
        <w:ind w:left="1844" w:right="0" w:firstLine="0"/>
        <w:jc w:val="left"/>
        <w:rPr>
          <w:rFonts w:ascii="Calibri"/>
          <w:sz w:val="20"/>
        </w:rPr>
      </w:pPr>
      <w:r>
        <w:rPr>
          <w:rFonts w:ascii="Calibri"/>
          <w:spacing w:val="-5"/>
          <w:sz w:val="20"/>
        </w:rPr>
        <w:t>0.5</w:t>
      </w:r>
    </w:p>
    <w:p>
      <w:pPr>
        <w:pStyle w:val="BodyText"/>
        <w:spacing w:before="15"/>
        <w:rPr>
          <w:rFonts w:ascii="Calibri"/>
          <w:sz w:val="20"/>
        </w:rPr>
      </w:pPr>
    </w:p>
    <w:p>
      <w:pPr>
        <w:spacing w:before="1"/>
        <w:ind w:left="1844" w:right="0" w:firstLine="0"/>
        <w:jc w:val="left"/>
        <w:rPr>
          <w:rFonts w:ascii="Calibri"/>
          <w:sz w:val="20"/>
        </w:rPr>
      </w:pPr>
      <w:r>
        <w:rPr/>
        <mc:AlternateContent>
          <mc:Choice Requires="wps">
            <w:drawing>
              <wp:anchor distT="0" distB="0" distL="0" distR="0" allowOverlap="1" layoutInCell="1" locked="0" behindDoc="0" simplePos="0" relativeHeight="15760896">
                <wp:simplePos x="0" y="0"/>
                <wp:positionH relativeFrom="page">
                  <wp:posOffset>1086332</wp:posOffset>
                </wp:positionH>
                <wp:positionV relativeFrom="paragraph">
                  <wp:posOffset>82031</wp:posOffset>
                </wp:positionV>
                <wp:extent cx="152400" cy="65087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52400" cy="65087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Absorbance</w:t>
                            </w:r>
                          </w:p>
                        </w:txbxContent>
                      </wps:txbx>
                      <wps:bodyPr wrap="square" lIns="0" tIns="0" rIns="0" bIns="0" rtlCol="0" vert="vert270">
                        <a:noAutofit/>
                      </wps:bodyPr>
                    </wps:wsp>
                  </a:graphicData>
                </a:graphic>
              </wp:anchor>
            </w:drawing>
          </mc:Choice>
          <mc:Fallback>
            <w:pict>
              <v:shape style="position:absolute;margin-left:85.538002pt;margin-top:6.459202pt;width:12pt;height:51.25pt;mso-position-horizontal-relative:page;mso-position-vertical-relative:paragraph;z-index:15760896" type="#_x0000_t202" id="docshape125"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Absorbance</w:t>
                      </w:r>
                    </w:p>
                  </w:txbxContent>
                </v:textbox>
                <w10:wrap type="none"/>
              </v:shape>
            </w:pict>
          </mc:Fallback>
        </mc:AlternateContent>
      </w:r>
      <w:r>
        <w:rPr>
          <w:rFonts w:ascii="Calibri"/>
          <w:spacing w:val="-5"/>
          <w:sz w:val="20"/>
        </w:rPr>
        <w:t>0.4</w:t>
      </w:r>
    </w:p>
    <w:p>
      <w:pPr>
        <w:pStyle w:val="BodyText"/>
        <w:spacing w:before="16"/>
        <w:rPr>
          <w:rFonts w:ascii="Calibri"/>
          <w:sz w:val="20"/>
        </w:rPr>
      </w:pPr>
    </w:p>
    <w:p>
      <w:pPr>
        <w:spacing w:before="0"/>
        <w:ind w:left="1844" w:right="0" w:firstLine="0"/>
        <w:jc w:val="left"/>
        <w:rPr>
          <w:rFonts w:ascii="Calibri"/>
          <w:sz w:val="20"/>
        </w:rPr>
      </w:pPr>
      <w:r>
        <w:rPr>
          <w:rFonts w:ascii="Calibri"/>
          <w:spacing w:val="-5"/>
          <w:sz w:val="20"/>
        </w:rPr>
        <w:t>0.3</w:t>
      </w:r>
    </w:p>
    <w:p>
      <w:pPr>
        <w:pStyle w:val="BodyText"/>
        <w:spacing w:before="15"/>
        <w:rPr>
          <w:rFonts w:ascii="Calibri"/>
          <w:sz w:val="20"/>
        </w:rPr>
      </w:pPr>
    </w:p>
    <w:p>
      <w:pPr>
        <w:spacing w:before="1"/>
        <w:ind w:left="1844" w:right="0" w:firstLine="0"/>
        <w:jc w:val="left"/>
        <w:rPr>
          <w:rFonts w:ascii="Calibri"/>
          <w:sz w:val="20"/>
        </w:rPr>
      </w:pPr>
      <w:r>
        <w:rPr>
          <w:rFonts w:ascii="Calibri"/>
          <w:spacing w:val="-5"/>
          <w:sz w:val="20"/>
        </w:rPr>
        <w:t>0.2</w:t>
      </w:r>
    </w:p>
    <w:p>
      <w:pPr>
        <w:pStyle w:val="BodyText"/>
        <w:spacing w:before="15"/>
        <w:rPr>
          <w:rFonts w:ascii="Calibri"/>
          <w:sz w:val="20"/>
        </w:rPr>
      </w:pPr>
    </w:p>
    <w:p>
      <w:pPr>
        <w:spacing w:before="0"/>
        <w:ind w:left="1844" w:right="0" w:firstLine="0"/>
        <w:jc w:val="left"/>
        <w:rPr>
          <w:rFonts w:ascii="Calibri"/>
          <w:sz w:val="20"/>
        </w:rPr>
      </w:pPr>
      <w:r>
        <w:rPr>
          <w:rFonts w:ascii="Calibri"/>
          <w:spacing w:val="-5"/>
          <w:sz w:val="20"/>
        </w:rPr>
        <w:t>0.1</w:t>
      </w:r>
    </w:p>
    <w:p>
      <w:pPr>
        <w:pStyle w:val="BodyText"/>
        <w:spacing w:before="16"/>
        <w:rPr>
          <w:rFonts w:ascii="Calibri"/>
          <w:sz w:val="20"/>
        </w:rPr>
      </w:pPr>
    </w:p>
    <w:p>
      <w:pPr>
        <w:spacing w:before="0"/>
        <w:ind w:left="1996" w:right="0" w:firstLine="0"/>
        <w:jc w:val="left"/>
        <w:rPr>
          <w:rFonts w:ascii="Calibri"/>
          <w:sz w:val="20"/>
        </w:rPr>
      </w:pPr>
      <w:r>
        <w:rPr>
          <w:rFonts w:ascii="Calibri"/>
          <w:spacing w:val="-10"/>
          <w:sz w:val="20"/>
        </w:rPr>
        <w:t>0</w:t>
      </w:r>
    </w:p>
    <w:p>
      <w:pPr>
        <w:tabs>
          <w:tab w:pos="3392" w:val="left" w:leader="none"/>
          <w:tab w:pos="4551" w:val="left" w:leader="none"/>
          <w:tab w:pos="5710" w:val="left" w:leader="none"/>
          <w:tab w:pos="6870" w:val="left" w:leader="none"/>
          <w:tab w:pos="7979" w:val="left" w:leader="none"/>
        </w:tabs>
        <w:spacing w:before="74"/>
        <w:ind w:left="2233" w:right="0" w:firstLine="0"/>
        <w:jc w:val="left"/>
        <w:rPr>
          <w:rFonts w:ascii="Calibri"/>
          <w:sz w:val="20"/>
        </w:rPr>
      </w:pPr>
      <w:r>
        <w:rPr>
          <w:rFonts w:ascii="Calibri"/>
          <w:spacing w:val="-10"/>
          <w:sz w:val="20"/>
        </w:rPr>
        <w:t>0</w:t>
      </w:r>
      <w:r>
        <w:rPr>
          <w:rFonts w:ascii="Calibri"/>
          <w:sz w:val="20"/>
        </w:rPr>
        <w:tab/>
      </w:r>
      <w:r>
        <w:rPr>
          <w:rFonts w:ascii="Calibri"/>
          <w:spacing w:val="-10"/>
          <w:sz w:val="20"/>
        </w:rPr>
        <w:t>2</w:t>
      </w:r>
      <w:r>
        <w:rPr>
          <w:rFonts w:ascii="Calibri"/>
          <w:sz w:val="20"/>
        </w:rPr>
        <w:tab/>
      </w:r>
      <w:r>
        <w:rPr>
          <w:rFonts w:ascii="Calibri"/>
          <w:spacing w:val="-10"/>
          <w:sz w:val="20"/>
        </w:rPr>
        <w:t>4</w:t>
      </w:r>
      <w:r>
        <w:rPr>
          <w:rFonts w:ascii="Calibri"/>
          <w:sz w:val="20"/>
        </w:rPr>
        <w:tab/>
      </w:r>
      <w:r>
        <w:rPr>
          <w:rFonts w:ascii="Calibri"/>
          <w:spacing w:val="-10"/>
          <w:sz w:val="20"/>
        </w:rPr>
        <w:t>6</w:t>
      </w:r>
      <w:r>
        <w:rPr>
          <w:rFonts w:ascii="Calibri"/>
          <w:sz w:val="20"/>
        </w:rPr>
        <w:tab/>
      </w:r>
      <w:r>
        <w:rPr>
          <w:rFonts w:ascii="Calibri"/>
          <w:spacing w:val="-10"/>
          <w:sz w:val="20"/>
        </w:rPr>
        <w:t>8</w:t>
      </w:r>
      <w:r>
        <w:rPr>
          <w:rFonts w:ascii="Calibri"/>
          <w:sz w:val="20"/>
        </w:rPr>
        <w:tab/>
      </w:r>
      <w:r>
        <w:rPr>
          <w:rFonts w:ascii="Calibri"/>
          <w:spacing w:val="-5"/>
          <w:sz w:val="20"/>
        </w:rPr>
        <w:t>10</w:t>
      </w:r>
    </w:p>
    <w:p>
      <w:pPr>
        <w:spacing w:before="151"/>
        <w:ind w:left="0" w:right="1635" w:firstLine="0"/>
        <w:jc w:val="center"/>
        <w:rPr>
          <w:rFonts w:ascii="Calibri" w:hAnsi="Calibri"/>
          <w:b/>
          <w:sz w:val="20"/>
        </w:rPr>
      </w:pPr>
      <w:r>
        <w:rPr>
          <w:rFonts w:ascii="Calibri" w:hAnsi="Calibri"/>
          <w:b/>
          <w:sz w:val="20"/>
        </w:rPr>
        <w:t>Concentration</w:t>
      </w:r>
      <w:r>
        <w:rPr>
          <w:rFonts w:ascii="Calibri" w:hAnsi="Calibri"/>
          <w:b/>
          <w:spacing w:val="-12"/>
          <w:sz w:val="20"/>
        </w:rPr>
        <w:t> </w:t>
      </w:r>
      <w:r>
        <w:rPr>
          <w:rFonts w:ascii="Calibri" w:hAnsi="Calibri"/>
          <w:b/>
          <w:sz w:val="20"/>
        </w:rPr>
        <w:t>in</w:t>
      </w:r>
      <w:r>
        <w:rPr>
          <w:rFonts w:ascii="Calibri" w:hAnsi="Calibri"/>
          <w:b/>
          <w:spacing w:val="-6"/>
          <w:sz w:val="20"/>
        </w:rPr>
        <w:t> </w:t>
      </w:r>
      <w:r>
        <w:rPr>
          <w:rFonts w:ascii="Calibri" w:hAnsi="Calibri"/>
          <w:b/>
          <w:spacing w:val="-4"/>
          <w:sz w:val="20"/>
        </w:rPr>
        <w:t>μg/ml</w:t>
      </w:r>
    </w:p>
    <w:p>
      <w:pPr>
        <w:pStyle w:val="BodyText"/>
        <w:spacing w:before="129"/>
        <w:rPr>
          <w:rFonts w:ascii="Calibri"/>
          <w:b/>
        </w:rPr>
      </w:pPr>
    </w:p>
    <w:p>
      <w:pPr>
        <w:spacing w:before="1"/>
        <w:ind w:left="1200" w:right="0" w:firstLine="0"/>
        <w:jc w:val="left"/>
        <w:rPr>
          <w:b/>
          <w:sz w:val="24"/>
        </w:rPr>
      </w:pPr>
      <w:r>
        <w:rPr>
          <w:b/>
          <w:sz w:val="24"/>
        </w:rPr>
        <w:t>Figure</w:t>
      </w:r>
      <w:r>
        <w:rPr>
          <w:b/>
          <w:spacing w:val="-2"/>
          <w:sz w:val="24"/>
        </w:rPr>
        <w:t> </w:t>
      </w:r>
      <w:r>
        <w:rPr>
          <w:b/>
          <w:sz w:val="24"/>
        </w:rPr>
        <w:t>4.4:</w:t>
      </w:r>
      <w:r>
        <w:rPr>
          <w:b/>
          <w:spacing w:val="-1"/>
          <w:sz w:val="24"/>
        </w:rPr>
        <w:t> </w:t>
      </w:r>
      <w:r>
        <w:rPr>
          <w:b/>
          <w:sz w:val="24"/>
        </w:rPr>
        <w:t>Calibration curve</w:t>
      </w:r>
      <w:r>
        <w:rPr>
          <w:b/>
          <w:spacing w:val="-2"/>
          <w:sz w:val="24"/>
        </w:rPr>
        <w:t> </w:t>
      </w:r>
      <w:r>
        <w:rPr>
          <w:b/>
          <w:sz w:val="24"/>
        </w:rPr>
        <w:t>of isoniazid in</w:t>
      </w:r>
      <w:r>
        <w:rPr>
          <w:b/>
          <w:spacing w:val="-1"/>
          <w:sz w:val="24"/>
        </w:rPr>
        <w:t> </w:t>
      </w:r>
      <w:r>
        <w:rPr>
          <w:b/>
          <w:spacing w:val="-2"/>
          <w:sz w:val="24"/>
        </w:rPr>
        <w:t>methanol</w:t>
      </w:r>
    </w:p>
    <w:p>
      <w:pPr>
        <w:spacing w:after="0"/>
        <w:jc w:val="left"/>
        <w:rPr>
          <w:sz w:val="24"/>
        </w:rPr>
        <w:sectPr>
          <w:pgSz w:w="12240" w:h="15840"/>
          <w:pgMar w:header="0" w:footer="1015" w:top="1480" w:bottom="1200" w:left="240" w:right="0"/>
        </w:sectPr>
      </w:pPr>
    </w:p>
    <w:p>
      <w:pPr>
        <w:spacing w:line="254" w:lineRule="auto" w:before="76"/>
        <w:ind w:left="1200" w:right="1431" w:firstLine="0"/>
        <w:jc w:val="left"/>
        <w:rPr>
          <w:b/>
          <w:sz w:val="24"/>
        </w:rPr>
      </w:pPr>
      <w:r>
        <w:rPr>
          <w:b/>
          <w:sz w:val="24"/>
        </w:rPr>
        <w:t>Table</w:t>
      </w:r>
      <w:r>
        <w:rPr>
          <w:b/>
          <w:spacing w:val="-4"/>
          <w:sz w:val="24"/>
        </w:rPr>
        <w:t> </w:t>
      </w:r>
      <w:r>
        <w:rPr>
          <w:b/>
          <w:sz w:val="24"/>
        </w:rPr>
        <w:t>4.5:</w:t>
      </w:r>
      <w:r>
        <w:rPr>
          <w:b/>
          <w:spacing w:val="-4"/>
          <w:sz w:val="24"/>
        </w:rPr>
        <w:t> </w:t>
      </w:r>
      <w:r>
        <w:rPr>
          <w:b/>
          <w:sz w:val="24"/>
        </w:rPr>
        <w:t>Validation</w:t>
      </w:r>
      <w:r>
        <w:rPr>
          <w:b/>
          <w:spacing w:val="-2"/>
          <w:sz w:val="24"/>
        </w:rPr>
        <w:t> </w:t>
      </w:r>
      <w:r>
        <w:rPr>
          <w:b/>
          <w:sz w:val="24"/>
        </w:rPr>
        <w:t>parameters</w:t>
      </w:r>
      <w:r>
        <w:rPr>
          <w:b/>
          <w:spacing w:val="-3"/>
          <w:sz w:val="24"/>
        </w:rPr>
        <w:t> </w:t>
      </w:r>
      <w:r>
        <w:rPr>
          <w:b/>
          <w:sz w:val="24"/>
        </w:rPr>
        <w:t>for</w:t>
      </w:r>
      <w:r>
        <w:rPr>
          <w:b/>
          <w:spacing w:val="-4"/>
          <w:sz w:val="24"/>
        </w:rPr>
        <w:t> </w:t>
      </w:r>
      <w:r>
        <w:rPr>
          <w:b/>
          <w:sz w:val="24"/>
        </w:rPr>
        <w:t>UV</w:t>
      </w:r>
      <w:r>
        <w:rPr>
          <w:b/>
          <w:spacing w:val="-4"/>
          <w:sz w:val="24"/>
        </w:rPr>
        <w:t> </w:t>
      </w:r>
      <w:r>
        <w:rPr>
          <w:b/>
          <w:sz w:val="24"/>
        </w:rPr>
        <w:t>spectrophotometric</w:t>
      </w:r>
      <w:r>
        <w:rPr>
          <w:b/>
          <w:spacing w:val="-1"/>
          <w:sz w:val="24"/>
        </w:rPr>
        <w:t> </w:t>
      </w:r>
      <w:r>
        <w:rPr>
          <w:b/>
          <w:sz w:val="24"/>
        </w:rPr>
        <w:t>methods</w:t>
      </w:r>
      <w:r>
        <w:rPr>
          <w:b/>
          <w:spacing w:val="-3"/>
          <w:sz w:val="24"/>
        </w:rPr>
        <w:t> </w:t>
      </w:r>
      <w:r>
        <w:rPr>
          <w:b/>
          <w:sz w:val="24"/>
        </w:rPr>
        <w:t>using</w:t>
      </w:r>
      <w:r>
        <w:rPr>
          <w:b/>
          <w:spacing w:val="-5"/>
          <w:sz w:val="24"/>
        </w:rPr>
        <w:t> </w:t>
      </w:r>
      <w:r>
        <w:rPr>
          <w:b/>
          <w:sz w:val="24"/>
        </w:rPr>
        <w:t>water</w:t>
      </w:r>
      <w:r>
        <w:rPr>
          <w:b/>
          <w:spacing w:val="-4"/>
          <w:sz w:val="24"/>
        </w:rPr>
        <w:t> </w:t>
      </w:r>
      <w:r>
        <w:rPr>
          <w:b/>
          <w:sz w:val="24"/>
        </w:rPr>
        <w:t>and </w:t>
      </w:r>
      <w:r>
        <w:rPr>
          <w:b/>
          <w:spacing w:val="-2"/>
          <w:sz w:val="24"/>
        </w:rPr>
        <w:t>methanol.</w:t>
      </w:r>
    </w:p>
    <w:p>
      <w:pPr>
        <w:pStyle w:val="BodyText"/>
        <w:spacing w:before="2"/>
        <w:rPr>
          <w:b/>
          <w:sz w:val="14"/>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0"/>
        <w:gridCol w:w="1627"/>
        <w:gridCol w:w="1846"/>
        <w:gridCol w:w="3867"/>
      </w:tblGrid>
      <w:tr>
        <w:trPr>
          <w:trHeight w:val="584" w:hRule="atLeast"/>
        </w:trPr>
        <w:tc>
          <w:tcPr>
            <w:tcW w:w="2250" w:type="dxa"/>
            <w:tcBorders>
              <w:top w:val="single" w:sz="8" w:space="0" w:color="000000"/>
              <w:bottom w:val="single" w:sz="8" w:space="0" w:color="000000"/>
            </w:tcBorders>
          </w:tcPr>
          <w:p>
            <w:pPr>
              <w:pStyle w:val="TableParagraph"/>
              <w:spacing w:line="272" w:lineRule="exact"/>
              <w:ind w:left="122"/>
              <w:rPr>
                <w:b/>
                <w:sz w:val="24"/>
              </w:rPr>
            </w:pPr>
            <w:r>
              <w:rPr>
                <w:b/>
                <w:spacing w:val="-2"/>
                <w:sz w:val="24"/>
              </w:rPr>
              <w:t>Parametr</w:t>
            </w:r>
          </w:p>
        </w:tc>
        <w:tc>
          <w:tcPr>
            <w:tcW w:w="1627" w:type="dxa"/>
            <w:tcBorders>
              <w:top w:val="single" w:sz="8" w:space="0" w:color="000000"/>
              <w:bottom w:val="single" w:sz="8" w:space="0" w:color="000000"/>
            </w:tcBorders>
          </w:tcPr>
          <w:p>
            <w:pPr>
              <w:pStyle w:val="TableParagraph"/>
              <w:spacing w:line="272" w:lineRule="exact"/>
              <w:ind w:left="385"/>
              <w:rPr>
                <w:b/>
                <w:sz w:val="24"/>
              </w:rPr>
            </w:pPr>
            <w:r>
              <w:rPr>
                <w:b/>
                <w:spacing w:val="-2"/>
                <w:sz w:val="24"/>
              </w:rPr>
              <w:t>Water</w:t>
            </w:r>
          </w:p>
        </w:tc>
        <w:tc>
          <w:tcPr>
            <w:tcW w:w="1846" w:type="dxa"/>
            <w:tcBorders>
              <w:top w:val="single" w:sz="8" w:space="0" w:color="000000"/>
              <w:bottom w:val="single" w:sz="8" w:space="0" w:color="000000"/>
            </w:tcBorders>
          </w:tcPr>
          <w:p>
            <w:pPr>
              <w:pStyle w:val="TableParagraph"/>
              <w:spacing w:line="272" w:lineRule="exact"/>
              <w:ind w:left="582"/>
              <w:rPr>
                <w:b/>
                <w:sz w:val="24"/>
              </w:rPr>
            </w:pPr>
            <w:r>
              <w:rPr>
                <w:b/>
                <w:spacing w:val="-2"/>
                <w:sz w:val="24"/>
              </w:rPr>
              <w:t>Methanol</w:t>
            </w:r>
          </w:p>
        </w:tc>
        <w:tc>
          <w:tcPr>
            <w:tcW w:w="3867" w:type="dxa"/>
            <w:tcBorders>
              <w:top w:val="single" w:sz="8" w:space="0" w:color="000000"/>
              <w:bottom w:val="single" w:sz="8" w:space="0" w:color="000000"/>
            </w:tcBorders>
          </w:tcPr>
          <w:p>
            <w:pPr>
              <w:pStyle w:val="TableParagraph"/>
              <w:spacing w:line="272" w:lineRule="exact"/>
              <w:ind w:left="280"/>
              <w:rPr>
                <w:b/>
                <w:sz w:val="24"/>
              </w:rPr>
            </w:pPr>
            <w:r>
              <w:rPr>
                <w:b/>
                <w:spacing w:val="-2"/>
                <w:sz w:val="24"/>
              </w:rPr>
              <w:t>Acceptable</w:t>
            </w:r>
          </w:p>
          <w:p>
            <w:pPr>
              <w:pStyle w:val="TableParagraph"/>
              <w:spacing w:line="276" w:lineRule="exact" w:before="17"/>
              <w:ind w:left="280"/>
              <w:rPr>
                <w:b/>
                <w:sz w:val="24"/>
              </w:rPr>
            </w:pPr>
            <w:r>
              <w:rPr>
                <w:b/>
                <w:spacing w:val="-2"/>
                <w:sz w:val="24"/>
              </w:rPr>
              <w:t>limit</w:t>
            </w:r>
          </w:p>
        </w:tc>
      </w:tr>
      <w:tr>
        <w:trPr>
          <w:trHeight w:val="360" w:hRule="atLeast"/>
        </w:trPr>
        <w:tc>
          <w:tcPr>
            <w:tcW w:w="2250" w:type="dxa"/>
            <w:tcBorders>
              <w:top w:val="single" w:sz="8" w:space="0" w:color="000000"/>
            </w:tcBorders>
          </w:tcPr>
          <w:p>
            <w:pPr>
              <w:pStyle w:val="TableParagraph"/>
              <w:spacing w:line="268" w:lineRule="exact"/>
              <w:ind w:left="122"/>
              <w:rPr>
                <w:sz w:val="24"/>
              </w:rPr>
            </w:pPr>
            <w:r>
              <w:rPr>
                <w:sz w:val="24"/>
              </w:rPr>
              <w:t>Precision</w:t>
            </w:r>
            <w:r>
              <w:rPr>
                <w:spacing w:val="-2"/>
                <w:sz w:val="24"/>
              </w:rPr>
              <w:t> </w:t>
            </w:r>
            <w:r>
              <w:rPr>
                <w:sz w:val="24"/>
              </w:rPr>
              <w:t>(%</w:t>
            </w:r>
            <w:r>
              <w:rPr>
                <w:spacing w:val="-3"/>
                <w:sz w:val="24"/>
              </w:rPr>
              <w:t> </w:t>
            </w:r>
            <w:r>
              <w:rPr>
                <w:spacing w:val="-5"/>
                <w:sz w:val="24"/>
              </w:rPr>
              <w:t>CV)</w:t>
            </w:r>
          </w:p>
        </w:tc>
        <w:tc>
          <w:tcPr>
            <w:tcW w:w="1627" w:type="dxa"/>
            <w:tcBorders>
              <w:top w:val="single" w:sz="8" w:space="0" w:color="000000"/>
            </w:tcBorders>
          </w:tcPr>
          <w:p>
            <w:pPr>
              <w:pStyle w:val="TableParagraph"/>
              <w:spacing w:line="268" w:lineRule="exact"/>
              <w:ind w:left="385"/>
              <w:rPr>
                <w:sz w:val="24"/>
              </w:rPr>
            </w:pPr>
            <w:r>
              <w:rPr>
                <w:spacing w:val="-2"/>
                <w:sz w:val="24"/>
              </w:rPr>
              <w:t>0.630</w:t>
            </w:r>
          </w:p>
        </w:tc>
        <w:tc>
          <w:tcPr>
            <w:tcW w:w="1846" w:type="dxa"/>
            <w:tcBorders>
              <w:top w:val="single" w:sz="8" w:space="0" w:color="000000"/>
            </w:tcBorders>
          </w:tcPr>
          <w:p>
            <w:pPr>
              <w:pStyle w:val="TableParagraph"/>
              <w:spacing w:line="268" w:lineRule="exact"/>
              <w:ind w:left="582"/>
              <w:rPr>
                <w:sz w:val="24"/>
              </w:rPr>
            </w:pPr>
            <w:r>
              <w:rPr>
                <w:spacing w:val="-2"/>
                <w:sz w:val="24"/>
              </w:rPr>
              <w:t>0.168</w:t>
            </w:r>
          </w:p>
        </w:tc>
        <w:tc>
          <w:tcPr>
            <w:tcW w:w="3867" w:type="dxa"/>
            <w:tcBorders>
              <w:top w:val="single" w:sz="8" w:space="0" w:color="000000"/>
            </w:tcBorders>
          </w:tcPr>
          <w:p>
            <w:pPr>
              <w:pStyle w:val="TableParagraph"/>
              <w:spacing w:line="268" w:lineRule="exact"/>
              <w:ind w:left="280"/>
              <w:rPr>
                <w:sz w:val="24"/>
              </w:rPr>
            </w:pPr>
            <w:r>
              <w:rPr>
                <w:sz w:val="24"/>
              </w:rPr>
              <w:t>&lt;</w:t>
            </w:r>
            <w:r>
              <w:rPr>
                <w:spacing w:val="-1"/>
                <w:sz w:val="24"/>
              </w:rPr>
              <w:t> </w:t>
            </w:r>
            <w:r>
              <w:rPr>
                <w:sz w:val="24"/>
              </w:rPr>
              <w:t>15 </w:t>
            </w:r>
            <w:r>
              <w:rPr>
                <w:spacing w:val="-10"/>
                <w:sz w:val="24"/>
              </w:rPr>
              <w:t>%</w:t>
            </w:r>
          </w:p>
        </w:tc>
      </w:tr>
      <w:tr>
        <w:trPr>
          <w:trHeight w:val="452" w:hRule="atLeast"/>
        </w:trPr>
        <w:tc>
          <w:tcPr>
            <w:tcW w:w="2250" w:type="dxa"/>
          </w:tcPr>
          <w:p>
            <w:pPr>
              <w:pStyle w:val="TableParagraph"/>
              <w:spacing w:line="240" w:lineRule="auto" w:before="82"/>
              <w:ind w:left="122"/>
              <w:rPr>
                <w:sz w:val="24"/>
              </w:rPr>
            </w:pPr>
            <w:r>
              <w:rPr>
                <w:sz w:val="24"/>
              </w:rPr>
              <w:t>Accuracy</w:t>
            </w:r>
            <w:r>
              <w:rPr>
                <w:spacing w:val="-5"/>
                <w:sz w:val="24"/>
              </w:rPr>
              <w:t> </w:t>
            </w:r>
            <w:r>
              <w:rPr>
                <w:sz w:val="24"/>
              </w:rPr>
              <w:t>(</w:t>
            </w:r>
            <w:r>
              <w:rPr>
                <w:spacing w:val="1"/>
                <w:sz w:val="24"/>
              </w:rPr>
              <w:t> </w:t>
            </w:r>
            <w:r>
              <w:rPr>
                <w:sz w:val="24"/>
              </w:rPr>
              <w:t>%</w:t>
            </w:r>
            <w:r>
              <w:rPr>
                <w:spacing w:val="-1"/>
                <w:sz w:val="24"/>
              </w:rPr>
              <w:t> </w:t>
            </w:r>
            <w:r>
              <w:rPr>
                <w:sz w:val="24"/>
              </w:rPr>
              <w:t>Er</w:t>
            </w:r>
            <w:r>
              <w:rPr>
                <w:spacing w:val="-1"/>
                <w:sz w:val="24"/>
              </w:rPr>
              <w:t> </w:t>
            </w:r>
            <w:r>
              <w:rPr>
                <w:spacing w:val="-10"/>
                <w:sz w:val="24"/>
              </w:rPr>
              <w:t>)</w:t>
            </w:r>
          </w:p>
        </w:tc>
        <w:tc>
          <w:tcPr>
            <w:tcW w:w="1627" w:type="dxa"/>
          </w:tcPr>
          <w:p>
            <w:pPr>
              <w:pStyle w:val="TableParagraph"/>
              <w:spacing w:line="240" w:lineRule="auto" w:before="82"/>
              <w:ind w:left="385"/>
              <w:rPr>
                <w:sz w:val="24"/>
              </w:rPr>
            </w:pPr>
            <w:r>
              <w:rPr>
                <w:spacing w:val="-2"/>
                <w:sz w:val="24"/>
              </w:rPr>
              <w:t>4.130</w:t>
            </w:r>
          </w:p>
        </w:tc>
        <w:tc>
          <w:tcPr>
            <w:tcW w:w="1846" w:type="dxa"/>
          </w:tcPr>
          <w:p>
            <w:pPr>
              <w:pStyle w:val="TableParagraph"/>
              <w:spacing w:line="240" w:lineRule="auto" w:before="82"/>
              <w:ind w:left="582"/>
              <w:rPr>
                <w:sz w:val="24"/>
              </w:rPr>
            </w:pPr>
            <w:r>
              <w:rPr>
                <w:spacing w:val="-2"/>
                <w:sz w:val="24"/>
              </w:rPr>
              <w:t>0.251</w:t>
            </w:r>
          </w:p>
        </w:tc>
        <w:tc>
          <w:tcPr>
            <w:tcW w:w="3867" w:type="dxa"/>
          </w:tcPr>
          <w:p>
            <w:pPr>
              <w:pStyle w:val="TableParagraph"/>
              <w:spacing w:line="240" w:lineRule="auto" w:before="82"/>
              <w:ind w:left="280"/>
              <w:rPr>
                <w:sz w:val="24"/>
              </w:rPr>
            </w:pPr>
            <w:r>
              <w:rPr>
                <w:sz w:val="24"/>
              </w:rPr>
              <w:t>&lt;</w:t>
            </w:r>
            <w:r>
              <w:rPr>
                <w:spacing w:val="-1"/>
                <w:sz w:val="24"/>
              </w:rPr>
              <w:t> </w:t>
            </w:r>
            <w:r>
              <w:rPr>
                <w:sz w:val="24"/>
              </w:rPr>
              <w:t>5 </w:t>
            </w:r>
            <w:r>
              <w:rPr>
                <w:spacing w:val="-10"/>
                <w:sz w:val="24"/>
              </w:rPr>
              <w:t>%</w:t>
            </w:r>
          </w:p>
        </w:tc>
      </w:tr>
      <w:tr>
        <w:trPr>
          <w:trHeight w:val="452" w:hRule="atLeast"/>
        </w:trPr>
        <w:tc>
          <w:tcPr>
            <w:tcW w:w="2250" w:type="dxa"/>
          </w:tcPr>
          <w:p>
            <w:pPr>
              <w:pStyle w:val="TableParagraph"/>
              <w:spacing w:line="240" w:lineRule="auto" w:before="83"/>
              <w:ind w:left="122"/>
              <w:rPr>
                <w:sz w:val="24"/>
              </w:rPr>
            </w:pPr>
            <w:r>
              <w:rPr>
                <w:sz w:val="24"/>
              </w:rPr>
              <w:t>%</w:t>
            </w:r>
            <w:r>
              <w:rPr>
                <w:spacing w:val="-1"/>
                <w:sz w:val="24"/>
              </w:rPr>
              <w:t> </w:t>
            </w:r>
            <w:r>
              <w:rPr>
                <w:spacing w:val="-2"/>
                <w:sz w:val="24"/>
              </w:rPr>
              <w:t>recovery</w:t>
            </w:r>
          </w:p>
        </w:tc>
        <w:tc>
          <w:tcPr>
            <w:tcW w:w="1627" w:type="dxa"/>
          </w:tcPr>
          <w:p>
            <w:pPr>
              <w:pStyle w:val="TableParagraph"/>
              <w:spacing w:line="240" w:lineRule="auto" w:before="83"/>
              <w:ind w:left="385"/>
              <w:rPr>
                <w:sz w:val="24"/>
              </w:rPr>
            </w:pPr>
            <w:r>
              <w:rPr>
                <w:spacing w:val="-2"/>
                <w:sz w:val="24"/>
              </w:rPr>
              <w:t>102.01</w:t>
            </w:r>
          </w:p>
        </w:tc>
        <w:tc>
          <w:tcPr>
            <w:tcW w:w="1846" w:type="dxa"/>
          </w:tcPr>
          <w:p>
            <w:pPr>
              <w:pStyle w:val="TableParagraph"/>
              <w:spacing w:line="240" w:lineRule="auto" w:before="83"/>
              <w:ind w:left="582"/>
              <w:rPr>
                <w:sz w:val="24"/>
              </w:rPr>
            </w:pPr>
            <w:r>
              <w:rPr>
                <w:spacing w:val="-4"/>
                <w:sz w:val="24"/>
              </w:rPr>
              <w:t>99.8</w:t>
            </w:r>
          </w:p>
        </w:tc>
        <w:tc>
          <w:tcPr>
            <w:tcW w:w="3867" w:type="dxa"/>
          </w:tcPr>
          <w:p>
            <w:pPr>
              <w:pStyle w:val="TableParagraph"/>
              <w:spacing w:line="240" w:lineRule="auto" w:before="83"/>
              <w:ind w:left="280"/>
              <w:rPr>
                <w:sz w:val="24"/>
              </w:rPr>
            </w:pPr>
            <w:r>
              <w:rPr>
                <w:sz w:val="24"/>
              </w:rPr>
              <w:t>98-102</w:t>
            </w:r>
            <w:r>
              <w:rPr>
                <w:spacing w:val="-1"/>
                <w:sz w:val="24"/>
              </w:rPr>
              <w:t> </w:t>
            </w:r>
            <w:r>
              <w:rPr>
                <w:spacing w:val="-10"/>
                <w:sz w:val="24"/>
              </w:rPr>
              <w:t>%</w:t>
            </w:r>
          </w:p>
        </w:tc>
      </w:tr>
      <w:tr>
        <w:trPr>
          <w:trHeight w:val="452" w:hRule="atLeast"/>
        </w:trPr>
        <w:tc>
          <w:tcPr>
            <w:tcW w:w="2250" w:type="dxa"/>
          </w:tcPr>
          <w:p>
            <w:pPr>
              <w:pStyle w:val="TableParagraph"/>
              <w:spacing w:line="240" w:lineRule="auto" w:before="82"/>
              <w:ind w:left="122"/>
              <w:rPr>
                <w:sz w:val="24"/>
              </w:rPr>
            </w:pPr>
            <w:r>
              <w:rPr>
                <w:sz w:val="24"/>
              </w:rPr>
              <w:t>LOD</w:t>
            </w:r>
            <w:r>
              <w:rPr>
                <w:spacing w:val="-5"/>
                <w:sz w:val="24"/>
              </w:rPr>
              <w:t> </w:t>
            </w:r>
            <w:r>
              <w:rPr>
                <w:spacing w:val="-2"/>
                <w:sz w:val="24"/>
              </w:rPr>
              <w:t>(µg/mL)</w:t>
            </w:r>
          </w:p>
        </w:tc>
        <w:tc>
          <w:tcPr>
            <w:tcW w:w="1627" w:type="dxa"/>
          </w:tcPr>
          <w:p>
            <w:pPr>
              <w:pStyle w:val="TableParagraph"/>
              <w:spacing w:line="240" w:lineRule="auto" w:before="82"/>
              <w:ind w:left="385"/>
              <w:rPr>
                <w:sz w:val="24"/>
              </w:rPr>
            </w:pPr>
            <w:r>
              <w:rPr>
                <w:spacing w:val="-2"/>
                <w:sz w:val="24"/>
              </w:rPr>
              <w:t>0.113</w:t>
            </w:r>
          </w:p>
        </w:tc>
        <w:tc>
          <w:tcPr>
            <w:tcW w:w="1846" w:type="dxa"/>
          </w:tcPr>
          <w:p>
            <w:pPr>
              <w:pStyle w:val="TableParagraph"/>
              <w:spacing w:line="240" w:lineRule="auto" w:before="82"/>
              <w:ind w:left="582"/>
              <w:rPr>
                <w:sz w:val="24"/>
              </w:rPr>
            </w:pPr>
            <w:r>
              <w:rPr>
                <w:spacing w:val="-2"/>
                <w:sz w:val="24"/>
              </w:rPr>
              <w:t>0,145</w:t>
            </w:r>
          </w:p>
        </w:tc>
        <w:tc>
          <w:tcPr>
            <w:tcW w:w="3867" w:type="dxa"/>
          </w:tcPr>
          <w:p>
            <w:pPr>
              <w:pStyle w:val="TableParagraph"/>
              <w:spacing w:line="240" w:lineRule="auto"/>
              <w:rPr>
                <w:sz w:val="22"/>
              </w:rPr>
            </w:pPr>
          </w:p>
        </w:tc>
      </w:tr>
      <w:tr>
        <w:trPr>
          <w:trHeight w:val="543" w:hRule="atLeast"/>
        </w:trPr>
        <w:tc>
          <w:tcPr>
            <w:tcW w:w="2250" w:type="dxa"/>
            <w:tcBorders>
              <w:bottom w:val="single" w:sz="8" w:space="0" w:color="000000"/>
            </w:tcBorders>
          </w:tcPr>
          <w:p>
            <w:pPr>
              <w:pStyle w:val="TableParagraph"/>
              <w:spacing w:line="240" w:lineRule="auto" w:before="83"/>
              <w:ind w:left="122"/>
              <w:rPr>
                <w:sz w:val="24"/>
              </w:rPr>
            </w:pPr>
            <w:r>
              <w:rPr>
                <w:sz w:val="24"/>
              </w:rPr>
              <w:t>LOQ</w:t>
            </w:r>
            <w:r>
              <w:rPr>
                <w:spacing w:val="-2"/>
                <w:sz w:val="24"/>
              </w:rPr>
              <w:t> (µg/mL)</w:t>
            </w:r>
          </w:p>
        </w:tc>
        <w:tc>
          <w:tcPr>
            <w:tcW w:w="1627" w:type="dxa"/>
            <w:tcBorders>
              <w:bottom w:val="single" w:sz="8" w:space="0" w:color="000000"/>
            </w:tcBorders>
          </w:tcPr>
          <w:p>
            <w:pPr>
              <w:pStyle w:val="TableParagraph"/>
              <w:spacing w:line="240" w:lineRule="auto" w:before="83"/>
              <w:ind w:left="385"/>
              <w:rPr>
                <w:sz w:val="24"/>
              </w:rPr>
            </w:pPr>
            <w:r>
              <w:rPr>
                <w:spacing w:val="-2"/>
                <w:sz w:val="24"/>
              </w:rPr>
              <w:t>0.342</w:t>
            </w:r>
          </w:p>
        </w:tc>
        <w:tc>
          <w:tcPr>
            <w:tcW w:w="1846" w:type="dxa"/>
            <w:tcBorders>
              <w:bottom w:val="single" w:sz="8" w:space="0" w:color="000000"/>
            </w:tcBorders>
          </w:tcPr>
          <w:p>
            <w:pPr>
              <w:pStyle w:val="TableParagraph"/>
              <w:spacing w:line="240" w:lineRule="auto" w:before="83"/>
              <w:ind w:left="582"/>
              <w:rPr>
                <w:sz w:val="24"/>
              </w:rPr>
            </w:pPr>
            <w:r>
              <w:rPr>
                <w:spacing w:val="-2"/>
                <w:sz w:val="24"/>
              </w:rPr>
              <w:t>0.438</w:t>
            </w:r>
          </w:p>
        </w:tc>
        <w:tc>
          <w:tcPr>
            <w:tcW w:w="3867" w:type="dxa"/>
            <w:tcBorders>
              <w:bottom w:val="single" w:sz="8" w:space="0" w:color="000000"/>
            </w:tcBorders>
          </w:tcPr>
          <w:p>
            <w:pPr>
              <w:pStyle w:val="TableParagraph"/>
              <w:spacing w:line="240" w:lineRule="auto"/>
              <w:rPr>
                <w:sz w:val="22"/>
              </w:rPr>
            </w:pPr>
          </w:p>
        </w:tc>
      </w:tr>
    </w:tbl>
    <w:p>
      <w:pPr>
        <w:spacing w:after="0" w:line="240" w:lineRule="auto"/>
        <w:rPr>
          <w:sz w:val="22"/>
        </w:rPr>
        <w:sectPr>
          <w:pgSz w:w="12240" w:h="15840"/>
          <w:pgMar w:header="0" w:footer="1015" w:top="1360" w:bottom="1200" w:left="240" w:right="0"/>
        </w:sectPr>
      </w:pPr>
    </w:p>
    <w:p>
      <w:pPr>
        <w:spacing w:line="254" w:lineRule="auto" w:before="76"/>
        <w:ind w:left="1200" w:right="1431" w:firstLine="0"/>
        <w:jc w:val="left"/>
        <w:rPr>
          <w:b/>
          <w:sz w:val="24"/>
        </w:rPr>
      </w:pPr>
      <w:r>
        <w:rPr>
          <w:b/>
          <w:sz w:val="24"/>
        </w:rPr>
        <w:t>Table</w:t>
      </w:r>
      <w:r>
        <w:rPr>
          <w:b/>
          <w:spacing w:val="-6"/>
          <w:sz w:val="24"/>
        </w:rPr>
        <w:t> </w:t>
      </w:r>
      <w:r>
        <w:rPr>
          <w:b/>
          <w:sz w:val="24"/>
        </w:rPr>
        <w:t>4.6m</w:t>
      </w:r>
      <w:r>
        <w:rPr>
          <w:b/>
          <w:spacing w:val="-8"/>
          <w:sz w:val="24"/>
        </w:rPr>
        <w:t> </w:t>
      </w:r>
      <w:r>
        <w:rPr>
          <w:b/>
          <w:sz w:val="24"/>
        </w:rPr>
        <w:t>Validation</w:t>
      </w:r>
      <w:r>
        <w:rPr>
          <w:b/>
          <w:spacing w:val="-4"/>
          <w:sz w:val="24"/>
        </w:rPr>
        <w:t> </w:t>
      </w:r>
      <w:r>
        <w:rPr>
          <w:b/>
          <w:sz w:val="24"/>
        </w:rPr>
        <w:t>parameters</w:t>
      </w:r>
      <w:r>
        <w:rPr>
          <w:b/>
          <w:spacing w:val="-4"/>
          <w:sz w:val="24"/>
        </w:rPr>
        <w:t> </w:t>
      </w:r>
      <w:r>
        <w:rPr>
          <w:b/>
          <w:sz w:val="24"/>
        </w:rPr>
        <w:t>for</w:t>
      </w:r>
      <w:r>
        <w:rPr>
          <w:b/>
          <w:spacing w:val="-6"/>
          <w:sz w:val="24"/>
        </w:rPr>
        <w:t> </w:t>
      </w:r>
      <w:r>
        <w:rPr>
          <w:b/>
          <w:sz w:val="24"/>
        </w:rPr>
        <w:t>calorimetric</w:t>
      </w:r>
      <w:r>
        <w:rPr>
          <w:b/>
          <w:spacing w:val="-3"/>
          <w:sz w:val="24"/>
        </w:rPr>
        <w:t> </w:t>
      </w:r>
      <w:r>
        <w:rPr>
          <w:b/>
          <w:sz w:val="24"/>
        </w:rPr>
        <w:t>methods</w:t>
      </w:r>
      <w:r>
        <w:rPr>
          <w:b/>
          <w:spacing w:val="-5"/>
          <w:sz w:val="24"/>
        </w:rPr>
        <w:t> </w:t>
      </w:r>
      <w:r>
        <w:rPr>
          <w:b/>
          <w:sz w:val="24"/>
        </w:rPr>
        <w:t>using</w:t>
      </w:r>
      <w:r>
        <w:rPr>
          <w:b/>
          <w:spacing w:val="-5"/>
          <w:sz w:val="24"/>
        </w:rPr>
        <w:t> </w:t>
      </w:r>
      <w:r>
        <w:rPr>
          <w:b/>
          <w:sz w:val="24"/>
        </w:rPr>
        <w:t>2,4- dinitrophenylhydrazine and by diazotization.</w:t>
      </w:r>
    </w:p>
    <w:p>
      <w:pPr>
        <w:pStyle w:val="BodyText"/>
        <w:spacing w:before="2"/>
        <w:rPr>
          <w:b/>
          <w:sz w:val="14"/>
        </w:rPr>
      </w:pP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3"/>
        <w:gridCol w:w="1973"/>
        <w:gridCol w:w="3071"/>
      </w:tblGrid>
      <w:tr>
        <w:trPr>
          <w:trHeight w:val="291" w:hRule="atLeast"/>
        </w:trPr>
        <w:tc>
          <w:tcPr>
            <w:tcW w:w="3983" w:type="dxa"/>
            <w:tcBorders>
              <w:top w:val="single" w:sz="8" w:space="0" w:color="000000"/>
              <w:bottom w:val="single" w:sz="8" w:space="0" w:color="000000"/>
            </w:tcBorders>
          </w:tcPr>
          <w:p>
            <w:pPr>
              <w:pStyle w:val="TableParagraph"/>
              <w:spacing w:line="272" w:lineRule="exact"/>
              <w:ind w:left="115"/>
              <w:rPr>
                <w:b/>
                <w:sz w:val="24"/>
              </w:rPr>
            </w:pPr>
            <w:r>
              <w:rPr>
                <w:b/>
                <w:spacing w:val="-2"/>
                <w:sz w:val="24"/>
              </w:rPr>
              <w:t>Parameter</w:t>
            </w:r>
          </w:p>
        </w:tc>
        <w:tc>
          <w:tcPr>
            <w:tcW w:w="1973" w:type="dxa"/>
            <w:tcBorders>
              <w:top w:val="single" w:sz="8" w:space="0" w:color="000000"/>
              <w:bottom w:val="single" w:sz="8" w:space="0" w:color="000000"/>
            </w:tcBorders>
          </w:tcPr>
          <w:p>
            <w:pPr>
              <w:pStyle w:val="TableParagraph"/>
              <w:spacing w:line="272" w:lineRule="exact"/>
              <w:ind w:left="109"/>
              <w:rPr>
                <w:b/>
                <w:sz w:val="24"/>
              </w:rPr>
            </w:pPr>
            <w:r>
              <w:rPr>
                <w:b/>
                <w:spacing w:val="-2"/>
                <w:sz w:val="24"/>
              </w:rPr>
              <w:t>Hydrazine</w:t>
            </w:r>
          </w:p>
        </w:tc>
        <w:tc>
          <w:tcPr>
            <w:tcW w:w="3071" w:type="dxa"/>
            <w:tcBorders>
              <w:top w:val="single" w:sz="8" w:space="0" w:color="000000"/>
              <w:bottom w:val="single" w:sz="8" w:space="0" w:color="000000"/>
            </w:tcBorders>
          </w:tcPr>
          <w:p>
            <w:pPr>
              <w:pStyle w:val="TableParagraph"/>
              <w:spacing w:line="272" w:lineRule="exact"/>
              <w:ind w:left="544"/>
              <w:rPr>
                <w:b/>
                <w:sz w:val="24"/>
              </w:rPr>
            </w:pPr>
            <w:r>
              <w:rPr>
                <w:b/>
                <w:spacing w:val="-2"/>
                <w:sz w:val="24"/>
              </w:rPr>
              <w:t>paratoluidine</w:t>
            </w:r>
          </w:p>
        </w:tc>
      </w:tr>
      <w:tr>
        <w:trPr>
          <w:trHeight w:val="341" w:hRule="atLeast"/>
        </w:trPr>
        <w:tc>
          <w:tcPr>
            <w:tcW w:w="3983" w:type="dxa"/>
            <w:tcBorders>
              <w:top w:val="single" w:sz="8" w:space="0" w:color="000000"/>
            </w:tcBorders>
          </w:tcPr>
          <w:p>
            <w:pPr>
              <w:pStyle w:val="TableParagraph"/>
              <w:spacing w:line="268" w:lineRule="exact"/>
              <w:ind w:left="115"/>
              <w:rPr>
                <w:sz w:val="24"/>
              </w:rPr>
            </w:pPr>
            <w:r>
              <w:rPr>
                <w:sz w:val="24"/>
              </w:rPr>
              <w:t>λ</w:t>
            </w:r>
            <w:r>
              <w:rPr>
                <w:spacing w:val="-2"/>
                <w:sz w:val="24"/>
              </w:rPr>
              <w:t> </w:t>
            </w:r>
            <w:r>
              <w:rPr>
                <w:spacing w:val="-5"/>
                <w:sz w:val="24"/>
              </w:rPr>
              <w:t>max</w:t>
            </w:r>
          </w:p>
        </w:tc>
        <w:tc>
          <w:tcPr>
            <w:tcW w:w="1973" w:type="dxa"/>
            <w:tcBorders>
              <w:top w:val="single" w:sz="8" w:space="0" w:color="000000"/>
            </w:tcBorders>
          </w:tcPr>
          <w:p>
            <w:pPr>
              <w:pStyle w:val="TableParagraph"/>
              <w:spacing w:line="268" w:lineRule="exact"/>
              <w:ind w:left="109"/>
              <w:rPr>
                <w:sz w:val="24"/>
              </w:rPr>
            </w:pPr>
            <w:r>
              <w:rPr>
                <w:sz w:val="24"/>
              </w:rPr>
              <w:t>464 </w:t>
            </w:r>
            <w:r>
              <w:rPr>
                <w:spacing w:val="-5"/>
                <w:sz w:val="24"/>
              </w:rPr>
              <w:t>nm</w:t>
            </w:r>
          </w:p>
        </w:tc>
        <w:tc>
          <w:tcPr>
            <w:tcW w:w="3071" w:type="dxa"/>
            <w:tcBorders>
              <w:top w:val="single" w:sz="8" w:space="0" w:color="000000"/>
            </w:tcBorders>
          </w:tcPr>
          <w:p>
            <w:pPr>
              <w:pStyle w:val="TableParagraph"/>
              <w:spacing w:line="268" w:lineRule="exact"/>
              <w:ind w:left="544"/>
              <w:rPr>
                <w:sz w:val="24"/>
              </w:rPr>
            </w:pPr>
            <w:r>
              <w:rPr>
                <w:sz w:val="24"/>
              </w:rPr>
              <w:t>420 </w:t>
            </w:r>
            <w:r>
              <w:rPr>
                <w:spacing w:val="-5"/>
                <w:sz w:val="24"/>
              </w:rPr>
              <w:t>nm</w:t>
            </w:r>
          </w:p>
        </w:tc>
      </w:tr>
      <w:tr>
        <w:trPr>
          <w:trHeight w:val="472" w:hRule="atLeast"/>
        </w:trPr>
        <w:tc>
          <w:tcPr>
            <w:tcW w:w="3983" w:type="dxa"/>
          </w:tcPr>
          <w:p>
            <w:pPr>
              <w:pStyle w:val="TableParagraph"/>
              <w:spacing w:line="240" w:lineRule="auto" w:before="103"/>
              <w:ind w:left="115"/>
              <w:rPr>
                <w:sz w:val="24"/>
              </w:rPr>
            </w:pPr>
            <w:r>
              <w:rPr>
                <w:sz w:val="24"/>
              </w:rPr>
              <w:t>Beer</w:t>
            </w:r>
            <w:r>
              <w:rPr>
                <w:sz w:val="24"/>
                <w:vertAlign w:val="superscript"/>
              </w:rPr>
              <w:t>.</w:t>
            </w:r>
            <w:r>
              <w:rPr>
                <w:sz w:val="24"/>
                <w:vertAlign w:val="baseline"/>
              </w:rPr>
              <w:t>s</w:t>
            </w:r>
            <w:r>
              <w:rPr>
                <w:spacing w:val="-2"/>
                <w:sz w:val="24"/>
                <w:vertAlign w:val="baseline"/>
              </w:rPr>
              <w:t> </w:t>
            </w:r>
            <w:r>
              <w:rPr>
                <w:sz w:val="24"/>
                <w:vertAlign w:val="baseline"/>
              </w:rPr>
              <w:t>law</w:t>
            </w:r>
            <w:r>
              <w:rPr>
                <w:spacing w:val="-2"/>
                <w:sz w:val="24"/>
                <w:vertAlign w:val="baseline"/>
              </w:rPr>
              <w:t> range</w:t>
            </w:r>
          </w:p>
        </w:tc>
        <w:tc>
          <w:tcPr>
            <w:tcW w:w="1973" w:type="dxa"/>
          </w:tcPr>
          <w:p>
            <w:pPr>
              <w:pStyle w:val="TableParagraph"/>
              <w:spacing w:line="240" w:lineRule="auto" w:before="103"/>
              <w:ind w:left="109"/>
              <w:rPr>
                <w:sz w:val="24"/>
              </w:rPr>
            </w:pPr>
            <w:r>
              <w:rPr>
                <w:sz w:val="24"/>
              </w:rPr>
              <w:t>1 – 18 </w:t>
            </w:r>
            <w:r>
              <w:rPr>
                <w:spacing w:val="-2"/>
                <w:sz w:val="24"/>
              </w:rPr>
              <w:t>µg/mL</w:t>
            </w:r>
          </w:p>
        </w:tc>
        <w:tc>
          <w:tcPr>
            <w:tcW w:w="3071" w:type="dxa"/>
          </w:tcPr>
          <w:p>
            <w:pPr>
              <w:pStyle w:val="TableParagraph"/>
              <w:spacing w:line="240" w:lineRule="auto" w:before="103"/>
              <w:ind w:left="544"/>
              <w:rPr>
                <w:sz w:val="24"/>
              </w:rPr>
            </w:pPr>
            <w:r>
              <w:rPr>
                <w:sz w:val="24"/>
              </w:rPr>
              <w:t>1 – 18 </w:t>
            </w:r>
            <w:r>
              <w:rPr>
                <w:spacing w:val="-2"/>
                <w:sz w:val="24"/>
              </w:rPr>
              <w:t>µg/mL</w:t>
            </w:r>
          </w:p>
        </w:tc>
      </w:tr>
      <w:tr>
        <w:trPr>
          <w:trHeight w:val="452" w:hRule="atLeast"/>
        </w:trPr>
        <w:tc>
          <w:tcPr>
            <w:tcW w:w="3983" w:type="dxa"/>
          </w:tcPr>
          <w:p>
            <w:pPr>
              <w:pStyle w:val="TableParagraph"/>
              <w:spacing w:line="240" w:lineRule="auto" w:before="82"/>
              <w:ind w:left="115"/>
              <w:rPr>
                <w:sz w:val="24"/>
              </w:rPr>
            </w:pPr>
            <w:r>
              <w:rPr>
                <w:sz w:val="24"/>
              </w:rPr>
              <w:t>Regression</w:t>
            </w:r>
            <w:r>
              <w:rPr>
                <w:spacing w:val="-4"/>
                <w:sz w:val="24"/>
              </w:rPr>
              <w:t> </w:t>
            </w:r>
            <w:r>
              <w:rPr>
                <w:spacing w:val="-2"/>
                <w:sz w:val="24"/>
              </w:rPr>
              <w:t>equation</w:t>
            </w:r>
          </w:p>
        </w:tc>
        <w:tc>
          <w:tcPr>
            <w:tcW w:w="1973" w:type="dxa"/>
          </w:tcPr>
          <w:p>
            <w:pPr>
              <w:pStyle w:val="TableParagraph"/>
              <w:spacing w:line="240" w:lineRule="auto" w:before="82"/>
              <w:ind w:left="109"/>
              <w:rPr>
                <w:sz w:val="24"/>
              </w:rPr>
            </w:pPr>
            <w:r>
              <w:rPr>
                <w:sz w:val="24"/>
              </w:rPr>
              <w:t>y</w:t>
            </w:r>
            <w:r>
              <w:rPr>
                <w:spacing w:val="-6"/>
                <w:sz w:val="24"/>
              </w:rPr>
              <w:t> </w:t>
            </w:r>
            <w:r>
              <w:rPr>
                <w:sz w:val="24"/>
              </w:rPr>
              <w:t>=</w:t>
            </w:r>
            <w:r>
              <w:rPr>
                <w:spacing w:val="1"/>
                <w:sz w:val="24"/>
              </w:rPr>
              <w:t> </w:t>
            </w:r>
            <w:r>
              <w:rPr>
                <w:sz w:val="24"/>
              </w:rPr>
              <w:t>ax</w:t>
            </w:r>
            <w:r>
              <w:rPr>
                <w:spacing w:val="2"/>
                <w:sz w:val="24"/>
              </w:rPr>
              <w:t> </w:t>
            </w:r>
            <w:r>
              <w:rPr>
                <w:sz w:val="24"/>
              </w:rPr>
              <w:t>+</w:t>
            </w:r>
            <w:r>
              <w:rPr>
                <w:spacing w:val="-1"/>
                <w:sz w:val="24"/>
              </w:rPr>
              <w:t> </w:t>
            </w:r>
            <w:r>
              <w:rPr>
                <w:spacing w:val="-10"/>
                <w:sz w:val="24"/>
              </w:rPr>
              <w:t>b</w:t>
            </w:r>
          </w:p>
        </w:tc>
        <w:tc>
          <w:tcPr>
            <w:tcW w:w="3071" w:type="dxa"/>
          </w:tcPr>
          <w:p>
            <w:pPr>
              <w:pStyle w:val="TableParagraph"/>
              <w:spacing w:line="240" w:lineRule="auto" w:before="82"/>
              <w:ind w:left="544"/>
              <w:rPr>
                <w:sz w:val="24"/>
              </w:rPr>
            </w:pPr>
            <w:r>
              <w:rPr>
                <w:sz w:val="24"/>
              </w:rPr>
              <w:t>y</w:t>
            </w:r>
            <w:r>
              <w:rPr>
                <w:spacing w:val="-6"/>
                <w:sz w:val="24"/>
              </w:rPr>
              <w:t> </w:t>
            </w:r>
            <w:r>
              <w:rPr>
                <w:sz w:val="24"/>
              </w:rPr>
              <w:t>=</w:t>
            </w:r>
            <w:r>
              <w:rPr>
                <w:spacing w:val="1"/>
                <w:sz w:val="24"/>
              </w:rPr>
              <w:t> </w:t>
            </w:r>
            <w:r>
              <w:rPr>
                <w:sz w:val="24"/>
              </w:rPr>
              <w:t>ax</w:t>
            </w:r>
            <w:r>
              <w:rPr>
                <w:spacing w:val="2"/>
                <w:sz w:val="24"/>
              </w:rPr>
              <w:t> </w:t>
            </w:r>
            <w:r>
              <w:rPr>
                <w:sz w:val="24"/>
              </w:rPr>
              <w:t>+</w:t>
            </w:r>
            <w:r>
              <w:rPr>
                <w:spacing w:val="-1"/>
                <w:sz w:val="24"/>
              </w:rPr>
              <w:t> </w:t>
            </w:r>
            <w:r>
              <w:rPr>
                <w:spacing w:val="-10"/>
                <w:sz w:val="24"/>
              </w:rPr>
              <w:t>b</w:t>
            </w:r>
          </w:p>
        </w:tc>
      </w:tr>
      <w:tr>
        <w:trPr>
          <w:trHeight w:val="452" w:hRule="atLeast"/>
        </w:trPr>
        <w:tc>
          <w:tcPr>
            <w:tcW w:w="3983" w:type="dxa"/>
          </w:tcPr>
          <w:p>
            <w:pPr>
              <w:pStyle w:val="TableParagraph"/>
              <w:spacing w:line="240" w:lineRule="auto" w:before="83"/>
              <w:ind w:left="115"/>
              <w:rPr>
                <w:sz w:val="24"/>
              </w:rPr>
            </w:pPr>
            <w:r>
              <w:rPr>
                <w:sz w:val="24"/>
              </w:rPr>
              <w:t>Slope </w:t>
            </w:r>
            <w:r>
              <w:rPr>
                <w:spacing w:val="-5"/>
                <w:sz w:val="24"/>
              </w:rPr>
              <w:t>(a)</w:t>
            </w:r>
          </w:p>
        </w:tc>
        <w:tc>
          <w:tcPr>
            <w:tcW w:w="1973" w:type="dxa"/>
          </w:tcPr>
          <w:p>
            <w:pPr>
              <w:pStyle w:val="TableParagraph"/>
              <w:spacing w:line="240" w:lineRule="auto" w:before="83"/>
              <w:ind w:left="109"/>
              <w:rPr>
                <w:sz w:val="24"/>
              </w:rPr>
            </w:pPr>
            <w:r>
              <w:rPr>
                <w:spacing w:val="-2"/>
                <w:sz w:val="24"/>
              </w:rPr>
              <w:t>0.0093</w:t>
            </w:r>
          </w:p>
        </w:tc>
        <w:tc>
          <w:tcPr>
            <w:tcW w:w="3071" w:type="dxa"/>
          </w:tcPr>
          <w:p>
            <w:pPr>
              <w:pStyle w:val="TableParagraph"/>
              <w:spacing w:line="240" w:lineRule="auto" w:before="83"/>
              <w:ind w:left="544"/>
              <w:rPr>
                <w:sz w:val="24"/>
              </w:rPr>
            </w:pPr>
            <w:r>
              <w:rPr>
                <w:spacing w:val="-2"/>
                <w:sz w:val="24"/>
              </w:rPr>
              <w:t>0.068</w:t>
            </w:r>
          </w:p>
        </w:tc>
      </w:tr>
      <w:tr>
        <w:trPr>
          <w:trHeight w:val="431" w:hRule="atLeast"/>
        </w:trPr>
        <w:tc>
          <w:tcPr>
            <w:tcW w:w="3983" w:type="dxa"/>
          </w:tcPr>
          <w:p>
            <w:pPr>
              <w:pStyle w:val="TableParagraph"/>
              <w:spacing w:line="240" w:lineRule="auto" w:before="82"/>
              <w:ind w:left="115"/>
              <w:rPr>
                <w:sz w:val="24"/>
              </w:rPr>
            </w:pPr>
            <w:r>
              <w:rPr>
                <w:sz w:val="24"/>
              </w:rPr>
              <w:t>Intercept</w:t>
            </w:r>
            <w:r>
              <w:rPr>
                <w:spacing w:val="-2"/>
                <w:sz w:val="24"/>
              </w:rPr>
              <w:t> </w:t>
            </w:r>
            <w:r>
              <w:rPr>
                <w:sz w:val="24"/>
              </w:rPr>
              <w:t>(b</w:t>
            </w:r>
            <w:r>
              <w:rPr>
                <w:spacing w:val="-2"/>
                <w:sz w:val="24"/>
              </w:rPr>
              <w:t> </w:t>
            </w:r>
            <w:r>
              <w:rPr>
                <w:spacing w:val="-10"/>
                <w:sz w:val="24"/>
              </w:rPr>
              <w:t>)</w:t>
            </w:r>
          </w:p>
        </w:tc>
        <w:tc>
          <w:tcPr>
            <w:tcW w:w="1973" w:type="dxa"/>
          </w:tcPr>
          <w:p>
            <w:pPr>
              <w:pStyle w:val="TableParagraph"/>
              <w:spacing w:line="240" w:lineRule="auto" w:before="82"/>
              <w:ind w:left="109"/>
              <w:rPr>
                <w:sz w:val="24"/>
              </w:rPr>
            </w:pPr>
            <w:r>
              <w:rPr>
                <w:spacing w:val="-2"/>
                <w:sz w:val="24"/>
              </w:rPr>
              <w:t>0.0041</w:t>
            </w:r>
          </w:p>
        </w:tc>
        <w:tc>
          <w:tcPr>
            <w:tcW w:w="3071" w:type="dxa"/>
          </w:tcPr>
          <w:p>
            <w:pPr>
              <w:pStyle w:val="TableParagraph"/>
              <w:spacing w:line="240" w:lineRule="auto" w:before="82"/>
              <w:ind w:left="544"/>
              <w:rPr>
                <w:sz w:val="24"/>
              </w:rPr>
            </w:pPr>
            <w:r>
              <w:rPr>
                <w:spacing w:val="-2"/>
                <w:sz w:val="24"/>
              </w:rPr>
              <w:t>0.0376</w:t>
            </w:r>
          </w:p>
        </w:tc>
      </w:tr>
      <w:tr>
        <w:trPr>
          <w:trHeight w:val="472" w:hRule="atLeast"/>
        </w:trPr>
        <w:tc>
          <w:tcPr>
            <w:tcW w:w="3983" w:type="dxa"/>
          </w:tcPr>
          <w:p>
            <w:pPr>
              <w:pStyle w:val="TableParagraph"/>
              <w:spacing w:line="240" w:lineRule="auto" w:before="102"/>
              <w:ind w:left="115"/>
              <w:rPr>
                <w:sz w:val="24"/>
              </w:rPr>
            </w:pPr>
            <w:r>
              <w:rPr>
                <w:sz w:val="24"/>
              </w:rPr>
              <w:t>Coefficient.</w:t>
            </w:r>
            <w:r>
              <w:rPr>
                <w:spacing w:val="-2"/>
                <w:sz w:val="24"/>
              </w:rPr>
              <w:t> </w:t>
            </w:r>
            <w:r>
              <w:rPr>
                <w:sz w:val="24"/>
              </w:rPr>
              <w:t>of</w:t>
            </w:r>
            <w:r>
              <w:rPr>
                <w:spacing w:val="-2"/>
                <w:sz w:val="24"/>
              </w:rPr>
              <w:t> </w:t>
            </w:r>
            <w:r>
              <w:rPr>
                <w:sz w:val="24"/>
              </w:rPr>
              <w:t>determination</w:t>
            </w:r>
            <w:r>
              <w:rPr>
                <w:spacing w:val="-1"/>
                <w:sz w:val="24"/>
              </w:rPr>
              <w:t> </w:t>
            </w:r>
            <w:r>
              <w:rPr>
                <w:spacing w:val="-5"/>
                <w:sz w:val="24"/>
              </w:rPr>
              <w:t>R</w:t>
            </w:r>
            <w:r>
              <w:rPr>
                <w:spacing w:val="-5"/>
                <w:sz w:val="24"/>
                <w:vertAlign w:val="superscript"/>
              </w:rPr>
              <w:t>2</w:t>
            </w:r>
          </w:p>
        </w:tc>
        <w:tc>
          <w:tcPr>
            <w:tcW w:w="1973" w:type="dxa"/>
          </w:tcPr>
          <w:p>
            <w:pPr>
              <w:pStyle w:val="TableParagraph"/>
              <w:spacing w:line="240" w:lineRule="auto" w:before="102"/>
              <w:ind w:left="109"/>
              <w:rPr>
                <w:sz w:val="24"/>
              </w:rPr>
            </w:pPr>
            <w:r>
              <w:rPr>
                <w:spacing w:val="-2"/>
                <w:sz w:val="24"/>
              </w:rPr>
              <w:t>0.9992</w:t>
            </w:r>
          </w:p>
        </w:tc>
        <w:tc>
          <w:tcPr>
            <w:tcW w:w="3071" w:type="dxa"/>
          </w:tcPr>
          <w:p>
            <w:pPr>
              <w:pStyle w:val="TableParagraph"/>
              <w:spacing w:line="240" w:lineRule="auto" w:before="102"/>
              <w:ind w:left="544"/>
              <w:rPr>
                <w:sz w:val="24"/>
              </w:rPr>
            </w:pPr>
            <w:r>
              <w:rPr>
                <w:spacing w:val="-2"/>
                <w:sz w:val="24"/>
              </w:rPr>
              <w:t>0.9971</w:t>
            </w:r>
          </w:p>
        </w:tc>
      </w:tr>
      <w:tr>
        <w:trPr>
          <w:trHeight w:val="452" w:hRule="atLeast"/>
        </w:trPr>
        <w:tc>
          <w:tcPr>
            <w:tcW w:w="3983" w:type="dxa"/>
          </w:tcPr>
          <w:p>
            <w:pPr>
              <w:pStyle w:val="TableParagraph"/>
              <w:spacing w:line="240" w:lineRule="auto" w:before="84"/>
              <w:ind w:left="115"/>
              <w:rPr>
                <w:sz w:val="24"/>
              </w:rPr>
            </w:pPr>
            <w:r>
              <w:rPr>
                <w:sz w:val="24"/>
              </w:rPr>
              <w:t>Coefficient.</w:t>
            </w:r>
            <w:r>
              <w:rPr>
                <w:spacing w:val="-4"/>
                <w:sz w:val="24"/>
              </w:rPr>
              <w:t> </w:t>
            </w:r>
            <w:r>
              <w:rPr>
                <w:sz w:val="24"/>
              </w:rPr>
              <w:t>of correlation</w:t>
            </w:r>
            <w:r>
              <w:rPr>
                <w:spacing w:val="-1"/>
                <w:sz w:val="24"/>
              </w:rPr>
              <w:t> </w:t>
            </w:r>
            <w:r>
              <w:rPr>
                <w:sz w:val="24"/>
              </w:rPr>
              <w:t>(</w:t>
            </w:r>
            <w:r>
              <w:rPr>
                <w:spacing w:val="-1"/>
                <w:sz w:val="24"/>
              </w:rPr>
              <w:t> </w:t>
            </w:r>
            <w:r>
              <w:rPr>
                <w:sz w:val="24"/>
              </w:rPr>
              <w:t>r</w:t>
            </w:r>
            <w:r>
              <w:rPr>
                <w:spacing w:val="-2"/>
                <w:sz w:val="24"/>
              </w:rPr>
              <w:t> </w:t>
            </w:r>
            <w:r>
              <w:rPr>
                <w:spacing w:val="-10"/>
                <w:sz w:val="24"/>
              </w:rPr>
              <w:t>)</w:t>
            </w:r>
          </w:p>
        </w:tc>
        <w:tc>
          <w:tcPr>
            <w:tcW w:w="1973" w:type="dxa"/>
          </w:tcPr>
          <w:p>
            <w:pPr>
              <w:pStyle w:val="TableParagraph"/>
              <w:spacing w:line="240" w:lineRule="auto" w:before="84"/>
              <w:ind w:left="109"/>
              <w:rPr>
                <w:sz w:val="24"/>
              </w:rPr>
            </w:pPr>
            <w:r>
              <w:rPr>
                <w:spacing w:val="-2"/>
                <w:sz w:val="24"/>
              </w:rPr>
              <w:t>0.9996</w:t>
            </w:r>
          </w:p>
        </w:tc>
        <w:tc>
          <w:tcPr>
            <w:tcW w:w="3071" w:type="dxa"/>
          </w:tcPr>
          <w:p>
            <w:pPr>
              <w:pStyle w:val="TableParagraph"/>
              <w:spacing w:line="240" w:lineRule="auto" w:before="84"/>
              <w:ind w:left="544"/>
              <w:rPr>
                <w:sz w:val="24"/>
              </w:rPr>
            </w:pPr>
            <w:r>
              <w:rPr>
                <w:spacing w:val="-2"/>
                <w:sz w:val="24"/>
              </w:rPr>
              <w:t>0.999</w:t>
            </w:r>
          </w:p>
        </w:tc>
      </w:tr>
      <w:tr>
        <w:trPr>
          <w:trHeight w:val="451" w:hRule="atLeast"/>
        </w:trPr>
        <w:tc>
          <w:tcPr>
            <w:tcW w:w="3983" w:type="dxa"/>
          </w:tcPr>
          <w:p>
            <w:pPr>
              <w:pStyle w:val="TableParagraph"/>
              <w:spacing w:line="240" w:lineRule="auto" w:before="82"/>
              <w:ind w:left="115"/>
              <w:rPr>
                <w:sz w:val="24"/>
              </w:rPr>
            </w:pPr>
            <w:r>
              <w:rPr>
                <w:sz w:val="24"/>
              </w:rPr>
              <w:t>Effective</w:t>
            </w:r>
            <w:r>
              <w:rPr>
                <w:spacing w:val="-1"/>
                <w:sz w:val="24"/>
              </w:rPr>
              <w:t> </w:t>
            </w:r>
            <w:r>
              <w:rPr>
                <w:sz w:val="24"/>
              </w:rPr>
              <w:t>concentration</w:t>
            </w:r>
            <w:r>
              <w:rPr>
                <w:spacing w:val="-1"/>
                <w:sz w:val="24"/>
              </w:rPr>
              <w:t> </w:t>
            </w:r>
            <w:r>
              <w:rPr>
                <w:sz w:val="24"/>
              </w:rPr>
              <w:t>of</w:t>
            </w:r>
            <w:r>
              <w:rPr>
                <w:spacing w:val="-1"/>
                <w:sz w:val="24"/>
              </w:rPr>
              <w:t> </w:t>
            </w:r>
            <w:r>
              <w:rPr>
                <w:sz w:val="24"/>
              </w:rPr>
              <w:t>the</w:t>
            </w:r>
            <w:r>
              <w:rPr>
                <w:spacing w:val="-3"/>
                <w:sz w:val="24"/>
              </w:rPr>
              <w:t> </w:t>
            </w:r>
            <w:r>
              <w:rPr>
                <w:spacing w:val="-2"/>
                <w:sz w:val="24"/>
              </w:rPr>
              <w:t>reagent</w:t>
            </w:r>
          </w:p>
        </w:tc>
        <w:tc>
          <w:tcPr>
            <w:tcW w:w="1973" w:type="dxa"/>
          </w:tcPr>
          <w:p>
            <w:pPr>
              <w:pStyle w:val="TableParagraph"/>
              <w:spacing w:line="240" w:lineRule="auto" w:before="82"/>
              <w:ind w:left="109"/>
              <w:rPr>
                <w:sz w:val="24"/>
              </w:rPr>
            </w:pPr>
            <w:r>
              <w:rPr>
                <w:sz w:val="24"/>
              </w:rPr>
              <w:t>18</w:t>
            </w:r>
            <w:r>
              <w:rPr>
                <w:spacing w:val="-2"/>
                <w:sz w:val="24"/>
              </w:rPr>
              <w:t> µg/mL</w:t>
            </w:r>
          </w:p>
        </w:tc>
        <w:tc>
          <w:tcPr>
            <w:tcW w:w="3071" w:type="dxa"/>
          </w:tcPr>
          <w:p>
            <w:pPr>
              <w:pStyle w:val="TableParagraph"/>
              <w:spacing w:line="240" w:lineRule="auto" w:before="82"/>
              <w:ind w:left="544"/>
              <w:rPr>
                <w:sz w:val="24"/>
              </w:rPr>
            </w:pPr>
            <w:r>
              <w:rPr>
                <w:sz w:val="24"/>
              </w:rPr>
              <w:t>18</w:t>
            </w:r>
            <w:r>
              <w:rPr>
                <w:spacing w:val="-2"/>
                <w:sz w:val="24"/>
              </w:rPr>
              <w:t> µg/mL</w:t>
            </w:r>
          </w:p>
        </w:tc>
      </w:tr>
      <w:tr>
        <w:trPr>
          <w:trHeight w:val="452" w:hRule="atLeast"/>
        </w:trPr>
        <w:tc>
          <w:tcPr>
            <w:tcW w:w="3983" w:type="dxa"/>
          </w:tcPr>
          <w:p>
            <w:pPr>
              <w:pStyle w:val="TableParagraph"/>
              <w:spacing w:line="240" w:lineRule="auto" w:before="82"/>
              <w:ind w:left="115"/>
              <w:rPr>
                <w:sz w:val="24"/>
              </w:rPr>
            </w:pPr>
            <w:r>
              <w:rPr>
                <w:sz w:val="24"/>
              </w:rPr>
              <w:t>Effective</w:t>
            </w:r>
            <w:r>
              <w:rPr>
                <w:spacing w:val="-2"/>
                <w:sz w:val="24"/>
              </w:rPr>
              <w:t> </w:t>
            </w:r>
            <w:r>
              <w:rPr>
                <w:sz w:val="24"/>
              </w:rPr>
              <w:t>volume</w:t>
            </w:r>
            <w:r>
              <w:rPr>
                <w:spacing w:val="-1"/>
                <w:sz w:val="24"/>
              </w:rPr>
              <w:t> </w:t>
            </w:r>
            <w:r>
              <w:rPr>
                <w:sz w:val="24"/>
              </w:rPr>
              <w:t>of</w:t>
            </w:r>
            <w:r>
              <w:rPr>
                <w:spacing w:val="-1"/>
                <w:sz w:val="24"/>
              </w:rPr>
              <w:t> </w:t>
            </w:r>
            <w:r>
              <w:rPr>
                <w:sz w:val="24"/>
              </w:rPr>
              <w:t>the</w:t>
            </w:r>
            <w:r>
              <w:rPr>
                <w:spacing w:val="-2"/>
                <w:sz w:val="24"/>
              </w:rPr>
              <w:t> reagent</w:t>
            </w:r>
          </w:p>
        </w:tc>
        <w:tc>
          <w:tcPr>
            <w:tcW w:w="1973" w:type="dxa"/>
          </w:tcPr>
          <w:p>
            <w:pPr>
              <w:pStyle w:val="TableParagraph"/>
              <w:spacing w:line="240" w:lineRule="auto" w:before="82"/>
              <w:ind w:left="109"/>
              <w:rPr>
                <w:sz w:val="24"/>
              </w:rPr>
            </w:pPr>
            <w:r>
              <w:rPr>
                <w:sz w:val="24"/>
              </w:rPr>
              <w:t>3 </w:t>
            </w:r>
            <w:r>
              <w:rPr>
                <w:spacing w:val="-5"/>
                <w:sz w:val="24"/>
              </w:rPr>
              <w:t>mL</w:t>
            </w:r>
          </w:p>
        </w:tc>
        <w:tc>
          <w:tcPr>
            <w:tcW w:w="3071" w:type="dxa"/>
          </w:tcPr>
          <w:p>
            <w:pPr>
              <w:pStyle w:val="TableParagraph"/>
              <w:spacing w:line="240" w:lineRule="auto" w:before="82"/>
              <w:ind w:left="544"/>
              <w:rPr>
                <w:sz w:val="24"/>
              </w:rPr>
            </w:pPr>
            <w:r>
              <w:rPr>
                <w:sz w:val="24"/>
              </w:rPr>
              <w:t>4 </w:t>
            </w:r>
            <w:r>
              <w:rPr>
                <w:spacing w:val="-5"/>
                <w:sz w:val="24"/>
              </w:rPr>
              <w:t>mL</w:t>
            </w:r>
          </w:p>
        </w:tc>
      </w:tr>
      <w:tr>
        <w:trPr>
          <w:trHeight w:val="835" w:hRule="atLeast"/>
        </w:trPr>
        <w:tc>
          <w:tcPr>
            <w:tcW w:w="3983" w:type="dxa"/>
            <w:tcBorders>
              <w:bottom w:val="single" w:sz="8" w:space="0" w:color="000000"/>
            </w:tcBorders>
          </w:tcPr>
          <w:p>
            <w:pPr>
              <w:pStyle w:val="TableParagraph"/>
              <w:spacing w:line="252" w:lineRule="auto" w:before="83"/>
              <w:ind w:left="115"/>
              <w:rPr>
                <w:sz w:val="24"/>
              </w:rPr>
            </w:pPr>
            <w:r>
              <w:rPr>
                <w:sz w:val="24"/>
              </w:rPr>
              <w:t>Effective</w:t>
            </w:r>
            <w:r>
              <w:rPr>
                <w:spacing w:val="80"/>
                <w:sz w:val="24"/>
              </w:rPr>
              <w:t> </w:t>
            </w:r>
            <w:r>
              <w:rPr>
                <w:sz w:val="24"/>
              </w:rPr>
              <w:t>time</w:t>
            </w:r>
            <w:r>
              <w:rPr>
                <w:spacing w:val="80"/>
                <w:sz w:val="24"/>
              </w:rPr>
              <w:t> </w:t>
            </w:r>
            <w:r>
              <w:rPr>
                <w:sz w:val="24"/>
              </w:rPr>
              <w:t>for</w:t>
            </w:r>
            <w:r>
              <w:rPr>
                <w:spacing w:val="80"/>
                <w:sz w:val="24"/>
              </w:rPr>
              <w:t> </w:t>
            </w:r>
            <w:r>
              <w:rPr>
                <w:sz w:val="24"/>
              </w:rPr>
              <w:t>complete</w:t>
            </w:r>
            <w:r>
              <w:rPr>
                <w:spacing w:val="80"/>
                <w:sz w:val="24"/>
              </w:rPr>
              <w:t> </w:t>
            </w:r>
            <w:r>
              <w:rPr>
                <w:sz w:val="24"/>
              </w:rPr>
              <w:t>colour </w:t>
            </w:r>
            <w:r>
              <w:rPr>
                <w:spacing w:val="-2"/>
                <w:sz w:val="24"/>
              </w:rPr>
              <w:t>development</w:t>
            </w:r>
          </w:p>
        </w:tc>
        <w:tc>
          <w:tcPr>
            <w:tcW w:w="1973" w:type="dxa"/>
            <w:tcBorders>
              <w:bottom w:val="single" w:sz="8" w:space="0" w:color="000000"/>
            </w:tcBorders>
          </w:tcPr>
          <w:p>
            <w:pPr>
              <w:pStyle w:val="TableParagraph"/>
              <w:spacing w:line="240" w:lineRule="auto" w:before="83"/>
              <w:ind w:left="109"/>
              <w:rPr>
                <w:sz w:val="24"/>
              </w:rPr>
            </w:pPr>
            <w:r>
              <w:rPr>
                <w:sz w:val="24"/>
              </w:rPr>
              <w:t>15 </w:t>
            </w:r>
            <w:r>
              <w:rPr>
                <w:spacing w:val="-5"/>
                <w:sz w:val="24"/>
              </w:rPr>
              <w:t>min</w:t>
            </w:r>
          </w:p>
        </w:tc>
        <w:tc>
          <w:tcPr>
            <w:tcW w:w="3071" w:type="dxa"/>
            <w:tcBorders>
              <w:bottom w:val="single" w:sz="8" w:space="0" w:color="000000"/>
            </w:tcBorders>
          </w:tcPr>
          <w:p>
            <w:pPr>
              <w:pStyle w:val="TableParagraph"/>
              <w:spacing w:line="240" w:lineRule="auto" w:before="83"/>
              <w:ind w:left="544"/>
              <w:rPr>
                <w:sz w:val="24"/>
              </w:rPr>
            </w:pPr>
            <w:r>
              <w:rPr>
                <w:sz w:val="24"/>
              </w:rPr>
              <w:t>20 </w:t>
            </w:r>
            <w:r>
              <w:rPr>
                <w:spacing w:val="-5"/>
                <w:sz w:val="24"/>
              </w:rPr>
              <w:t>min</w:t>
            </w:r>
          </w:p>
        </w:tc>
      </w:tr>
    </w:tbl>
    <w:p>
      <w:pPr>
        <w:spacing w:after="0" w:line="240" w:lineRule="auto"/>
        <w:rPr>
          <w:sz w:val="24"/>
        </w:rPr>
        <w:sectPr>
          <w:pgSz w:w="12240" w:h="15840"/>
          <w:pgMar w:header="0" w:footer="1015" w:top="1360" w:bottom="1200" w:left="240" w:right="0"/>
        </w:sectPr>
      </w:pPr>
    </w:p>
    <w:p>
      <w:pPr>
        <w:spacing w:before="88"/>
        <w:ind w:left="0" w:right="38" w:firstLine="0"/>
        <w:jc w:val="right"/>
        <w:rPr>
          <w:rFonts w:ascii="Calibri"/>
          <w:sz w:val="20"/>
        </w:rPr>
      </w:pPr>
      <w:r>
        <w:rPr/>
        <mc:AlternateContent>
          <mc:Choice Requires="wps">
            <w:drawing>
              <wp:anchor distT="0" distB="0" distL="0" distR="0" allowOverlap="1" layoutInCell="1" locked="0" behindDoc="1" simplePos="0" relativeHeight="485020160">
                <wp:simplePos x="0" y="0"/>
                <wp:positionH relativeFrom="page">
                  <wp:posOffset>1626107</wp:posOffset>
                </wp:positionH>
                <wp:positionV relativeFrom="paragraph">
                  <wp:posOffset>137668</wp:posOffset>
                </wp:positionV>
                <wp:extent cx="3660775" cy="1964689"/>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660775" cy="1964689"/>
                          <a:chExt cx="3660775" cy="1964689"/>
                        </a:xfrm>
                      </wpg:grpSpPr>
                      <wps:wsp>
                        <wps:cNvPr id="154" name="Graphic 154"/>
                        <wps:cNvSpPr/>
                        <wps:spPr>
                          <a:xfrm>
                            <a:off x="0" y="4572"/>
                            <a:ext cx="3656329" cy="1960245"/>
                          </a:xfrm>
                          <a:custGeom>
                            <a:avLst/>
                            <a:gdLst/>
                            <a:ahLst/>
                            <a:cxnLst/>
                            <a:rect l="l" t="t" r="r" b="b"/>
                            <a:pathLst>
                              <a:path w="3656329" h="1960245">
                                <a:moveTo>
                                  <a:pt x="39624" y="1920239"/>
                                </a:moveTo>
                                <a:lnTo>
                                  <a:pt x="39624" y="0"/>
                                </a:lnTo>
                              </a:path>
                              <a:path w="3656329" h="1960245">
                                <a:moveTo>
                                  <a:pt x="0" y="1920239"/>
                                </a:moveTo>
                                <a:lnTo>
                                  <a:pt x="39624" y="1920239"/>
                                </a:lnTo>
                              </a:path>
                              <a:path w="3656329" h="1960245">
                                <a:moveTo>
                                  <a:pt x="0" y="1600200"/>
                                </a:moveTo>
                                <a:lnTo>
                                  <a:pt x="39624" y="1600200"/>
                                </a:lnTo>
                              </a:path>
                              <a:path w="3656329" h="1960245">
                                <a:moveTo>
                                  <a:pt x="0" y="1280159"/>
                                </a:moveTo>
                                <a:lnTo>
                                  <a:pt x="39624" y="1280159"/>
                                </a:lnTo>
                              </a:path>
                              <a:path w="3656329" h="1960245">
                                <a:moveTo>
                                  <a:pt x="0" y="960119"/>
                                </a:moveTo>
                                <a:lnTo>
                                  <a:pt x="39624" y="960119"/>
                                </a:lnTo>
                              </a:path>
                              <a:path w="3656329" h="1960245">
                                <a:moveTo>
                                  <a:pt x="0" y="640079"/>
                                </a:moveTo>
                                <a:lnTo>
                                  <a:pt x="39624" y="640079"/>
                                </a:lnTo>
                              </a:path>
                              <a:path w="3656329" h="1960245">
                                <a:moveTo>
                                  <a:pt x="0" y="320039"/>
                                </a:moveTo>
                                <a:lnTo>
                                  <a:pt x="39624" y="320039"/>
                                </a:lnTo>
                              </a:path>
                              <a:path w="3656329" h="1960245">
                                <a:moveTo>
                                  <a:pt x="0" y="0"/>
                                </a:moveTo>
                                <a:lnTo>
                                  <a:pt x="39624" y="0"/>
                                </a:lnTo>
                              </a:path>
                              <a:path w="3656329" h="1960245">
                                <a:moveTo>
                                  <a:pt x="39624" y="1920239"/>
                                </a:moveTo>
                                <a:lnTo>
                                  <a:pt x="3656076" y="1920239"/>
                                </a:lnTo>
                              </a:path>
                              <a:path w="3656329" h="1960245">
                                <a:moveTo>
                                  <a:pt x="39624" y="1920239"/>
                                </a:moveTo>
                                <a:lnTo>
                                  <a:pt x="39624" y="1959863"/>
                                </a:lnTo>
                              </a:path>
                              <a:path w="3656329" h="1960245">
                                <a:moveTo>
                                  <a:pt x="641604" y="1920239"/>
                                </a:moveTo>
                                <a:lnTo>
                                  <a:pt x="641604" y="1959863"/>
                                </a:lnTo>
                              </a:path>
                              <a:path w="3656329" h="1960245">
                                <a:moveTo>
                                  <a:pt x="1245108" y="1920239"/>
                                </a:moveTo>
                                <a:lnTo>
                                  <a:pt x="1245108" y="1959863"/>
                                </a:lnTo>
                              </a:path>
                              <a:path w="3656329" h="1960245">
                                <a:moveTo>
                                  <a:pt x="1848612" y="1920239"/>
                                </a:moveTo>
                                <a:lnTo>
                                  <a:pt x="1848612" y="1959863"/>
                                </a:lnTo>
                              </a:path>
                              <a:path w="3656329" h="1960245">
                                <a:moveTo>
                                  <a:pt x="2450592" y="1920239"/>
                                </a:moveTo>
                                <a:lnTo>
                                  <a:pt x="2450592" y="1959863"/>
                                </a:lnTo>
                              </a:path>
                              <a:path w="3656329" h="1960245">
                                <a:moveTo>
                                  <a:pt x="3054096" y="1920239"/>
                                </a:moveTo>
                                <a:lnTo>
                                  <a:pt x="3054096" y="1959863"/>
                                </a:lnTo>
                              </a:path>
                              <a:path w="3656329" h="1960245">
                                <a:moveTo>
                                  <a:pt x="3656076" y="1920239"/>
                                </a:moveTo>
                                <a:lnTo>
                                  <a:pt x="3656076" y="1959863"/>
                                </a:lnTo>
                              </a:path>
                            </a:pathLst>
                          </a:custGeom>
                          <a:ln w="9144">
                            <a:solidFill>
                              <a:srgbClr val="858585"/>
                            </a:solidFill>
                            <a:prstDash val="solid"/>
                          </a:ln>
                        </wps:spPr>
                        <wps:bodyPr wrap="square" lIns="0" tIns="0" rIns="0" bIns="0" rtlCol="0">
                          <a:prstTxWarp prst="textNoShape">
                            <a:avLst/>
                          </a:prstTxWarp>
                          <a:noAutofit/>
                        </wps:bodyPr>
                      </wps:wsp>
                      <pic:pic>
                        <pic:nvPicPr>
                          <pic:cNvPr id="155" name="Image 155"/>
                          <pic:cNvPicPr/>
                        </pic:nvPicPr>
                        <pic:blipFill>
                          <a:blip r:embed="rId21" cstate="print"/>
                          <a:stretch>
                            <a:fillRect/>
                          </a:stretch>
                        </pic:blipFill>
                        <pic:spPr>
                          <a:xfrm>
                            <a:off x="594359" y="1523491"/>
                            <a:ext cx="98044" cy="98044"/>
                          </a:xfrm>
                          <a:prstGeom prst="rect">
                            <a:avLst/>
                          </a:prstGeom>
                        </pic:spPr>
                      </pic:pic>
                      <pic:pic>
                        <pic:nvPicPr>
                          <pic:cNvPr id="156" name="Image 156"/>
                          <pic:cNvPicPr/>
                        </pic:nvPicPr>
                        <pic:blipFill>
                          <a:blip r:embed="rId20" cstate="print"/>
                          <a:stretch>
                            <a:fillRect/>
                          </a:stretch>
                        </pic:blipFill>
                        <pic:spPr>
                          <a:xfrm>
                            <a:off x="1196975" y="1203325"/>
                            <a:ext cx="98044" cy="98044"/>
                          </a:xfrm>
                          <a:prstGeom prst="rect">
                            <a:avLst/>
                          </a:prstGeom>
                        </pic:spPr>
                      </pic:pic>
                      <pic:pic>
                        <pic:nvPicPr>
                          <pic:cNvPr id="157" name="Image 157"/>
                          <pic:cNvPicPr/>
                        </pic:nvPicPr>
                        <pic:blipFill>
                          <a:blip r:embed="rId21" cstate="print"/>
                          <a:stretch>
                            <a:fillRect/>
                          </a:stretch>
                        </pic:blipFill>
                        <pic:spPr>
                          <a:xfrm>
                            <a:off x="1799589" y="915288"/>
                            <a:ext cx="98044" cy="98044"/>
                          </a:xfrm>
                          <a:prstGeom prst="rect">
                            <a:avLst/>
                          </a:prstGeom>
                        </pic:spPr>
                      </pic:pic>
                      <pic:pic>
                        <pic:nvPicPr>
                          <pic:cNvPr id="158" name="Image 158"/>
                          <pic:cNvPicPr/>
                        </pic:nvPicPr>
                        <pic:blipFill>
                          <a:blip r:embed="rId18" cstate="print"/>
                          <a:stretch>
                            <a:fillRect/>
                          </a:stretch>
                        </pic:blipFill>
                        <pic:spPr>
                          <a:xfrm>
                            <a:off x="2402204" y="643255"/>
                            <a:ext cx="98044" cy="98044"/>
                          </a:xfrm>
                          <a:prstGeom prst="rect">
                            <a:avLst/>
                          </a:prstGeom>
                        </pic:spPr>
                      </pic:pic>
                      <pic:pic>
                        <pic:nvPicPr>
                          <pic:cNvPr id="159" name="Image 159"/>
                          <pic:cNvPicPr/>
                        </pic:nvPicPr>
                        <pic:blipFill>
                          <a:blip r:embed="rId21" cstate="print"/>
                          <a:stretch>
                            <a:fillRect/>
                          </a:stretch>
                        </pic:blipFill>
                        <pic:spPr>
                          <a:xfrm>
                            <a:off x="3004820" y="323088"/>
                            <a:ext cx="98044" cy="98044"/>
                          </a:xfrm>
                          <a:prstGeom prst="rect">
                            <a:avLst/>
                          </a:prstGeom>
                        </pic:spPr>
                      </pic:pic>
                      <wps:wsp>
                        <wps:cNvPr id="160" name="Graphic 160"/>
                        <wps:cNvSpPr/>
                        <wps:spPr>
                          <a:xfrm>
                            <a:off x="643127" y="377952"/>
                            <a:ext cx="2411095" cy="1184275"/>
                          </a:xfrm>
                          <a:custGeom>
                            <a:avLst/>
                            <a:gdLst/>
                            <a:ahLst/>
                            <a:cxnLst/>
                            <a:rect l="l" t="t" r="r" b="b"/>
                            <a:pathLst>
                              <a:path w="2411095" h="1184275">
                                <a:moveTo>
                                  <a:pt x="0" y="1184148"/>
                                </a:moveTo>
                                <a:lnTo>
                                  <a:pt x="2410967" y="0"/>
                                </a:lnTo>
                              </a:path>
                            </a:pathLst>
                          </a:custGeom>
                          <a:ln w="9144">
                            <a:solidFill>
                              <a:srgbClr val="000000"/>
                            </a:solidFill>
                            <a:prstDash val="solid"/>
                          </a:ln>
                        </wps:spPr>
                        <wps:bodyPr wrap="square" lIns="0" tIns="0" rIns="0" bIns="0" rtlCol="0">
                          <a:prstTxWarp prst="textNoShape">
                            <a:avLst/>
                          </a:prstTxWarp>
                          <a:noAutofit/>
                        </wps:bodyPr>
                      </wps:wsp>
                      <wps:wsp>
                        <wps:cNvPr id="161" name="Textbox 161"/>
                        <wps:cNvSpPr txBox="1"/>
                        <wps:spPr>
                          <a:xfrm>
                            <a:off x="2479294" y="62356"/>
                            <a:ext cx="531495" cy="127000"/>
                          </a:xfrm>
                          <a:prstGeom prst="rect">
                            <a:avLst/>
                          </a:prstGeom>
                        </wps:spPr>
                        <wps:txbx>
                          <w:txbxContent>
                            <w:p>
                              <w:pPr>
                                <w:spacing w:line="199" w:lineRule="exact" w:before="0"/>
                                <w:ind w:left="0" w:right="0" w:firstLine="0"/>
                                <w:jc w:val="left"/>
                                <w:rPr>
                                  <w:rFonts w:ascii="Calibri" w:hAnsi="Calibri"/>
                                  <w:sz w:val="20"/>
                                </w:rPr>
                              </w:pPr>
                              <w:r>
                                <w:rPr>
                                  <w:rFonts w:ascii="Calibri" w:hAnsi="Calibri"/>
                                  <w:sz w:val="20"/>
                                </w:rPr>
                                <w:t>R²</w:t>
                              </w:r>
                              <w:r>
                                <w:rPr>
                                  <w:rFonts w:ascii="Calibri" w:hAnsi="Calibri"/>
                                  <w:spacing w:val="-4"/>
                                  <w:sz w:val="20"/>
                                </w:rPr>
                                <w:t> </w:t>
                              </w:r>
                              <w:r>
                                <w:rPr>
                                  <w:rFonts w:ascii="Calibri" w:hAnsi="Calibri"/>
                                  <w:sz w:val="20"/>
                                </w:rPr>
                                <w:t>=</w:t>
                              </w:r>
                              <w:r>
                                <w:rPr>
                                  <w:rFonts w:ascii="Calibri" w:hAnsi="Calibri"/>
                                  <w:spacing w:val="-2"/>
                                  <w:sz w:val="20"/>
                                </w:rPr>
                                <w:t> 0.999</w:t>
                              </w:r>
                            </w:p>
                          </w:txbxContent>
                        </wps:txbx>
                        <wps:bodyPr wrap="square" lIns="0" tIns="0" rIns="0" bIns="0" rtlCol="0">
                          <a:noAutofit/>
                        </wps:bodyPr>
                      </wps:wsp>
                    </wpg:wgp>
                  </a:graphicData>
                </a:graphic>
              </wp:anchor>
            </w:drawing>
          </mc:Choice>
          <mc:Fallback>
            <w:pict>
              <v:group style="position:absolute;margin-left:128.039993pt;margin-top:10.84pt;width:288.25pt;height:154.7pt;mso-position-horizontal-relative:page;mso-position-vertical-relative:paragraph;z-index:-18296320" id="docshapegroup126" coordorigin="2561,217" coordsize="5765,3094">
                <v:shape style="position:absolute;left:2560;top:224;width:5758;height:3087" id="docshape127" coordorigin="2561,224" coordsize="5758,3087" path="m2623,3248l2623,224m2561,3248l2623,3248m2561,2744l2623,2744m2561,2240l2623,2240m2561,1736l2623,1736m2561,1232l2623,1232m2561,728l2623,728m2561,224l2623,224m2623,3248l8318,3248m2623,3248l2623,3310m3571,3248l3571,3310m4522,3248l4522,3310m5472,3248l5472,3310m6420,3248l6420,3310m7370,3248l7370,3310m8318,3248l8318,3310e" filled="false" stroked="true" strokeweight=".72pt" strokecolor="#858585">
                  <v:path arrowok="t"/>
                  <v:stroke dashstyle="solid"/>
                </v:shape>
                <v:shape style="position:absolute;left:3496;top:2616;width:155;height:155" type="#_x0000_t75" id="docshape128" stroked="false">
                  <v:imagedata r:id="rId21" o:title=""/>
                </v:shape>
                <v:shape style="position:absolute;left:4445;top:2111;width:155;height:155" type="#_x0000_t75" id="docshape129" stroked="false">
                  <v:imagedata r:id="rId20" o:title=""/>
                </v:shape>
                <v:shape style="position:absolute;left:5394;top:1658;width:155;height:155" type="#_x0000_t75" id="docshape130" stroked="false">
                  <v:imagedata r:id="rId21" o:title=""/>
                </v:shape>
                <v:shape style="position:absolute;left:6343;top:1229;width:155;height:155" type="#_x0000_t75" id="docshape131" stroked="false">
                  <v:imagedata r:id="rId18" o:title=""/>
                </v:shape>
                <v:shape style="position:absolute;left:7292;top:725;width:155;height:155" type="#_x0000_t75" id="docshape132" stroked="false">
                  <v:imagedata r:id="rId21" o:title=""/>
                </v:shape>
                <v:line style="position:absolute" from="3574,2677" to="7370,812" stroked="true" strokeweight=".72pt" strokecolor="#000000">
                  <v:stroke dashstyle="solid"/>
                </v:line>
                <v:shape style="position:absolute;left:6465;top:315;width:837;height:200" type="#_x0000_t202" id="docshape133" filled="false" stroked="false">
                  <v:textbox inset="0,0,0,0">
                    <w:txbxContent>
                      <w:p>
                        <w:pPr>
                          <w:spacing w:line="199" w:lineRule="exact" w:before="0"/>
                          <w:ind w:left="0" w:right="0" w:firstLine="0"/>
                          <w:jc w:val="left"/>
                          <w:rPr>
                            <w:rFonts w:ascii="Calibri" w:hAnsi="Calibri"/>
                            <w:sz w:val="20"/>
                          </w:rPr>
                        </w:pPr>
                        <w:r>
                          <w:rPr>
                            <w:rFonts w:ascii="Calibri" w:hAnsi="Calibri"/>
                            <w:sz w:val="20"/>
                          </w:rPr>
                          <w:t>R²</w:t>
                        </w:r>
                        <w:r>
                          <w:rPr>
                            <w:rFonts w:ascii="Calibri" w:hAnsi="Calibri"/>
                            <w:spacing w:val="-4"/>
                            <w:sz w:val="20"/>
                          </w:rPr>
                          <w:t> </w:t>
                        </w:r>
                        <w:r>
                          <w:rPr>
                            <w:rFonts w:ascii="Calibri" w:hAnsi="Calibri"/>
                            <w:sz w:val="20"/>
                          </w:rPr>
                          <w:t>=</w:t>
                        </w:r>
                        <w:r>
                          <w:rPr>
                            <w:rFonts w:ascii="Calibri" w:hAnsi="Calibri"/>
                            <w:spacing w:val="-2"/>
                            <w:sz w:val="20"/>
                          </w:rPr>
                          <w:t> 0.999</w:t>
                        </w:r>
                      </w:p>
                    </w:txbxContent>
                  </v:textbox>
                  <w10:wrap type="none"/>
                </v:shape>
                <w10:wrap type="none"/>
              </v:group>
            </w:pict>
          </mc:Fallback>
        </mc:AlternateContent>
      </w:r>
      <w:r>
        <w:rPr>
          <w:rFonts w:ascii="Calibri"/>
          <w:spacing w:val="-4"/>
          <w:sz w:val="20"/>
        </w:rPr>
        <w:t>0.12</w:t>
      </w:r>
    </w:p>
    <w:p>
      <w:pPr>
        <w:spacing w:before="29"/>
        <w:ind w:left="1844" w:right="0" w:firstLine="0"/>
        <w:jc w:val="left"/>
        <w:rPr>
          <w:rFonts w:ascii="Calibri"/>
          <w:sz w:val="20"/>
        </w:rPr>
      </w:pPr>
      <w:r>
        <w:rPr/>
        <w:br w:type="column"/>
      </w:r>
      <w:r>
        <w:rPr>
          <w:rFonts w:ascii="Calibri"/>
          <w:sz w:val="20"/>
        </w:rPr>
        <w:t>y</w:t>
      </w:r>
      <w:r>
        <w:rPr>
          <w:rFonts w:ascii="Calibri"/>
          <w:spacing w:val="-6"/>
          <w:sz w:val="20"/>
        </w:rPr>
        <w:t> </w:t>
      </w:r>
      <w:r>
        <w:rPr>
          <w:rFonts w:ascii="Calibri"/>
          <w:sz w:val="20"/>
        </w:rPr>
        <w:t>=</w:t>
      </w:r>
      <w:r>
        <w:rPr>
          <w:rFonts w:ascii="Calibri"/>
          <w:spacing w:val="-4"/>
          <w:sz w:val="20"/>
        </w:rPr>
        <w:t> </w:t>
      </w:r>
      <w:r>
        <w:rPr>
          <w:rFonts w:ascii="Calibri"/>
          <w:sz w:val="20"/>
        </w:rPr>
        <w:t>0.009x</w:t>
      </w:r>
      <w:r>
        <w:rPr>
          <w:rFonts w:ascii="Calibri"/>
          <w:spacing w:val="-2"/>
          <w:sz w:val="20"/>
        </w:rPr>
        <w:t> </w:t>
      </w:r>
      <w:r>
        <w:rPr>
          <w:rFonts w:ascii="Calibri"/>
          <w:sz w:val="20"/>
        </w:rPr>
        <w:t>+</w:t>
      </w:r>
      <w:r>
        <w:rPr>
          <w:rFonts w:ascii="Calibri"/>
          <w:spacing w:val="-4"/>
          <w:sz w:val="20"/>
        </w:rPr>
        <w:t> </w:t>
      </w:r>
      <w:r>
        <w:rPr>
          <w:rFonts w:ascii="Calibri"/>
          <w:spacing w:val="-2"/>
          <w:sz w:val="20"/>
        </w:rPr>
        <w:t>0.004</w:t>
      </w:r>
    </w:p>
    <w:p>
      <w:pPr>
        <w:spacing w:after="0"/>
        <w:jc w:val="left"/>
        <w:rPr>
          <w:rFonts w:ascii="Calibri"/>
          <w:sz w:val="20"/>
        </w:rPr>
        <w:sectPr>
          <w:pgSz w:w="12240" w:h="15840"/>
          <w:pgMar w:header="0" w:footer="1015" w:top="1480" w:bottom="1200" w:left="240" w:right="0"/>
          <w:cols w:num="2" w:equalWidth="0">
            <w:col w:w="2238" w:space="1819"/>
            <w:col w:w="7943"/>
          </w:cols>
        </w:sectPr>
      </w:pPr>
    </w:p>
    <w:p>
      <w:pPr>
        <w:pStyle w:val="BodyText"/>
        <w:spacing w:before="16"/>
        <w:rPr>
          <w:rFonts w:ascii="Calibri"/>
          <w:sz w:val="20"/>
        </w:rPr>
      </w:pPr>
    </w:p>
    <w:p>
      <w:pPr>
        <w:spacing w:before="0"/>
        <w:ind w:left="1945" w:right="0" w:firstLine="0"/>
        <w:jc w:val="left"/>
        <w:rPr>
          <w:rFonts w:ascii="Calibri"/>
          <w:sz w:val="20"/>
        </w:rPr>
      </w:pPr>
      <w:r>
        <w:rPr>
          <w:rFonts w:ascii="Calibri"/>
          <w:spacing w:val="-5"/>
          <w:sz w:val="20"/>
        </w:rPr>
        <w:t>0.1</w:t>
      </w:r>
    </w:p>
    <w:p>
      <w:pPr>
        <w:pStyle w:val="BodyText"/>
        <w:spacing w:before="16"/>
        <w:rPr>
          <w:rFonts w:ascii="Calibri"/>
          <w:sz w:val="20"/>
        </w:rPr>
      </w:pPr>
    </w:p>
    <w:p>
      <w:pPr>
        <w:spacing w:before="0"/>
        <w:ind w:left="1844" w:right="0" w:firstLine="0"/>
        <w:jc w:val="left"/>
        <w:rPr>
          <w:rFonts w:ascii="Calibri"/>
          <w:sz w:val="20"/>
        </w:rPr>
      </w:pPr>
      <w:r>
        <w:rPr/>
        <mc:AlternateContent>
          <mc:Choice Requires="wps">
            <w:drawing>
              <wp:anchor distT="0" distB="0" distL="0" distR="0" allowOverlap="1" layoutInCell="1" locked="0" behindDoc="0" simplePos="0" relativeHeight="15761920">
                <wp:simplePos x="0" y="0"/>
                <wp:positionH relativeFrom="page">
                  <wp:posOffset>1086332</wp:posOffset>
                </wp:positionH>
                <wp:positionV relativeFrom="paragraph">
                  <wp:posOffset>81269</wp:posOffset>
                </wp:positionV>
                <wp:extent cx="152400" cy="65087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52400" cy="65087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Absorbance</w:t>
                            </w:r>
                          </w:p>
                        </w:txbxContent>
                      </wps:txbx>
                      <wps:bodyPr wrap="square" lIns="0" tIns="0" rIns="0" bIns="0" rtlCol="0" vert="vert270">
                        <a:noAutofit/>
                      </wps:bodyPr>
                    </wps:wsp>
                  </a:graphicData>
                </a:graphic>
              </wp:anchor>
            </w:drawing>
          </mc:Choice>
          <mc:Fallback>
            <w:pict>
              <v:shape style="position:absolute;margin-left:85.538002pt;margin-top:6.399202pt;width:12pt;height:51.25pt;mso-position-horizontal-relative:page;mso-position-vertical-relative:paragraph;z-index:15761920" type="#_x0000_t202" id="docshape13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Absorbance</w:t>
                      </w:r>
                    </w:p>
                  </w:txbxContent>
                </v:textbox>
                <w10:wrap type="none"/>
              </v:shape>
            </w:pict>
          </mc:Fallback>
        </mc:AlternateContent>
      </w:r>
      <w:r>
        <w:rPr>
          <w:rFonts w:ascii="Calibri"/>
          <w:spacing w:val="-4"/>
          <w:sz w:val="20"/>
        </w:rPr>
        <w:t>0.08</w:t>
      </w:r>
    </w:p>
    <w:p>
      <w:pPr>
        <w:pStyle w:val="BodyText"/>
        <w:spacing w:before="15"/>
        <w:rPr>
          <w:rFonts w:ascii="Calibri"/>
          <w:sz w:val="20"/>
        </w:rPr>
      </w:pPr>
    </w:p>
    <w:p>
      <w:pPr>
        <w:spacing w:before="1"/>
        <w:ind w:left="1844" w:right="0" w:firstLine="0"/>
        <w:jc w:val="left"/>
        <w:rPr>
          <w:rFonts w:ascii="Calibri"/>
          <w:sz w:val="20"/>
        </w:rPr>
      </w:pPr>
      <w:r>
        <w:rPr>
          <w:rFonts w:ascii="Calibri"/>
          <w:spacing w:val="-4"/>
          <w:sz w:val="20"/>
        </w:rPr>
        <w:t>0.06</w:t>
      </w:r>
    </w:p>
    <w:p>
      <w:pPr>
        <w:pStyle w:val="BodyText"/>
        <w:spacing w:before="15"/>
        <w:rPr>
          <w:rFonts w:ascii="Calibri"/>
          <w:sz w:val="20"/>
        </w:rPr>
      </w:pPr>
    </w:p>
    <w:p>
      <w:pPr>
        <w:spacing w:before="0"/>
        <w:ind w:left="1844" w:right="0" w:firstLine="0"/>
        <w:jc w:val="left"/>
        <w:rPr>
          <w:rFonts w:ascii="Calibri"/>
          <w:sz w:val="20"/>
        </w:rPr>
      </w:pPr>
      <w:r>
        <w:rPr>
          <w:rFonts w:ascii="Calibri"/>
          <w:spacing w:val="-4"/>
          <w:sz w:val="20"/>
        </w:rPr>
        <w:t>0.04</w:t>
      </w:r>
    </w:p>
    <w:p>
      <w:pPr>
        <w:pStyle w:val="BodyText"/>
        <w:spacing w:before="16"/>
        <w:rPr>
          <w:rFonts w:ascii="Calibri"/>
          <w:sz w:val="20"/>
        </w:rPr>
      </w:pPr>
    </w:p>
    <w:p>
      <w:pPr>
        <w:spacing w:before="0"/>
        <w:ind w:left="1844" w:right="0" w:firstLine="0"/>
        <w:jc w:val="left"/>
        <w:rPr>
          <w:rFonts w:ascii="Calibri"/>
          <w:sz w:val="20"/>
        </w:rPr>
      </w:pPr>
      <w:r>
        <w:rPr>
          <w:rFonts w:ascii="Calibri"/>
          <w:spacing w:val="-4"/>
          <w:sz w:val="20"/>
        </w:rPr>
        <w:t>0.02</w:t>
      </w:r>
    </w:p>
    <w:p>
      <w:pPr>
        <w:pStyle w:val="BodyText"/>
        <w:spacing w:before="16"/>
        <w:rPr>
          <w:rFonts w:ascii="Calibri"/>
          <w:sz w:val="20"/>
        </w:rPr>
      </w:pPr>
    </w:p>
    <w:p>
      <w:pPr>
        <w:spacing w:before="0"/>
        <w:ind w:left="2098" w:right="0" w:firstLine="0"/>
        <w:jc w:val="left"/>
        <w:rPr>
          <w:rFonts w:ascii="Calibri"/>
          <w:sz w:val="20"/>
        </w:rPr>
      </w:pPr>
      <w:r>
        <w:rPr>
          <w:rFonts w:ascii="Calibri"/>
          <w:spacing w:val="-10"/>
          <w:sz w:val="20"/>
        </w:rPr>
        <w:t>0</w:t>
      </w:r>
    </w:p>
    <w:p>
      <w:pPr>
        <w:tabs>
          <w:tab w:pos="3283" w:val="left" w:leader="none"/>
          <w:tab w:pos="4232" w:val="left" w:leader="none"/>
          <w:tab w:pos="5181" w:val="left" w:leader="none"/>
          <w:tab w:pos="6131" w:val="left" w:leader="none"/>
          <w:tab w:pos="7029" w:val="left" w:leader="none"/>
          <w:tab w:pos="7979" w:val="left" w:leader="none"/>
        </w:tabs>
        <w:spacing w:before="74"/>
        <w:ind w:left="2334" w:right="0" w:firstLine="0"/>
        <w:jc w:val="left"/>
        <w:rPr>
          <w:rFonts w:ascii="Calibri"/>
          <w:sz w:val="20"/>
        </w:rPr>
      </w:pPr>
      <w:r>
        <w:rPr>
          <w:rFonts w:ascii="Calibri"/>
          <w:spacing w:val="-10"/>
          <w:sz w:val="20"/>
        </w:rPr>
        <w:t>0</w:t>
      </w:r>
      <w:r>
        <w:rPr>
          <w:rFonts w:ascii="Calibri"/>
          <w:sz w:val="20"/>
        </w:rPr>
        <w:tab/>
      </w:r>
      <w:r>
        <w:rPr>
          <w:rFonts w:ascii="Calibri"/>
          <w:spacing w:val="-10"/>
          <w:sz w:val="20"/>
        </w:rPr>
        <w:t>2</w:t>
      </w:r>
      <w:r>
        <w:rPr>
          <w:rFonts w:ascii="Calibri"/>
          <w:sz w:val="20"/>
        </w:rPr>
        <w:tab/>
      </w:r>
      <w:r>
        <w:rPr>
          <w:rFonts w:ascii="Calibri"/>
          <w:spacing w:val="-10"/>
          <w:sz w:val="20"/>
        </w:rPr>
        <w:t>4</w:t>
      </w:r>
      <w:r>
        <w:rPr>
          <w:rFonts w:ascii="Calibri"/>
          <w:sz w:val="20"/>
        </w:rPr>
        <w:tab/>
      </w:r>
      <w:r>
        <w:rPr>
          <w:rFonts w:ascii="Calibri"/>
          <w:spacing w:val="-10"/>
          <w:sz w:val="20"/>
        </w:rPr>
        <w:t>6</w:t>
      </w:r>
      <w:r>
        <w:rPr>
          <w:rFonts w:ascii="Calibri"/>
          <w:sz w:val="20"/>
        </w:rPr>
        <w:tab/>
      </w:r>
      <w:r>
        <w:rPr>
          <w:rFonts w:ascii="Calibri"/>
          <w:spacing w:val="-10"/>
          <w:sz w:val="20"/>
        </w:rPr>
        <w:t>8</w:t>
      </w:r>
      <w:r>
        <w:rPr>
          <w:rFonts w:ascii="Calibri"/>
          <w:sz w:val="20"/>
        </w:rPr>
        <w:tab/>
      </w:r>
      <w:r>
        <w:rPr>
          <w:rFonts w:ascii="Calibri"/>
          <w:spacing w:val="-5"/>
          <w:sz w:val="20"/>
        </w:rPr>
        <w:t>10</w:t>
      </w:r>
      <w:r>
        <w:rPr>
          <w:rFonts w:ascii="Calibri"/>
          <w:sz w:val="20"/>
        </w:rPr>
        <w:tab/>
      </w:r>
      <w:r>
        <w:rPr>
          <w:rFonts w:ascii="Calibri"/>
          <w:spacing w:val="-5"/>
          <w:sz w:val="20"/>
        </w:rPr>
        <w:t>12</w:t>
      </w:r>
    </w:p>
    <w:p>
      <w:pPr>
        <w:spacing w:before="151"/>
        <w:ind w:left="0" w:right="1535" w:firstLine="0"/>
        <w:jc w:val="center"/>
        <w:rPr>
          <w:rFonts w:ascii="Calibri" w:hAnsi="Calibri"/>
          <w:b/>
          <w:sz w:val="20"/>
        </w:rPr>
      </w:pPr>
      <w:r>
        <w:rPr>
          <w:rFonts w:ascii="Calibri" w:hAnsi="Calibri"/>
          <w:b/>
          <w:sz w:val="20"/>
        </w:rPr>
        <w:t>Concentration</w:t>
      </w:r>
      <w:r>
        <w:rPr>
          <w:rFonts w:ascii="Calibri" w:hAnsi="Calibri"/>
          <w:b/>
          <w:spacing w:val="-12"/>
          <w:sz w:val="20"/>
        </w:rPr>
        <w:t> </w:t>
      </w:r>
      <w:r>
        <w:rPr>
          <w:rFonts w:ascii="Calibri" w:hAnsi="Calibri"/>
          <w:b/>
          <w:sz w:val="20"/>
        </w:rPr>
        <w:t>in</w:t>
      </w:r>
      <w:r>
        <w:rPr>
          <w:rFonts w:ascii="Calibri" w:hAnsi="Calibri"/>
          <w:b/>
          <w:spacing w:val="-7"/>
          <w:sz w:val="20"/>
        </w:rPr>
        <w:t> </w:t>
      </w:r>
      <w:r>
        <w:rPr>
          <w:rFonts w:ascii="Calibri" w:hAnsi="Calibri"/>
          <w:b/>
          <w:spacing w:val="-4"/>
          <w:sz w:val="20"/>
        </w:rPr>
        <w:t>μg/ml</w:t>
      </w:r>
    </w:p>
    <w:p>
      <w:pPr>
        <w:pStyle w:val="BodyText"/>
        <w:spacing w:before="133"/>
        <w:rPr>
          <w:rFonts w:ascii="Calibri"/>
          <w:b/>
        </w:rPr>
      </w:pPr>
    </w:p>
    <w:p>
      <w:pPr>
        <w:pStyle w:val="Heading3"/>
        <w:spacing w:before="0"/>
      </w:pPr>
      <w:r>
        <w:rPr/>
        <w:t>Figure</w:t>
      </w:r>
      <w:r>
        <w:rPr>
          <w:spacing w:val="-5"/>
        </w:rPr>
        <w:t> </w:t>
      </w:r>
      <w:r>
        <w:rPr/>
        <w:t>4.5:</w:t>
      </w:r>
      <w:r>
        <w:rPr>
          <w:spacing w:val="-2"/>
        </w:rPr>
        <w:t> </w:t>
      </w:r>
      <w:r>
        <w:rPr/>
        <w:t>Calibration</w:t>
      </w:r>
      <w:r>
        <w:rPr>
          <w:spacing w:val="-1"/>
        </w:rPr>
        <w:t> </w:t>
      </w:r>
      <w:r>
        <w:rPr/>
        <w:t>curve</w:t>
      </w:r>
      <w:r>
        <w:rPr>
          <w:spacing w:val="-3"/>
        </w:rPr>
        <w:t> </w:t>
      </w:r>
      <w:r>
        <w:rPr/>
        <w:t>of isoniazid</w:t>
      </w:r>
      <w:r>
        <w:rPr>
          <w:spacing w:val="1"/>
        </w:rPr>
        <w:t> </w:t>
      </w:r>
      <w:r>
        <w:rPr/>
        <w:t>solution</w:t>
      </w:r>
      <w:r>
        <w:rPr>
          <w:spacing w:val="-2"/>
        </w:rPr>
        <w:t> </w:t>
      </w:r>
      <w:r>
        <w:rPr/>
        <w:t>in</w:t>
      </w:r>
      <w:r>
        <w:rPr>
          <w:spacing w:val="-1"/>
        </w:rPr>
        <w:t> </w:t>
      </w:r>
      <w:r>
        <w:rPr/>
        <w:t>2,4-dinitrophenyl</w:t>
      </w:r>
      <w:r>
        <w:rPr>
          <w:spacing w:val="-3"/>
        </w:rPr>
        <w:t> </w:t>
      </w:r>
      <w:r>
        <w:rPr>
          <w:spacing w:val="-2"/>
        </w:rPr>
        <w:t>hydrazine.</w:t>
      </w:r>
    </w:p>
    <w:p>
      <w:pPr>
        <w:spacing w:after="0"/>
        <w:sectPr>
          <w:type w:val="continuous"/>
          <w:pgSz w:w="12240" w:h="15840"/>
          <w:pgMar w:header="0" w:footer="1015" w:top="1360" w:bottom="1200" w:left="240" w:right="0"/>
        </w:sectPr>
      </w:pPr>
    </w:p>
    <w:p>
      <w:pPr>
        <w:spacing w:before="48"/>
        <w:ind w:left="1844" w:right="0" w:firstLine="0"/>
        <w:jc w:val="left"/>
        <w:rPr>
          <w:rFonts w:ascii="Calibri"/>
          <w:sz w:val="20"/>
        </w:rPr>
      </w:pPr>
      <w:r>
        <w:rPr/>
        <mc:AlternateContent>
          <mc:Choice Requires="wps">
            <w:drawing>
              <wp:anchor distT="0" distB="0" distL="0" distR="0" allowOverlap="1" layoutInCell="1" locked="0" behindDoc="0" simplePos="0" relativeHeight="15762432">
                <wp:simplePos x="0" y="0"/>
                <wp:positionH relativeFrom="page">
                  <wp:posOffset>1562100</wp:posOffset>
                </wp:positionH>
                <wp:positionV relativeFrom="paragraph">
                  <wp:posOffset>111760</wp:posOffset>
                </wp:positionV>
                <wp:extent cx="3724910" cy="1964689"/>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3724910" cy="1964689"/>
                          <a:chExt cx="3724910" cy="1964689"/>
                        </a:xfrm>
                      </wpg:grpSpPr>
                      <wps:wsp>
                        <wps:cNvPr id="164" name="Graphic 164"/>
                        <wps:cNvSpPr/>
                        <wps:spPr>
                          <a:xfrm>
                            <a:off x="0" y="4572"/>
                            <a:ext cx="3720465" cy="1960245"/>
                          </a:xfrm>
                          <a:custGeom>
                            <a:avLst/>
                            <a:gdLst/>
                            <a:ahLst/>
                            <a:cxnLst/>
                            <a:rect l="l" t="t" r="r" b="b"/>
                            <a:pathLst>
                              <a:path w="3720465" h="1960245">
                                <a:moveTo>
                                  <a:pt x="39624" y="1920240"/>
                                </a:moveTo>
                                <a:lnTo>
                                  <a:pt x="39624" y="0"/>
                                </a:lnTo>
                              </a:path>
                              <a:path w="3720465" h="1960245">
                                <a:moveTo>
                                  <a:pt x="0" y="1920240"/>
                                </a:moveTo>
                                <a:lnTo>
                                  <a:pt x="39624" y="1920240"/>
                                </a:lnTo>
                              </a:path>
                              <a:path w="3720465" h="1960245">
                                <a:moveTo>
                                  <a:pt x="0" y="1600200"/>
                                </a:moveTo>
                                <a:lnTo>
                                  <a:pt x="39624" y="1600200"/>
                                </a:lnTo>
                              </a:path>
                              <a:path w="3720465" h="1960245">
                                <a:moveTo>
                                  <a:pt x="0" y="1280160"/>
                                </a:moveTo>
                                <a:lnTo>
                                  <a:pt x="39624" y="1280160"/>
                                </a:lnTo>
                              </a:path>
                              <a:path w="3720465" h="1960245">
                                <a:moveTo>
                                  <a:pt x="0" y="960120"/>
                                </a:moveTo>
                                <a:lnTo>
                                  <a:pt x="39624" y="960120"/>
                                </a:lnTo>
                              </a:path>
                              <a:path w="3720465" h="1960245">
                                <a:moveTo>
                                  <a:pt x="0" y="640079"/>
                                </a:moveTo>
                                <a:lnTo>
                                  <a:pt x="39624" y="640079"/>
                                </a:lnTo>
                              </a:path>
                              <a:path w="3720465" h="1960245">
                                <a:moveTo>
                                  <a:pt x="0" y="320040"/>
                                </a:moveTo>
                                <a:lnTo>
                                  <a:pt x="39624" y="320040"/>
                                </a:lnTo>
                              </a:path>
                              <a:path w="3720465" h="1960245">
                                <a:moveTo>
                                  <a:pt x="0" y="0"/>
                                </a:moveTo>
                                <a:lnTo>
                                  <a:pt x="39624" y="0"/>
                                </a:lnTo>
                              </a:path>
                              <a:path w="3720465" h="1960245">
                                <a:moveTo>
                                  <a:pt x="39624" y="1920240"/>
                                </a:moveTo>
                                <a:lnTo>
                                  <a:pt x="3720084" y="1920240"/>
                                </a:lnTo>
                              </a:path>
                              <a:path w="3720465" h="1960245">
                                <a:moveTo>
                                  <a:pt x="39624" y="1920240"/>
                                </a:moveTo>
                                <a:lnTo>
                                  <a:pt x="39624" y="1959864"/>
                                </a:lnTo>
                              </a:path>
                              <a:path w="3720465" h="1960245">
                                <a:moveTo>
                                  <a:pt x="960119" y="1920240"/>
                                </a:moveTo>
                                <a:lnTo>
                                  <a:pt x="960119" y="1959864"/>
                                </a:lnTo>
                              </a:path>
                              <a:path w="3720465" h="1960245">
                                <a:moveTo>
                                  <a:pt x="1880615" y="1920240"/>
                                </a:moveTo>
                                <a:lnTo>
                                  <a:pt x="1880615" y="1959864"/>
                                </a:lnTo>
                              </a:path>
                              <a:path w="3720465" h="1960245">
                                <a:moveTo>
                                  <a:pt x="2799588" y="1920240"/>
                                </a:moveTo>
                                <a:lnTo>
                                  <a:pt x="2799588" y="1959864"/>
                                </a:lnTo>
                              </a:path>
                              <a:path w="3720465" h="1960245">
                                <a:moveTo>
                                  <a:pt x="3720084" y="1920240"/>
                                </a:moveTo>
                                <a:lnTo>
                                  <a:pt x="3720084" y="1959864"/>
                                </a:lnTo>
                              </a:path>
                            </a:pathLst>
                          </a:custGeom>
                          <a:ln w="9144">
                            <a:solidFill>
                              <a:srgbClr val="858585"/>
                            </a:solidFill>
                            <a:prstDash val="solid"/>
                          </a:ln>
                        </wps:spPr>
                        <wps:bodyPr wrap="square" lIns="0" tIns="0" rIns="0" bIns="0" rtlCol="0">
                          <a:prstTxWarp prst="textNoShape">
                            <a:avLst/>
                          </a:prstTxWarp>
                          <a:noAutofit/>
                        </wps:bodyPr>
                      </wps:wsp>
                      <pic:pic>
                        <pic:nvPicPr>
                          <pic:cNvPr id="165" name="Image 165"/>
                          <pic:cNvPicPr/>
                        </pic:nvPicPr>
                        <pic:blipFill>
                          <a:blip r:embed="rId22" cstate="print"/>
                          <a:stretch>
                            <a:fillRect/>
                          </a:stretch>
                        </pic:blipFill>
                        <pic:spPr>
                          <a:xfrm>
                            <a:off x="175260" y="1703451"/>
                            <a:ext cx="98044" cy="97917"/>
                          </a:xfrm>
                          <a:prstGeom prst="rect">
                            <a:avLst/>
                          </a:prstGeom>
                        </pic:spPr>
                      </pic:pic>
                      <pic:pic>
                        <pic:nvPicPr>
                          <pic:cNvPr id="166" name="Image 166"/>
                          <pic:cNvPicPr/>
                        </pic:nvPicPr>
                        <pic:blipFill>
                          <a:blip r:embed="rId23" cstate="print"/>
                          <a:stretch>
                            <a:fillRect/>
                          </a:stretch>
                        </pic:blipFill>
                        <pic:spPr>
                          <a:xfrm>
                            <a:off x="359283" y="1612264"/>
                            <a:ext cx="97917" cy="97917"/>
                          </a:xfrm>
                          <a:prstGeom prst="rect">
                            <a:avLst/>
                          </a:prstGeom>
                        </pic:spPr>
                      </pic:pic>
                      <pic:pic>
                        <pic:nvPicPr>
                          <pic:cNvPr id="167" name="Image 167"/>
                          <pic:cNvPicPr/>
                        </pic:nvPicPr>
                        <pic:blipFill>
                          <a:blip r:embed="rId21" cstate="print"/>
                          <a:stretch>
                            <a:fillRect/>
                          </a:stretch>
                        </pic:blipFill>
                        <pic:spPr>
                          <a:xfrm>
                            <a:off x="543179" y="1516252"/>
                            <a:ext cx="98044" cy="98044"/>
                          </a:xfrm>
                          <a:prstGeom prst="rect">
                            <a:avLst/>
                          </a:prstGeom>
                        </pic:spPr>
                      </pic:pic>
                      <pic:pic>
                        <pic:nvPicPr>
                          <pic:cNvPr id="168" name="Image 168"/>
                          <pic:cNvPicPr/>
                        </pic:nvPicPr>
                        <pic:blipFill>
                          <a:blip r:embed="rId24" cstate="print"/>
                          <a:stretch>
                            <a:fillRect/>
                          </a:stretch>
                        </pic:blipFill>
                        <pic:spPr>
                          <a:xfrm>
                            <a:off x="727201" y="1410716"/>
                            <a:ext cx="97917" cy="98044"/>
                          </a:xfrm>
                          <a:prstGeom prst="rect">
                            <a:avLst/>
                          </a:prstGeom>
                        </pic:spPr>
                      </pic:pic>
                      <pic:pic>
                        <pic:nvPicPr>
                          <pic:cNvPr id="169" name="Image 169"/>
                          <pic:cNvPicPr/>
                        </pic:nvPicPr>
                        <pic:blipFill>
                          <a:blip r:embed="rId25" cstate="print"/>
                          <a:stretch>
                            <a:fillRect/>
                          </a:stretch>
                        </pic:blipFill>
                        <pic:spPr>
                          <a:xfrm>
                            <a:off x="911097" y="1308480"/>
                            <a:ext cx="98044" cy="97916"/>
                          </a:xfrm>
                          <a:prstGeom prst="rect">
                            <a:avLst/>
                          </a:prstGeom>
                        </pic:spPr>
                      </pic:pic>
                      <pic:pic>
                        <pic:nvPicPr>
                          <pic:cNvPr id="170" name="Image 170"/>
                          <pic:cNvPicPr/>
                        </pic:nvPicPr>
                        <pic:blipFill>
                          <a:blip r:embed="rId25" cstate="print"/>
                          <a:stretch>
                            <a:fillRect/>
                          </a:stretch>
                        </pic:blipFill>
                        <pic:spPr>
                          <a:xfrm>
                            <a:off x="1095121" y="1127760"/>
                            <a:ext cx="98044" cy="97917"/>
                          </a:xfrm>
                          <a:prstGeom prst="rect">
                            <a:avLst/>
                          </a:prstGeom>
                        </pic:spPr>
                      </pic:pic>
                      <pic:pic>
                        <pic:nvPicPr>
                          <pic:cNvPr id="171" name="Image 171"/>
                          <pic:cNvPicPr/>
                        </pic:nvPicPr>
                        <pic:blipFill>
                          <a:blip r:embed="rId18" cstate="print"/>
                          <a:stretch>
                            <a:fillRect/>
                          </a:stretch>
                        </pic:blipFill>
                        <pic:spPr>
                          <a:xfrm>
                            <a:off x="1279016" y="1012571"/>
                            <a:ext cx="98044" cy="98044"/>
                          </a:xfrm>
                          <a:prstGeom prst="rect">
                            <a:avLst/>
                          </a:prstGeom>
                        </pic:spPr>
                      </pic:pic>
                      <pic:pic>
                        <pic:nvPicPr>
                          <pic:cNvPr id="172" name="Image 172"/>
                          <pic:cNvPicPr/>
                        </pic:nvPicPr>
                        <pic:blipFill>
                          <a:blip r:embed="rId21" cstate="print"/>
                          <a:stretch>
                            <a:fillRect/>
                          </a:stretch>
                        </pic:blipFill>
                        <pic:spPr>
                          <a:xfrm>
                            <a:off x="1463039" y="907033"/>
                            <a:ext cx="98044" cy="98044"/>
                          </a:xfrm>
                          <a:prstGeom prst="rect">
                            <a:avLst/>
                          </a:prstGeom>
                        </pic:spPr>
                      </pic:pic>
                      <pic:pic>
                        <pic:nvPicPr>
                          <pic:cNvPr id="173" name="Image 173"/>
                          <pic:cNvPicPr/>
                        </pic:nvPicPr>
                        <pic:blipFill>
                          <a:blip r:embed="rId18" cstate="print"/>
                          <a:stretch>
                            <a:fillRect/>
                          </a:stretch>
                        </pic:blipFill>
                        <pic:spPr>
                          <a:xfrm>
                            <a:off x="1646935" y="807847"/>
                            <a:ext cx="98044" cy="98044"/>
                          </a:xfrm>
                          <a:prstGeom prst="rect">
                            <a:avLst/>
                          </a:prstGeom>
                        </pic:spPr>
                      </pic:pic>
                      <pic:pic>
                        <pic:nvPicPr>
                          <pic:cNvPr id="174" name="Image 174"/>
                          <pic:cNvPicPr/>
                        </pic:nvPicPr>
                        <pic:blipFill>
                          <a:blip r:embed="rId26" cstate="print"/>
                          <a:stretch>
                            <a:fillRect/>
                          </a:stretch>
                        </pic:blipFill>
                        <pic:spPr>
                          <a:xfrm>
                            <a:off x="1830958" y="692784"/>
                            <a:ext cx="98044" cy="97917"/>
                          </a:xfrm>
                          <a:prstGeom prst="rect">
                            <a:avLst/>
                          </a:prstGeom>
                        </pic:spPr>
                      </pic:pic>
                      <pic:pic>
                        <pic:nvPicPr>
                          <pic:cNvPr id="175" name="Image 175"/>
                          <pic:cNvPicPr/>
                        </pic:nvPicPr>
                        <pic:blipFill>
                          <a:blip r:embed="rId26" cstate="print"/>
                          <a:stretch>
                            <a:fillRect/>
                          </a:stretch>
                        </pic:blipFill>
                        <pic:spPr>
                          <a:xfrm>
                            <a:off x="2014854" y="606425"/>
                            <a:ext cx="98044" cy="97917"/>
                          </a:xfrm>
                          <a:prstGeom prst="rect">
                            <a:avLst/>
                          </a:prstGeom>
                        </pic:spPr>
                      </pic:pic>
                      <pic:pic>
                        <pic:nvPicPr>
                          <pic:cNvPr id="176" name="Image 176"/>
                          <pic:cNvPicPr/>
                        </pic:nvPicPr>
                        <pic:blipFill>
                          <a:blip r:embed="rId22" cstate="print"/>
                          <a:stretch>
                            <a:fillRect/>
                          </a:stretch>
                        </pic:blipFill>
                        <pic:spPr>
                          <a:xfrm>
                            <a:off x="2198877" y="521716"/>
                            <a:ext cx="98044" cy="97917"/>
                          </a:xfrm>
                          <a:prstGeom prst="rect">
                            <a:avLst/>
                          </a:prstGeom>
                        </pic:spPr>
                      </pic:pic>
                      <pic:pic>
                        <pic:nvPicPr>
                          <pic:cNvPr id="177" name="Image 177"/>
                          <pic:cNvPicPr/>
                        </pic:nvPicPr>
                        <pic:blipFill>
                          <a:blip r:embed="rId27" cstate="print"/>
                          <a:stretch>
                            <a:fillRect/>
                          </a:stretch>
                        </pic:blipFill>
                        <pic:spPr>
                          <a:xfrm>
                            <a:off x="2382901" y="389000"/>
                            <a:ext cx="97917" cy="97917"/>
                          </a:xfrm>
                          <a:prstGeom prst="rect">
                            <a:avLst/>
                          </a:prstGeom>
                        </pic:spPr>
                      </pic:pic>
                      <pic:pic>
                        <pic:nvPicPr>
                          <pic:cNvPr id="178" name="Image 178"/>
                          <pic:cNvPicPr/>
                        </pic:nvPicPr>
                        <pic:blipFill>
                          <a:blip r:embed="rId21" cstate="print"/>
                          <a:stretch>
                            <a:fillRect/>
                          </a:stretch>
                        </pic:blipFill>
                        <pic:spPr>
                          <a:xfrm>
                            <a:off x="2566797" y="312165"/>
                            <a:ext cx="98044" cy="98044"/>
                          </a:xfrm>
                          <a:prstGeom prst="rect">
                            <a:avLst/>
                          </a:prstGeom>
                        </pic:spPr>
                      </pic:pic>
                      <pic:pic>
                        <pic:nvPicPr>
                          <pic:cNvPr id="179" name="Image 179"/>
                          <pic:cNvPicPr/>
                        </pic:nvPicPr>
                        <pic:blipFill>
                          <a:blip r:embed="rId28" cstate="print"/>
                          <a:stretch>
                            <a:fillRect/>
                          </a:stretch>
                        </pic:blipFill>
                        <pic:spPr>
                          <a:xfrm>
                            <a:off x="2750820" y="214629"/>
                            <a:ext cx="97917" cy="98044"/>
                          </a:xfrm>
                          <a:prstGeom prst="rect">
                            <a:avLst/>
                          </a:prstGeom>
                        </pic:spPr>
                      </pic:pic>
                      <pic:pic>
                        <pic:nvPicPr>
                          <pic:cNvPr id="180" name="Image 180"/>
                          <pic:cNvPicPr/>
                        </pic:nvPicPr>
                        <pic:blipFill>
                          <a:blip r:embed="rId29" cstate="print"/>
                          <a:stretch>
                            <a:fillRect/>
                          </a:stretch>
                        </pic:blipFill>
                        <pic:spPr>
                          <a:xfrm>
                            <a:off x="2934716" y="89915"/>
                            <a:ext cx="98044" cy="97917"/>
                          </a:xfrm>
                          <a:prstGeom prst="rect">
                            <a:avLst/>
                          </a:prstGeom>
                        </pic:spPr>
                      </pic:pic>
                      <wps:wsp>
                        <wps:cNvPr id="181" name="Graphic 181"/>
                        <wps:cNvSpPr/>
                        <wps:spPr>
                          <a:xfrm>
                            <a:off x="224027" y="121920"/>
                            <a:ext cx="2760345" cy="1633855"/>
                          </a:xfrm>
                          <a:custGeom>
                            <a:avLst/>
                            <a:gdLst/>
                            <a:ahLst/>
                            <a:cxnLst/>
                            <a:rect l="l" t="t" r="r" b="b"/>
                            <a:pathLst>
                              <a:path w="2760345" h="1633855">
                                <a:moveTo>
                                  <a:pt x="0" y="1633727"/>
                                </a:moveTo>
                                <a:lnTo>
                                  <a:pt x="2759964" y="0"/>
                                </a:lnTo>
                              </a:path>
                            </a:pathLst>
                          </a:custGeom>
                          <a:ln w="9144">
                            <a:solidFill>
                              <a:srgbClr val="000000"/>
                            </a:solidFill>
                            <a:prstDash val="solid"/>
                          </a:ln>
                        </wps:spPr>
                        <wps:bodyPr wrap="square" lIns="0" tIns="0" rIns="0" bIns="0" rtlCol="0">
                          <a:prstTxWarp prst="textNoShape">
                            <a:avLst/>
                          </a:prstTxWarp>
                          <a:noAutofit/>
                        </wps:bodyPr>
                      </wps:wsp>
                      <wps:wsp>
                        <wps:cNvPr id="182" name="Textbox 182"/>
                        <wps:cNvSpPr txBox="1"/>
                        <wps:spPr>
                          <a:xfrm>
                            <a:off x="0" y="0"/>
                            <a:ext cx="3724910" cy="1964689"/>
                          </a:xfrm>
                          <a:prstGeom prst="rect">
                            <a:avLst/>
                          </a:prstGeom>
                        </wps:spPr>
                        <wps:txbx>
                          <w:txbxContent>
                            <w:p>
                              <w:pPr>
                                <w:spacing w:line="240" w:lineRule="auto" w:before="0"/>
                                <w:rPr>
                                  <w:b/>
                                  <w:sz w:val="20"/>
                                </w:rPr>
                              </w:pPr>
                            </w:p>
                            <w:p>
                              <w:pPr>
                                <w:spacing w:line="240" w:lineRule="auto" w:before="193"/>
                                <w:rPr>
                                  <w:b/>
                                  <w:sz w:val="20"/>
                                </w:rPr>
                              </w:pPr>
                            </w:p>
                            <w:p>
                              <w:pPr>
                                <w:spacing w:before="0"/>
                                <w:ind w:left="1426" w:right="3182" w:hanging="324"/>
                                <w:jc w:val="left"/>
                                <w:rPr>
                                  <w:rFonts w:ascii="Calibri" w:hAnsi="Calibri"/>
                                  <w:sz w:val="20"/>
                                </w:rPr>
                              </w:pPr>
                              <w:r>
                                <w:rPr>
                                  <w:rFonts w:ascii="Calibri" w:hAnsi="Calibri"/>
                                  <w:sz w:val="20"/>
                                </w:rPr>
                                <w:t>y</w:t>
                              </w:r>
                              <w:r>
                                <w:rPr>
                                  <w:rFonts w:ascii="Calibri" w:hAnsi="Calibri"/>
                                  <w:spacing w:val="-12"/>
                                  <w:sz w:val="20"/>
                                </w:rPr>
                                <w:t> </w:t>
                              </w:r>
                              <w:r>
                                <w:rPr>
                                  <w:rFonts w:ascii="Calibri" w:hAnsi="Calibri"/>
                                  <w:sz w:val="20"/>
                                </w:rPr>
                                <w:t>=</w:t>
                              </w:r>
                              <w:r>
                                <w:rPr>
                                  <w:rFonts w:ascii="Calibri" w:hAnsi="Calibri"/>
                                  <w:spacing w:val="-11"/>
                                  <w:sz w:val="20"/>
                                </w:rPr>
                                <w:t> </w:t>
                              </w:r>
                              <w:r>
                                <w:rPr>
                                  <w:rFonts w:ascii="Calibri" w:hAnsi="Calibri"/>
                                  <w:sz w:val="20"/>
                                </w:rPr>
                                <w:t>0.068x</w:t>
                              </w:r>
                              <w:r>
                                <w:rPr>
                                  <w:rFonts w:ascii="Calibri" w:hAnsi="Calibri"/>
                                  <w:spacing w:val="-9"/>
                                  <w:sz w:val="20"/>
                                </w:rPr>
                                <w:t> </w:t>
                              </w:r>
                              <w:r>
                                <w:rPr>
                                  <w:rFonts w:ascii="Calibri" w:hAnsi="Calibri"/>
                                  <w:sz w:val="20"/>
                                </w:rPr>
                                <w:t>+</w:t>
                              </w:r>
                              <w:r>
                                <w:rPr>
                                  <w:rFonts w:ascii="Calibri" w:hAnsi="Calibri"/>
                                  <w:spacing w:val="-11"/>
                                  <w:sz w:val="20"/>
                                </w:rPr>
                                <w:t> </w:t>
                              </w:r>
                              <w:r>
                                <w:rPr>
                                  <w:rFonts w:ascii="Calibri" w:hAnsi="Calibri"/>
                                  <w:sz w:val="20"/>
                                </w:rPr>
                                <w:t>0.037 R² = 0.997</w:t>
                              </w:r>
                            </w:p>
                          </w:txbxContent>
                        </wps:txbx>
                        <wps:bodyPr wrap="square" lIns="0" tIns="0" rIns="0" bIns="0" rtlCol="0">
                          <a:noAutofit/>
                        </wps:bodyPr>
                      </wps:wsp>
                    </wpg:wgp>
                  </a:graphicData>
                </a:graphic>
              </wp:anchor>
            </w:drawing>
          </mc:Choice>
          <mc:Fallback>
            <w:pict>
              <v:group style="position:absolute;margin-left:123pt;margin-top:8.8pt;width:293.3pt;height:154.7pt;mso-position-horizontal-relative:page;mso-position-vertical-relative:paragraph;z-index:15762432" id="docshapegroup135" coordorigin="2460,176" coordsize="5866,3094">
                <v:shape style="position:absolute;left:2460;top:183;width:5859;height:3087" id="docshape136" coordorigin="2460,183" coordsize="5859,3087" path="m2522,3207l2522,183m2460,3207l2522,3207m2460,2703l2522,2703m2460,2199l2522,2199m2460,1695l2522,1695m2460,1191l2522,1191m2460,687l2522,687m2460,183l2522,183m2522,3207l8318,3207m2522,3207l2522,3270m3972,3207l3972,3270m5422,3207l5422,3270m6869,3207l6869,3270m8318,3207l8318,3270e" filled="false" stroked="true" strokeweight=".72pt" strokecolor="#858585">
                  <v:path arrowok="t"/>
                  <v:stroke dashstyle="solid"/>
                </v:shape>
                <v:shape style="position:absolute;left:2736;top:2858;width:155;height:155" type="#_x0000_t75" id="docshape137" stroked="false">
                  <v:imagedata r:id="rId22" o:title=""/>
                </v:shape>
                <v:shape style="position:absolute;left:3025;top:2715;width:155;height:155" type="#_x0000_t75" id="docshape138" stroked="false">
                  <v:imagedata r:id="rId23" o:title=""/>
                </v:shape>
                <v:shape style="position:absolute;left:3315;top:2563;width:155;height:155" type="#_x0000_t75" id="docshape139" stroked="false">
                  <v:imagedata r:id="rId21" o:title=""/>
                </v:shape>
                <v:shape style="position:absolute;left:3605;top:2397;width:155;height:155" type="#_x0000_t75" id="docshape140" stroked="false">
                  <v:imagedata r:id="rId24" o:title=""/>
                </v:shape>
                <v:shape style="position:absolute;left:3894;top:2236;width:155;height:155" type="#_x0000_t75" id="docshape141" stroked="false">
                  <v:imagedata r:id="rId25" o:title=""/>
                </v:shape>
                <v:shape style="position:absolute;left:4184;top:1952;width:155;height:155" type="#_x0000_t75" id="docshape142" stroked="false">
                  <v:imagedata r:id="rId25" o:title=""/>
                </v:shape>
                <v:shape style="position:absolute;left:4474;top:1770;width:155;height:155" type="#_x0000_t75" id="docshape143" stroked="false">
                  <v:imagedata r:id="rId18" o:title=""/>
                </v:shape>
                <v:shape style="position:absolute;left:4764;top:1604;width:155;height:155" type="#_x0000_t75" id="docshape144" stroked="false">
                  <v:imagedata r:id="rId21" o:title=""/>
                </v:shape>
                <v:shape style="position:absolute;left:5053;top:1448;width:155;height:155" type="#_x0000_t75" id="docshape145" stroked="false">
                  <v:imagedata r:id="rId18" o:title=""/>
                </v:shape>
                <v:shape style="position:absolute;left:5343;top:1267;width:155;height:155" type="#_x0000_t75" id="docshape146" stroked="false">
                  <v:imagedata r:id="rId26" o:title=""/>
                </v:shape>
                <v:shape style="position:absolute;left:5633;top:1131;width:155;height:155" type="#_x0000_t75" id="docshape147" stroked="false">
                  <v:imagedata r:id="rId26" o:title=""/>
                </v:shape>
                <v:shape style="position:absolute;left:5922;top:997;width:155;height:155" type="#_x0000_t75" id="docshape148" stroked="false">
                  <v:imagedata r:id="rId22" o:title=""/>
                </v:shape>
                <v:shape style="position:absolute;left:6212;top:788;width:155;height:155" type="#_x0000_t75" id="docshape149" stroked="false">
                  <v:imagedata r:id="rId27" o:title=""/>
                </v:shape>
                <v:shape style="position:absolute;left:6502;top:667;width:155;height:155" type="#_x0000_t75" id="docshape150" stroked="false">
                  <v:imagedata r:id="rId21" o:title=""/>
                </v:shape>
                <v:shape style="position:absolute;left:6792;top:514;width:155;height:155" type="#_x0000_t75" id="docshape151" stroked="false">
                  <v:imagedata r:id="rId28" o:title=""/>
                </v:shape>
                <v:shape style="position:absolute;left:7081;top:317;width:155;height:155" type="#_x0000_t75" id="docshape152" stroked="false">
                  <v:imagedata r:id="rId29" o:title=""/>
                </v:shape>
                <v:line style="position:absolute" from="2813,2941" to="7159,368" stroked="true" strokeweight=".72pt" strokecolor="#000000">
                  <v:stroke dashstyle="solid"/>
                </v:line>
                <v:shape style="position:absolute;left:2460;top:176;width:5866;height:3094" type="#_x0000_t202" id="docshape153" filled="false" stroked="false">
                  <v:textbox inset="0,0,0,0">
                    <w:txbxContent>
                      <w:p>
                        <w:pPr>
                          <w:spacing w:line="240" w:lineRule="auto" w:before="0"/>
                          <w:rPr>
                            <w:b/>
                            <w:sz w:val="20"/>
                          </w:rPr>
                        </w:pPr>
                      </w:p>
                      <w:p>
                        <w:pPr>
                          <w:spacing w:line="240" w:lineRule="auto" w:before="193"/>
                          <w:rPr>
                            <w:b/>
                            <w:sz w:val="20"/>
                          </w:rPr>
                        </w:pPr>
                      </w:p>
                      <w:p>
                        <w:pPr>
                          <w:spacing w:before="0"/>
                          <w:ind w:left="1426" w:right="3182" w:hanging="324"/>
                          <w:jc w:val="left"/>
                          <w:rPr>
                            <w:rFonts w:ascii="Calibri" w:hAnsi="Calibri"/>
                            <w:sz w:val="20"/>
                          </w:rPr>
                        </w:pPr>
                        <w:r>
                          <w:rPr>
                            <w:rFonts w:ascii="Calibri" w:hAnsi="Calibri"/>
                            <w:sz w:val="20"/>
                          </w:rPr>
                          <w:t>y</w:t>
                        </w:r>
                        <w:r>
                          <w:rPr>
                            <w:rFonts w:ascii="Calibri" w:hAnsi="Calibri"/>
                            <w:spacing w:val="-12"/>
                            <w:sz w:val="20"/>
                          </w:rPr>
                          <w:t> </w:t>
                        </w:r>
                        <w:r>
                          <w:rPr>
                            <w:rFonts w:ascii="Calibri" w:hAnsi="Calibri"/>
                            <w:sz w:val="20"/>
                          </w:rPr>
                          <w:t>=</w:t>
                        </w:r>
                        <w:r>
                          <w:rPr>
                            <w:rFonts w:ascii="Calibri" w:hAnsi="Calibri"/>
                            <w:spacing w:val="-11"/>
                            <w:sz w:val="20"/>
                          </w:rPr>
                          <w:t> </w:t>
                        </w:r>
                        <w:r>
                          <w:rPr>
                            <w:rFonts w:ascii="Calibri" w:hAnsi="Calibri"/>
                            <w:sz w:val="20"/>
                          </w:rPr>
                          <w:t>0.068x</w:t>
                        </w:r>
                        <w:r>
                          <w:rPr>
                            <w:rFonts w:ascii="Calibri" w:hAnsi="Calibri"/>
                            <w:spacing w:val="-9"/>
                            <w:sz w:val="20"/>
                          </w:rPr>
                          <w:t> </w:t>
                        </w:r>
                        <w:r>
                          <w:rPr>
                            <w:rFonts w:ascii="Calibri" w:hAnsi="Calibri"/>
                            <w:sz w:val="20"/>
                          </w:rPr>
                          <w:t>+</w:t>
                        </w:r>
                        <w:r>
                          <w:rPr>
                            <w:rFonts w:ascii="Calibri" w:hAnsi="Calibri"/>
                            <w:spacing w:val="-11"/>
                            <w:sz w:val="20"/>
                          </w:rPr>
                          <w:t> </w:t>
                        </w:r>
                        <w:r>
                          <w:rPr>
                            <w:rFonts w:ascii="Calibri" w:hAnsi="Calibri"/>
                            <w:sz w:val="20"/>
                          </w:rPr>
                          <w:t>0.037 R² = 0.997</w:t>
                        </w:r>
                      </w:p>
                    </w:txbxContent>
                  </v:textbox>
                  <w10:wrap type="none"/>
                </v:shape>
                <w10:wrap type="none"/>
              </v:group>
            </w:pict>
          </mc:Fallback>
        </mc:AlternateContent>
      </w:r>
      <w:r>
        <w:rPr>
          <w:rFonts w:ascii="Calibri"/>
          <w:spacing w:val="-5"/>
          <w:sz w:val="20"/>
        </w:rPr>
        <w:t>1.2</w:t>
      </w:r>
    </w:p>
    <w:p>
      <w:pPr>
        <w:pStyle w:val="BodyText"/>
        <w:spacing w:before="16"/>
        <w:rPr>
          <w:rFonts w:ascii="Calibri"/>
          <w:sz w:val="20"/>
        </w:rPr>
      </w:pPr>
    </w:p>
    <w:p>
      <w:pPr>
        <w:spacing w:before="0"/>
        <w:ind w:left="1996" w:right="0" w:firstLine="0"/>
        <w:jc w:val="left"/>
        <w:rPr>
          <w:rFonts w:ascii="Calibri"/>
          <w:sz w:val="20"/>
        </w:rPr>
      </w:pPr>
      <w:r>
        <w:rPr>
          <w:rFonts w:ascii="Calibri"/>
          <w:spacing w:val="-10"/>
          <w:sz w:val="20"/>
        </w:rPr>
        <w:t>1</w:t>
      </w:r>
    </w:p>
    <w:p>
      <w:pPr>
        <w:pStyle w:val="BodyText"/>
        <w:spacing w:before="15"/>
        <w:rPr>
          <w:rFonts w:ascii="Calibri"/>
          <w:sz w:val="20"/>
        </w:rPr>
      </w:pPr>
    </w:p>
    <w:p>
      <w:pPr>
        <w:spacing w:before="1"/>
        <w:ind w:left="1844" w:right="0" w:firstLine="0"/>
        <w:jc w:val="left"/>
        <w:rPr>
          <w:rFonts w:ascii="Calibri"/>
          <w:sz w:val="20"/>
        </w:rPr>
      </w:pPr>
      <w:r>
        <w:rPr/>
        <mc:AlternateContent>
          <mc:Choice Requires="wps">
            <w:drawing>
              <wp:anchor distT="0" distB="0" distL="0" distR="0" allowOverlap="1" layoutInCell="1" locked="0" behindDoc="0" simplePos="0" relativeHeight="15762944">
                <wp:simplePos x="0" y="0"/>
                <wp:positionH relativeFrom="page">
                  <wp:posOffset>1086332</wp:posOffset>
                </wp:positionH>
                <wp:positionV relativeFrom="paragraph">
                  <wp:posOffset>86440</wp:posOffset>
                </wp:positionV>
                <wp:extent cx="152400" cy="64198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52400" cy="641985"/>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Absorvance</w:t>
                            </w:r>
                          </w:p>
                        </w:txbxContent>
                      </wps:txbx>
                      <wps:bodyPr wrap="square" lIns="0" tIns="0" rIns="0" bIns="0" rtlCol="0" vert="vert270">
                        <a:noAutofit/>
                      </wps:bodyPr>
                    </wps:wsp>
                  </a:graphicData>
                </a:graphic>
              </wp:anchor>
            </w:drawing>
          </mc:Choice>
          <mc:Fallback>
            <w:pict>
              <v:shape style="position:absolute;margin-left:85.538002pt;margin-top:6.806362pt;width:12pt;height:50.55pt;mso-position-horizontal-relative:page;mso-position-vertical-relative:paragraph;z-index:15762944" type="#_x0000_t202" id="docshape15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Absorvance</w:t>
                      </w:r>
                    </w:p>
                  </w:txbxContent>
                </v:textbox>
                <w10:wrap type="none"/>
              </v:shape>
            </w:pict>
          </mc:Fallback>
        </mc:AlternateContent>
      </w:r>
      <w:r>
        <w:rPr>
          <w:rFonts w:ascii="Calibri"/>
          <w:spacing w:val="-5"/>
          <w:sz w:val="20"/>
        </w:rPr>
        <w:t>0.8</w:t>
      </w:r>
    </w:p>
    <w:p>
      <w:pPr>
        <w:pStyle w:val="BodyText"/>
        <w:spacing w:before="16"/>
        <w:rPr>
          <w:rFonts w:ascii="Calibri"/>
          <w:sz w:val="20"/>
        </w:rPr>
      </w:pPr>
    </w:p>
    <w:p>
      <w:pPr>
        <w:spacing w:before="0"/>
        <w:ind w:left="1844" w:right="0" w:firstLine="0"/>
        <w:jc w:val="left"/>
        <w:rPr>
          <w:rFonts w:ascii="Calibri"/>
          <w:sz w:val="20"/>
        </w:rPr>
      </w:pPr>
      <w:r>
        <w:rPr>
          <w:rFonts w:ascii="Calibri"/>
          <w:spacing w:val="-5"/>
          <w:sz w:val="20"/>
        </w:rPr>
        <w:t>0.6</w:t>
      </w:r>
    </w:p>
    <w:p>
      <w:pPr>
        <w:pStyle w:val="BodyText"/>
        <w:spacing w:before="15"/>
        <w:rPr>
          <w:rFonts w:ascii="Calibri"/>
          <w:sz w:val="20"/>
        </w:rPr>
      </w:pPr>
    </w:p>
    <w:p>
      <w:pPr>
        <w:spacing w:before="1"/>
        <w:ind w:left="1844" w:right="0" w:firstLine="0"/>
        <w:jc w:val="left"/>
        <w:rPr>
          <w:rFonts w:ascii="Calibri"/>
          <w:sz w:val="20"/>
        </w:rPr>
      </w:pPr>
      <w:r>
        <w:rPr>
          <w:rFonts w:ascii="Calibri"/>
          <w:spacing w:val="-5"/>
          <w:sz w:val="20"/>
        </w:rPr>
        <w:t>0.4</w:t>
      </w:r>
    </w:p>
    <w:p>
      <w:pPr>
        <w:pStyle w:val="BodyText"/>
        <w:spacing w:before="15"/>
        <w:rPr>
          <w:rFonts w:ascii="Calibri"/>
          <w:sz w:val="20"/>
        </w:rPr>
      </w:pPr>
    </w:p>
    <w:p>
      <w:pPr>
        <w:spacing w:before="0"/>
        <w:ind w:left="1844" w:right="0" w:firstLine="0"/>
        <w:jc w:val="left"/>
        <w:rPr>
          <w:rFonts w:ascii="Calibri"/>
          <w:sz w:val="20"/>
        </w:rPr>
      </w:pPr>
      <w:r>
        <w:rPr>
          <w:rFonts w:ascii="Calibri"/>
          <w:spacing w:val="-5"/>
          <w:sz w:val="20"/>
        </w:rPr>
        <w:t>0.2</w:t>
      </w:r>
    </w:p>
    <w:p>
      <w:pPr>
        <w:pStyle w:val="BodyText"/>
        <w:spacing w:before="16"/>
        <w:rPr>
          <w:rFonts w:ascii="Calibri"/>
          <w:sz w:val="20"/>
        </w:rPr>
      </w:pPr>
    </w:p>
    <w:p>
      <w:pPr>
        <w:spacing w:before="0"/>
        <w:ind w:left="1996" w:right="0" w:firstLine="0"/>
        <w:jc w:val="left"/>
        <w:rPr>
          <w:rFonts w:ascii="Calibri"/>
          <w:sz w:val="20"/>
        </w:rPr>
      </w:pPr>
      <w:r>
        <w:rPr>
          <w:rFonts w:ascii="Calibri"/>
          <w:spacing w:val="-10"/>
          <w:sz w:val="20"/>
        </w:rPr>
        <w:t>0</w:t>
      </w:r>
    </w:p>
    <w:p>
      <w:pPr>
        <w:tabs>
          <w:tab w:pos="3681" w:val="left" w:leader="none"/>
          <w:tab w:pos="5080" w:val="left" w:leader="none"/>
          <w:tab w:pos="6530" w:val="left" w:leader="none"/>
          <w:tab w:pos="7979" w:val="left" w:leader="none"/>
        </w:tabs>
        <w:spacing w:before="74"/>
        <w:ind w:left="2233" w:right="0" w:firstLine="0"/>
        <w:jc w:val="left"/>
        <w:rPr>
          <w:rFonts w:ascii="Calibri"/>
          <w:sz w:val="20"/>
        </w:rPr>
      </w:pPr>
      <w:r>
        <w:rPr>
          <w:rFonts w:ascii="Calibri"/>
          <w:spacing w:val="-10"/>
          <w:sz w:val="20"/>
        </w:rPr>
        <w:t>0</w:t>
      </w:r>
      <w:r>
        <w:rPr>
          <w:rFonts w:ascii="Calibri"/>
          <w:sz w:val="20"/>
        </w:rPr>
        <w:tab/>
      </w:r>
      <w:r>
        <w:rPr>
          <w:rFonts w:ascii="Calibri"/>
          <w:spacing w:val="-10"/>
          <w:sz w:val="20"/>
        </w:rPr>
        <w:t>5</w:t>
      </w:r>
      <w:r>
        <w:rPr>
          <w:rFonts w:ascii="Calibri"/>
          <w:sz w:val="20"/>
        </w:rPr>
        <w:tab/>
      </w:r>
      <w:r>
        <w:rPr>
          <w:rFonts w:ascii="Calibri"/>
          <w:spacing w:val="-5"/>
          <w:sz w:val="20"/>
        </w:rPr>
        <w:t>10</w:t>
      </w:r>
      <w:r>
        <w:rPr>
          <w:rFonts w:ascii="Calibri"/>
          <w:sz w:val="20"/>
        </w:rPr>
        <w:tab/>
      </w:r>
      <w:r>
        <w:rPr>
          <w:rFonts w:ascii="Calibri"/>
          <w:spacing w:val="-5"/>
          <w:sz w:val="20"/>
        </w:rPr>
        <w:t>15</w:t>
      </w:r>
      <w:r>
        <w:rPr>
          <w:rFonts w:ascii="Calibri"/>
          <w:sz w:val="20"/>
        </w:rPr>
        <w:tab/>
      </w:r>
      <w:r>
        <w:rPr>
          <w:rFonts w:ascii="Calibri"/>
          <w:spacing w:val="-5"/>
          <w:sz w:val="20"/>
        </w:rPr>
        <w:t>20</w:t>
      </w:r>
    </w:p>
    <w:p>
      <w:pPr>
        <w:spacing w:before="151"/>
        <w:ind w:left="0" w:right="1635" w:firstLine="0"/>
        <w:jc w:val="center"/>
        <w:rPr>
          <w:rFonts w:ascii="Calibri" w:hAnsi="Calibri"/>
          <w:b/>
          <w:sz w:val="20"/>
        </w:rPr>
      </w:pPr>
      <w:r>
        <w:rPr>
          <w:rFonts w:ascii="Calibri" w:hAnsi="Calibri"/>
          <w:b/>
          <w:sz w:val="20"/>
        </w:rPr>
        <w:t>Concentration</w:t>
      </w:r>
      <w:r>
        <w:rPr>
          <w:rFonts w:ascii="Calibri" w:hAnsi="Calibri"/>
          <w:b/>
          <w:spacing w:val="-12"/>
          <w:sz w:val="20"/>
        </w:rPr>
        <w:t> </w:t>
      </w:r>
      <w:r>
        <w:rPr>
          <w:rFonts w:ascii="Calibri" w:hAnsi="Calibri"/>
          <w:b/>
          <w:sz w:val="20"/>
        </w:rPr>
        <w:t>in</w:t>
      </w:r>
      <w:r>
        <w:rPr>
          <w:rFonts w:ascii="Calibri" w:hAnsi="Calibri"/>
          <w:b/>
          <w:spacing w:val="-6"/>
          <w:sz w:val="20"/>
        </w:rPr>
        <w:t> </w:t>
      </w:r>
      <w:r>
        <w:rPr>
          <w:rFonts w:ascii="Calibri" w:hAnsi="Calibri"/>
          <w:b/>
          <w:spacing w:val="-4"/>
          <w:sz w:val="20"/>
        </w:rPr>
        <w:t>μg/ml</w:t>
      </w:r>
    </w:p>
    <w:p>
      <w:pPr>
        <w:spacing w:before="247"/>
        <w:ind w:left="1200" w:right="0" w:firstLine="0"/>
        <w:jc w:val="left"/>
        <w:rPr>
          <w:b/>
          <w:sz w:val="24"/>
        </w:rPr>
      </w:pPr>
      <w:r>
        <w:rPr>
          <w:b/>
          <w:sz w:val="24"/>
        </w:rPr>
        <w:t>Figure</w:t>
      </w:r>
      <w:r>
        <w:rPr>
          <w:b/>
          <w:spacing w:val="-4"/>
          <w:sz w:val="24"/>
        </w:rPr>
        <w:t> </w:t>
      </w:r>
      <w:r>
        <w:rPr>
          <w:b/>
          <w:sz w:val="24"/>
        </w:rPr>
        <w:t>4.6:</w:t>
      </w:r>
      <w:r>
        <w:rPr>
          <w:b/>
          <w:spacing w:val="-2"/>
          <w:sz w:val="24"/>
        </w:rPr>
        <w:t> </w:t>
      </w:r>
      <w:r>
        <w:rPr>
          <w:b/>
          <w:sz w:val="24"/>
        </w:rPr>
        <w:t>Calibration curve</w:t>
      </w:r>
      <w:r>
        <w:rPr>
          <w:b/>
          <w:spacing w:val="-2"/>
          <w:sz w:val="24"/>
        </w:rPr>
        <w:t> </w:t>
      </w:r>
      <w:r>
        <w:rPr>
          <w:b/>
          <w:sz w:val="24"/>
        </w:rPr>
        <w:t>of isoniazid</w:t>
      </w:r>
      <w:r>
        <w:rPr>
          <w:b/>
          <w:spacing w:val="1"/>
          <w:sz w:val="24"/>
        </w:rPr>
        <w:t> </w:t>
      </w:r>
      <w:r>
        <w:rPr>
          <w:b/>
          <w:sz w:val="24"/>
        </w:rPr>
        <w:t>solution</w:t>
      </w:r>
      <w:r>
        <w:rPr>
          <w:b/>
          <w:spacing w:val="-1"/>
          <w:sz w:val="24"/>
        </w:rPr>
        <w:t> </w:t>
      </w:r>
      <w:r>
        <w:rPr>
          <w:b/>
          <w:sz w:val="24"/>
        </w:rPr>
        <w:t>in </w:t>
      </w:r>
      <w:r>
        <w:rPr>
          <w:b/>
          <w:spacing w:val="-2"/>
          <w:sz w:val="24"/>
        </w:rPr>
        <w:t>paraaminotoluidine.</w:t>
      </w:r>
    </w:p>
    <w:p>
      <w:pPr>
        <w:spacing w:after="0"/>
        <w:jc w:val="left"/>
        <w:rPr>
          <w:sz w:val="24"/>
        </w:rPr>
        <w:sectPr>
          <w:pgSz w:w="12240" w:h="15840"/>
          <w:pgMar w:header="0" w:footer="1015" w:top="1480" w:bottom="1200" w:left="240" w:right="0"/>
        </w:sectPr>
      </w:pPr>
    </w:p>
    <w:p>
      <w:pPr>
        <w:spacing w:line="254" w:lineRule="auto" w:before="76"/>
        <w:ind w:left="1260" w:right="4180" w:hanging="60"/>
        <w:jc w:val="left"/>
        <w:rPr>
          <w:b/>
          <w:sz w:val="24"/>
        </w:rPr>
      </w:pPr>
      <w:r>
        <w:rPr>
          <w:b/>
          <w:sz w:val="24"/>
        </w:rPr>
        <w:t>Table</w:t>
      </w:r>
      <w:r>
        <w:rPr>
          <w:b/>
          <w:spacing w:val="-6"/>
          <w:sz w:val="24"/>
        </w:rPr>
        <w:t> </w:t>
      </w:r>
      <w:r>
        <w:rPr>
          <w:b/>
          <w:sz w:val="24"/>
        </w:rPr>
        <w:t>4.7:</w:t>
      </w:r>
      <w:r>
        <w:rPr>
          <w:b/>
          <w:spacing w:val="-6"/>
          <w:sz w:val="24"/>
        </w:rPr>
        <w:t> </w:t>
      </w:r>
      <w:r>
        <w:rPr>
          <w:b/>
          <w:sz w:val="24"/>
        </w:rPr>
        <w:t>Validation</w:t>
      </w:r>
      <w:r>
        <w:rPr>
          <w:b/>
          <w:spacing w:val="-4"/>
          <w:sz w:val="24"/>
        </w:rPr>
        <w:t> </w:t>
      </w:r>
      <w:r>
        <w:rPr>
          <w:b/>
          <w:sz w:val="24"/>
        </w:rPr>
        <w:t>parameters</w:t>
      </w:r>
      <w:r>
        <w:rPr>
          <w:b/>
          <w:spacing w:val="-5"/>
          <w:sz w:val="24"/>
        </w:rPr>
        <w:t> </w:t>
      </w:r>
      <w:r>
        <w:rPr>
          <w:b/>
          <w:sz w:val="24"/>
        </w:rPr>
        <w:t>for</w:t>
      </w:r>
      <w:r>
        <w:rPr>
          <w:b/>
          <w:spacing w:val="-6"/>
          <w:sz w:val="24"/>
        </w:rPr>
        <w:t> </w:t>
      </w:r>
      <w:r>
        <w:rPr>
          <w:b/>
          <w:sz w:val="24"/>
        </w:rPr>
        <w:t>calorimetric</w:t>
      </w:r>
      <w:r>
        <w:rPr>
          <w:b/>
          <w:spacing w:val="-3"/>
          <w:sz w:val="24"/>
        </w:rPr>
        <w:t> </w:t>
      </w:r>
      <w:r>
        <w:rPr>
          <w:b/>
          <w:sz w:val="24"/>
        </w:rPr>
        <w:t>methods</w:t>
      </w:r>
      <w:r>
        <w:rPr>
          <w:b/>
          <w:spacing w:val="-5"/>
          <w:sz w:val="24"/>
        </w:rPr>
        <w:t> </w:t>
      </w:r>
      <w:r>
        <w:rPr>
          <w:b/>
          <w:sz w:val="24"/>
        </w:rPr>
        <w:t>using 2,4-dinitrophenylhydrazine and by diazotization.</w:t>
      </w:r>
    </w:p>
    <w:p>
      <w:pPr>
        <w:pStyle w:val="BodyText"/>
        <w:spacing w:before="2"/>
        <w:rPr>
          <w:b/>
          <w:sz w:val="14"/>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3"/>
        <w:gridCol w:w="1822"/>
        <w:gridCol w:w="1883"/>
        <w:gridCol w:w="3654"/>
      </w:tblGrid>
      <w:tr>
        <w:trPr>
          <w:trHeight w:val="584" w:hRule="atLeast"/>
        </w:trPr>
        <w:tc>
          <w:tcPr>
            <w:tcW w:w="2233" w:type="dxa"/>
            <w:tcBorders>
              <w:top w:val="single" w:sz="8" w:space="0" w:color="000000"/>
              <w:bottom w:val="single" w:sz="8" w:space="0" w:color="000000"/>
            </w:tcBorders>
          </w:tcPr>
          <w:p>
            <w:pPr>
              <w:pStyle w:val="TableParagraph"/>
              <w:spacing w:line="272" w:lineRule="exact"/>
              <w:ind w:left="122"/>
              <w:rPr>
                <w:b/>
                <w:sz w:val="24"/>
              </w:rPr>
            </w:pPr>
            <w:r>
              <w:rPr>
                <w:b/>
                <w:spacing w:val="-2"/>
                <w:sz w:val="24"/>
              </w:rPr>
              <w:t>Parametr</w:t>
            </w:r>
          </w:p>
        </w:tc>
        <w:tc>
          <w:tcPr>
            <w:tcW w:w="1822" w:type="dxa"/>
            <w:tcBorders>
              <w:top w:val="single" w:sz="8" w:space="0" w:color="000000"/>
              <w:bottom w:val="single" w:sz="8" w:space="0" w:color="000000"/>
            </w:tcBorders>
          </w:tcPr>
          <w:p>
            <w:pPr>
              <w:pStyle w:val="TableParagraph"/>
              <w:spacing w:line="272" w:lineRule="exact"/>
              <w:ind w:left="369"/>
              <w:rPr>
                <w:b/>
                <w:sz w:val="24"/>
              </w:rPr>
            </w:pPr>
            <w:r>
              <w:rPr>
                <w:b/>
                <w:spacing w:val="-2"/>
                <w:sz w:val="24"/>
              </w:rPr>
              <w:t>Hydrazine</w:t>
            </w:r>
          </w:p>
        </w:tc>
        <w:tc>
          <w:tcPr>
            <w:tcW w:w="1883" w:type="dxa"/>
            <w:tcBorders>
              <w:top w:val="single" w:sz="8" w:space="0" w:color="000000"/>
              <w:bottom w:val="single" w:sz="8" w:space="0" w:color="000000"/>
            </w:tcBorders>
          </w:tcPr>
          <w:p>
            <w:pPr>
              <w:pStyle w:val="TableParagraph"/>
              <w:spacing w:line="272" w:lineRule="exact"/>
              <w:ind w:left="373"/>
              <w:rPr>
                <w:b/>
                <w:sz w:val="24"/>
              </w:rPr>
            </w:pPr>
            <w:r>
              <w:rPr>
                <w:b/>
                <w:spacing w:val="-2"/>
                <w:sz w:val="24"/>
              </w:rPr>
              <w:t>Paratoluidine</w:t>
            </w:r>
          </w:p>
        </w:tc>
        <w:tc>
          <w:tcPr>
            <w:tcW w:w="3654" w:type="dxa"/>
            <w:tcBorders>
              <w:top w:val="single" w:sz="8" w:space="0" w:color="000000"/>
              <w:bottom w:val="single" w:sz="8" w:space="0" w:color="000000"/>
            </w:tcBorders>
          </w:tcPr>
          <w:p>
            <w:pPr>
              <w:pStyle w:val="TableParagraph"/>
              <w:spacing w:line="272" w:lineRule="exact"/>
              <w:ind w:left="108"/>
              <w:rPr>
                <w:b/>
                <w:sz w:val="24"/>
              </w:rPr>
            </w:pPr>
            <w:r>
              <w:rPr>
                <w:b/>
                <w:spacing w:val="-2"/>
                <w:sz w:val="24"/>
              </w:rPr>
              <w:t>Acceptable</w:t>
            </w:r>
          </w:p>
          <w:p>
            <w:pPr>
              <w:pStyle w:val="TableParagraph"/>
              <w:spacing w:line="276" w:lineRule="exact" w:before="17"/>
              <w:ind w:left="108"/>
              <w:rPr>
                <w:b/>
                <w:sz w:val="24"/>
              </w:rPr>
            </w:pPr>
            <w:r>
              <w:rPr>
                <w:b/>
                <w:spacing w:val="-2"/>
                <w:sz w:val="24"/>
              </w:rPr>
              <w:t>limit</w:t>
            </w:r>
          </w:p>
        </w:tc>
      </w:tr>
      <w:tr>
        <w:trPr>
          <w:trHeight w:val="360" w:hRule="atLeast"/>
        </w:trPr>
        <w:tc>
          <w:tcPr>
            <w:tcW w:w="2233" w:type="dxa"/>
            <w:tcBorders>
              <w:top w:val="single" w:sz="8" w:space="0" w:color="000000"/>
            </w:tcBorders>
          </w:tcPr>
          <w:p>
            <w:pPr>
              <w:pStyle w:val="TableParagraph"/>
              <w:spacing w:line="268" w:lineRule="exact"/>
              <w:ind w:left="122"/>
              <w:rPr>
                <w:sz w:val="24"/>
              </w:rPr>
            </w:pPr>
            <w:r>
              <w:rPr>
                <w:sz w:val="24"/>
              </w:rPr>
              <w:t>Precision</w:t>
            </w:r>
            <w:r>
              <w:rPr>
                <w:spacing w:val="-2"/>
                <w:sz w:val="24"/>
              </w:rPr>
              <w:t> </w:t>
            </w:r>
            <w:r>
              <w:rPr>
                <w:sz w:val="24"/>
              </w:rPr>
              <w:t>(%</w:t>
            </w:r>
            <w:r>
              <w:rPr>
                <w:spacing w:val="-3"/>
                <w:sz w:val="24"/>
              </w:rPr>
              <w:t> </w:t>
            </w:r>
            <w:r>
              <w:rPr>
                <w:spacing w:val="-5"/>
                <w:sz w:val="24"/>
              </w:rPr>
              <w:t>CV)</w:t>
            </w:r>
          </w:p>
        </w:tc>
        <w:tc>
          <w:tcPr>
            <w:tcW w:w="1822" w:type="dxa"/>
            <w:tcBorders>
              <w:top w:val="single" w:sz="8" w:space="0" w:color="000000"/>
            </w:tcBorders>
          </w:tcPr>
          <w:p>
            <w:pPr>
              <w:pStyle w:val="TableParagraph"/>
              <w:spacing w:line="268" w:lineRule="exact"/>
              <w:ind w:left="369"/>
              <w:rPr>
                <w:sz w:val="24"/>
              </w:rPr>
            </w:pPr>
            <w:r>
              <w:rPr>
                <w:spacing w:val="-2"/>
                <w:sz w:val="24"/>
              </w:rPr>
              <w:t>1.570</w:t>
            </w:r>
          </w:p>
        </w:tc>
        <w:tc>
          <w:tcPr>
            <w:tcW w:w="1883" w:type="dxa"/>
            <w:tcBorders>
              <w:top w:val="single" w:sz="8" w:space="0" w:color="000000"/>
            </w:tcBorders>
          </w:tcPr>
          <w:p>
            <w:pPr>
              <w:pStyle w:val="TableParagraph"/>
              <w:spacing w:line="268" w:lineRule="exact"/>
              <w:ind w:left="373"/>
              <w:rPr>
                <w:sz w:val="24"/>
              </w:rPr>
            </w:pPr>
            <w:r>
              <w:rPr>
                <w:spacing w:val="-2"/>
                <w:sz w:val="24"/>
              </w:rPr>
              <w:t>0.182</w:t>
            </w:r>
          </w:p>
        </w:tc>
        <w:tc>
          <w:tcPr>
            <w:tcW w:w="3654" w:type="dxa"/>
            <w:tcBorders>
              <w:top w:val="single" w:sz="8" w:space="0" w:color="000000"/>
            </w:tcBorders>
          </w:tcPr>
          <w:p>
            <w:pPr>
              <w:pStyle w:val="TableParagraph"/>
              <w:spacing w:line="268" w:lineRule="exact"/>
              <w:ind w:left="108"/>
              <w:rPr>
                <w:sz w:val="24"/>
              </w:rPr>
            </w:pPr>
            <w:r>
              <w:rPr>
                <w:sz w:val="24"/>
              </w:rPr>
              <w:t>&lt;</w:t>
            </w:r>
            <w:r>
              <w:rPr>
                <w:spacing w:val="-1"/>
                <w:sz w:val="24"/>
              </w:rPr>
              <w:t> </w:t>
            </w:r>
            <w:r>
              <w:rPr>
                <w:sz w:val="24"/>
              </w:rPr>
              <w:t>15 </w:t>
            </w:r>
            <w:r>
              <w:rPr>
                <w:spacing w:val="-10"/>
                <w:sz w:val="24"/>
              </w:rPr>
              <w:t>%</w:t>
            </w:r>
          </w:p>
        </w:tc>
      </w:tr>
      <w:tr>
        <w:trPr>
          <w:trHeight w:val="452" w:hRule="atLeast"/>
        </w:trPr>
        <w:tc>
          <w:tcPr>
            <w:tcW w:w="2233" w:type="dxa"/>
          </w:tcPr>
          <w:p>
            <w:pPr>
              <w:pStyle w:val="TableParagraph"/>
              <w:spacing w:line="240" w:lineRule="auto" w:before="82"/>
              <w:ind w:left="122"/>
              <w:rPr>
                <w:sz w:val="24"/>
              </w:rPr>
            </w:pPr>
            <w:r>
              <w:rPr>
                <w:sz w:val="24"/>
              </w:rPr>
              <w:t>Accuracy</w:t>
            </w:r>
            <w:r>
              <w:rPr>
                <w:spacing w:val="-5"/>
                <w:sz w:val="24"/>
              </w:rPr>
              <w:t> </w:t>
            </w:r>
            <w:r>
              <w:rPr>
                <w:sz w:val="24"/>
              </w:rPr>
              <w:t>(</w:t>
            </w:r>
            <w:r>
              <w:rPr>
                <w:spacing w:val="1"/>
                <w:sz w:val="24"/>
              </w:rPr>
              <w:t> </w:t>
            </w:r>
            <w:r>
              <w:rPr>
                <w:sz w:val="24"/>
              </w:rPr>
              <w:t>%</w:t>
            </w:r>
            <w:r>
              <w:rPr>
                <w:spacing w:val="-1"/>
                <w:sz w:val="24"/>
              </w:rPr>
              <w:t> </w:t>
            </w:r>
            <w:r>
              <w:rPr>
                <w:sz w:val="24"/>
              </w:rPr>
              <w:t>Er</w:t>
            </w:r>
            <w:r>
              <w:rPr>
                <w:spacing w:val="-1"/>
                <w:sz w:val="24"/>
              </w:rPr>
              <w:t> </w:t>
            </w:r>
            <w:r>
              <w:rPr>
                <w:spacing w:val="-10"/>
                <w:sz w:val="24"/>
              </w:rPr>
              <w:t>)</w:t>
            </w:r>
          </w:p>
        </w:tc>
        <w:tc>
          <w:tcPr>
            <w:tcW w:w="1822" w:type="dxa"/>
          </w:tcPr>
          <w:p>
            <w:pPr>
              <w:pStyle w:val="TableParagraph"/>
              <w:spacing w:line="240" w:lineRule="auto" w:before="82"/>
              <w:ind w:left="369"/>
              <w:rPr>
                <w:sz w:val="24"/>
              </w:rPr>
            </w:pPr>
            <w:r>
              <w:rPr>
                <w:spacing w:val="-2"/>
                <w:sz w:val="24"/>
              </w:rPr>
              <w:t>0.328</w:t>
            </w:r>
          </w:p>
        </w:tc>
        <w:tc>
          <w:tcPr>
            <w:tcW w:w="1883" w:type="dxa"/>
          </w:tcPr>
          <w:p>
            <w:pPr>
              <w:pStyle w:val="TableParagraph"/>
              <w:spacing w:line="240" w:lineRule="auto" w:before="82"/>
              <w:ind w:left="373"/>
              <w:rPr>
                <w:sz w:val="24"/>
              </w:rPr>
            </w:pPr>
            <w:r>
              <w:rPr>
                <w:spacing w:val="-2"/>
                <w:sz w:val="24"/>
              </w:rPr>
              <w:t>0.670</w:t>
            </w:r>
          </w:p>
        </w:tc>
        <w:tc>
          <w:tcPr>
            <w:tcW w:w="3654" w:type="dxa"/>
          </w:tcPr>
          <w:p>
            <w:pPr>
              <w:pStyle w:val="TableParagraph"/>
              <w:spacing w:line="240" w:lineRule="auto" w:before="82"/>
              <w:ind w:left="108"/>
              <w:rPr>
                <w:sz w:val="24"/>
              </w:rPr>
            </w:pPr>
            <w:r>
              <w:rPr>
                <w:sz w:val="24"/>
              </w:rPr>
              <w:t>&lt;</w:t>
            </w:r>
            <w:r>
              <w:rPr>
                <w:spacing w:val="-1"/>
                <w:sz w:val="24"/>
              </w:rPr>
              <w:t> </w:t>
            </w:r>
            <w:r>
              <w:rPr>
                <w:sz w:val="24"/>
              </w:rPr>
              <w:t>5 </w:t>
            </w:r>
            <w:r>
              <w:rPr>
                <w:spacing w:val="-10"/>
                <w:sz w:val="24"/>
              </w:rPr>
              <w:t>%</w:t>
            </w:r>
          </w:p>
        </w:tc>
      </w:tr>
      <w:tr>
        <w:trPr>
          <w:trHeight w:val="452" w:hRule="atLeast"/>
        </w:trPr>
        <w:tc>
          <w:tcPr>
            <w:tcW w:w="2233" w:type="dxa"/>
          </w:tcPr>
          <w:p>
            <w:pPr>
              <w:pStyle w:val="TableParagraph"/>
              <w:spacing w:line="240" w:lineRule="auto" w:before="83"/>
              <w:ind w:left="122"/>
              <w:rPr>
                <w:sz w:val="24"/>
              </w:rPr>
            </w:pPr>
            <w:r>
              <w:rPr>
                <w:sz w:val="24"/>
              </w:rPr>
              <w:t>%</w:t>
            </w:r>
            <w:r>
              <w:rPr>
                <w:spacing w:val="-1"/>
                <w:sz w:val="24"/>
              </w:rPr>
              <w:t> </w:t>
            </w:r>
            <w:r>
              <w:rPr>
                <w:spacing w:val="-2"/>
                <w:sz w:val="24"/>
              </w:rPr>
              <w:t>recovery</w:t>
            </w:r>
          </w:p>
        </w:tc>
        <w:tc>
          <w:tcPr>
            <w:tcW w:w="1822" w:type="dxa"/>
          </w:tcPr>
          <w:p>
            <w:pPr>
              <w:pStyle w:val="TableParagraph"/>
              <w:spacing w:line="240" w:lineRule="auto" w:before="83"/>
              <w:ind w:left="369"/>
              <w:rPr>
                <w:sz w:val="24"/>
              </w:rPr>
            </w:pPr>
            <w:r>
              <w:rPr>
                <w:spacing w:val="-2"/>
                <w:sz w:val="24"/>
              </w:rPr>
              <w:t>99.83</w:t>
            </w:r>
          </w:p>
        </w:tc>
        <w:tc>
          <w:tcPr>
            <w:tcW w:w="1883" w:type="dxa"/>
          </w:tcPr>
          <w:p>
            <w:pPr>
              <w:pStyle w:val="TableParagraph"/>
              <w:spacing w:line="240" w:lineRule="auto" w:before="83"/>
              <w:ind w:left="373"/>
              <w:rPr>
                <w:sz w:val="24"/>
              </w:rPr>
            </w:pPr>
            <w:r>
              <w:rPr>
                <w:spacing w:val="-2"/>
                <w:sz w:val="24"/>
              </w:rPr>
              <w:t>100.06</w:t>
            </w:r>
          </w:p>
        </w:tc>
        <w:tc>
          <w:tcPr>
            <w:tcW w:w="3654" w:type="dxa"/>
          </w:tcPr>
          <w:p>
            <w:pPr>
              <w:pStyle w:val="TableParagraph"/>
              <w:spacing w:line="240" w:lineRule="auto" w:before="83"/>
              <w:ind w:left="108"/>
              <w:rPr>
                <w:sz w:val="24"/>
              </w:rPr>
            </w:pPr>
            <w:r>
              <w:rPr>
                <w:sz w:val="24"/>
              </w:rPr>
              <w:t>98-102</w:t>
            </w:r>
            <w:r>
              <w:rPr>
                <w:spacing w:val="-1"/>
                <w:sz w:val="24"/>
              </w:rPr>
              <w:t> </w:t>
            </w:r>
            <w:r>
              <w:rPr>
                <w:spacing w:val="-10"/>
                <w:sz w:val="24"/>
              </w:rPr>
              <w:t>%</w:t>
            </w:r>
          </w:p>
        </w:tc>
      </w:tr>
      <w:tr>
        <w:trPr>
          <w:trHeight w:val="452" w:hRule="atLeast"/>
        </w:trPr>
        <w:tc>
          <w:tcPr>
            <w:tcW w:w="2233" w:type="dxa"/>
          </w:tcPr>
          <w:p>
            <w:pPr>
              <w:pStyle w:val="TableParagraph"/>
              <w:spacing w:line="240" w:lineRule="auto" w:before="82"/>
              <w:ind w:left="122"/>
              <w:rPr>
                <w:sz w:val="24"/>
              </w:rPr>
            </w:pPr>
            <w:r>
              <w:rPr>
                <w:sz w:val="24"/>
              </w:rPr>
              <w:t>LOD</w:t>
            </w:r>
            <w:r>
              <w:rPr>
                <w:spacing w:val="-2"/>
                <w:sz w:val="24"/>
              </w:rPr>
              <w:t> (µg/mL)</w:t>
            </w:r>
          </w:p>
        </w:tc>
        <w:tc>
          <w:tcPr>
            <w:tcW w:w="1822" w:type="dxa"/>
          </w:tcPr>
          <w:p>
            <w:pPr>
              <w:pStyle w:val="TableParagraph"/>
              <w:spacing w:line="240" w:lineRule="auto" w:before="82"/>
              <w:ind w:left="369"/>
              <w:rPr>
                <w:sz w:val="24"/>
              </w:rPr>
            </w:pPr>
            <w:r>
              <w:rPr>
                <w:spacing w:val="-2"/>
                <w:sz w:val="24"/>
              </w:rPr>
              <w:t>0.355</w:t>
            </w:r>
          </w:p>
        </w:tc>
        <w:tc>
          <w:tcPr>
            <w:tcW w:w="1883" w:type="dxa"/>
          </w:tcPr>
          <w:p>
            <w:pPr>
              <w:pStyle w:val="TableParagraph"/>
              <w:spacing w:line="240" w:lineRule="auto" w:before="82"/>
              <w:ind w:left="373"/>
              <w:rPr>
                <w:sz w:val="24"/>
              </w:rPr>
            </w:pPr>
            <w:r>
              <w:rPr>
                <w:spacing w:val="-2"/>
                <w:sz w:val="24"/>
              </w:rPr>
              <w:t>0.185</w:t>
            </w:r>
          </w:p>
        </w:tc>
        <w:tc>
          <w:tcPr>
            <w:tcW w:w="3654" w:type="dxa"/>
          </w:tcPr>
          <w:p>
            <w:pPr>
              <w:pStyle w:val="TableParagraph"/>
              <w:spacing w:line="240" w:lineRule="auto"/>
              <w:rPr>
                <w:sz w:val="22"/>
              </w:rPr>
            </w:pPr>
          </w:p>
        </w:tc>
      </w:tr>
      <w:tr>
        <w:trPr>
          <w:trHeight w:val="543" w:hRule="atLeast"/>
        </w:trPr>
        <w:tc>
          <w:tcPr>
            <w:tcW w:w="2233" w:type="dxa"/>
            <w:tcBorders>
              <w:bottom w:val="single" w:sz="8" w:space="0" w:color="000000"/>
            </w:tcBorders>
          </w:tcPr>
          <w:p>
            <w:pPr>
              <w:pStyle w:val="TableParagraph"/>
              <w:spacing w:line="240" w:lineRule="auto" w:before="83"/>
              <w:ind w:left="122"/>
              <w:rPr>
                <w:sz w:val="24"/>
              </w:rPr>
            </w:pPr>
            <w:r>
              <w:rPr>
                <w:sz w:val="24"/>
              </w:rPr>
              <w:t>LOQ</w:t>
            </w:r>
            <w:r>
              <w:rPr>
                <w:spacing w:val="-2"/>
                <w:sz w:val="24"/>
              </w:rPr>
              <w:t> (µg/mL)</w:t>
            </w:r>
          </w:p>
        </w:tc>
        <w:tc>
          <w:tcPr>
            <w:tcW w:w="1822" w:type="dxa"/>
            <w:tcBorders>
              <w:bottom w:val="single" w:sz="8" w:space="0" w:color="000000"/>
            </w:tcBorders>
          </w:tcPr>
          <w:p>
            <w:pPr>
              <w:pStyle w:val="TableParagraph"/>
              <w:spacing w:line="240" w:lineRule="auto" w:before="83"/>
              <w:ind w:left="369"/>
              <w:rPr>
                <w:sz w:val="24"/>
              </w:rPr>
            </w:pPr>
            <w:r>
              <w:rPr>
                <w:spacing w:val="-2"/>
                <w:sz w:val="24"/>
              </w:rPr>
              <w:t>1.076</w:t>
            </w:r>
          </w:p>
        </w:tc>
        <w:tc>
          <w:tcPr>
            <w:tcW w:w="1883" w:type="dxa"/>
            <w:tcBorders>
              <w:bottom w:val="single" w:sz="8" w:space="0" w:color="000000"/>
            </w:tcBorders>
          </w:tcPr>
          <w:p>
            <w:pPr>
              <w:pStyle w:val="TableParagraph"/>
              <w:spacing w:line="240" w:lineRule="auto" w:before="83"/>
              <w:ind w:left="373"/>
              <w:rPr>
                <w:sz w:val="24"/>
              </w:rPr>
            </w:pPr>
            <w:r>
              <w:rPr>
                <w:spacing w:val="-2"/>
                <w:sz w:val="24"/>
              </w:rPr>
              <w:t>0.559</w:t>
            </w:r>
          </w:p>
        </w:tc>
        <w:tc>
          <w:tcPr>
            <w:tcW w:w="3654" w:type="dxa"/>
            <w:tcBorders>
              <w:bottom w:val="single" w:sz="8" w:space="0" w:color="000000"/>
            </w:tcBorders>
          </w:tcPr>
          <w:p>
            <w:pPr>
              <w:pStyle w:val="TableParagraph"/>
              <w:spacing w:line="240" w:lineRule="auto"/>
              <w:rPr>
                <w:sz w:val="22"/>
              </w:rPr>
            </w:pPr>
          </w:p>
        </w:tc>
      </w:tr>
    </w:tbl>
    <w:p>
      <w:pPr>
        <w:spacing w:after="0" w:line="240" w:lineRule="auto"/>
        <w:rPr>
          <w:sz w:val="22"/>
        </w:rPr>
        <w:sectPr>
          <w:pgSz w:w="12240" w:h="15840"/>
          <w:pgMar w:header="0" w:footer="1015" w:top="1360" w:bottom="1200" w:left="240" w:right="0"/>
        </w:sectPr>
      </w:pPr>
    </w:p>
    <w:p>
      <w:pPr>
        <w:spacing w:before="76"/>
        <w:ind w:left="1200" w:right="0" w:firstLine="0"/>
        <w:jc w:val="left"/>
        <w:rPr>
          <w:b/>
          <w:sz w:val="24"/>
        </w:rPr>
      </w:pPr>
      <w:r>
        <w:rPr>
          <w:b/>
          <w:sz w:val="24"/>
        </w:rPr>
        <w:t>Table</w:t>
      </w:r>
      <w:r>
        <w:rPr>
          <w:b/>
          <w:spacing w:val="-3"/>
          <w:sz w:val="24"/>
        </w:rPr>
        <w:t> </w:t>
      </w:r>
      <w:r>
        <w:rPr>
          <w:b/>
          <w:sz w:val="24"/>
        </w:rPr>
        <w:t>4.8:</w:t>
      </w:r>
      <w:r>
        <w:rPr>
          <w:b/>
          <w:spacing w:val="-2"/>
          <w:sz w:val="24"/>
        </w:rPr>
        <w:t> </w:t>
      </w:r>
      <w:r>
        <w:rPr>
          <w:b/>
          <w:sz w:val="24"/>
        </w:rPr>
        <w:t>Percentage</w:t>
      </w:r>
      <w:r>
        <w:rPr>
          <w:b/>
          <w:spacing w:val="-2"/>
          <w:sz w:val="24"/>
        </w:rPr>
        <w:t> </w:t>
      </w:r>
      <w:r>
        <w:rPr>
          <w:b/>
          <w:sz w:val="24"/>
        </w:rPr>
        <w:t>content</w:t>
      </w:r>
      <w:r>
        <w:rPr>
          <w:b/>
          <w:spacing w:val="-1"/>
          <w:sz w:val="24"/>
        </w:rPr>
        <w:t> </w:t>
      </w:r>
      <w:r>
        <w:rPr>
          <w:b/>
          <w:sz w:val="24"/>
        </w:rPr>
        <w:t>of</w:t>
      </w:r>
      <w:r>
        <w:rPr>
          <w:b/>
          <w:spacing w:val="2"/>
          <w:sz w:val="24"/>
        </w:rPr>
        <w:t> </w:t>
      </w:r>
      <w:r>
        <w:rPr>
          <w:b/>
          <w:sz w:val="24"/>
        </w:rPr>
        <w:t>isoniazid </w:t>
      </w:r>
      <w:r>
        <w:rPr>
          <w:b/>
          <w:spacing w:val="-2"/>
          <w:sz w:val="24"/>
        </w:rPr>
        <w:t>assayed.</w:t>
      </w:r>
    </w:p>
    <w:p>
      <w:pPr>
        <w:pStyle w:val="BodyText"/>
        <w:spacing w:before="7"/>
        <w:rPr>
          <w:b/>
          <w:sz w:val="15"/>
        </w:rPr>
      </w:pPr>
    </w:p>
    <w:tbl>
      <w:tblPr>
        <w:tblW w:w="0" w:type="auto"/>
        <w:jc w:val="left"/>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9"/>
        <w:gridCol w:w="1360"/>
        <w:gridCol w:w="1596"/>
        <w:gridCol w:w="1596"/>
        <w:gridCol w:w="1596"/>
        <w:gridCol w:w="2076"/>
      </w:tblGrid>
      <w:tr>
        <w:trPr>
          <w:trHeight w:val="292" w:hRule="atLeast"/>
        </w:trPr>
        <w:tc>
          <w:tcPr>
            <w:tcW w:w="1359" w:type="dxa"/>
            <w:tcBorders>
              <w:top w:val="single" w:sz="8" w:space="0" w:color="000000"/>
              <w:bottom w:val="single" w:sz="8" w:space="0" w:color="000000"/>
            </w:tcBorders>
          </w:tcPr>
          <w:p>
            <w:pPr>
              <w:pStyle w:val="TableParagraph"/>
              <w:spacing w:line="272" w:lineRule="exact"/>
              <w:ind w:left="115"/>
              <w:rPr>
                <w:b/>
                <w:sz w:val="24"/>
              </w:rPr>
            </w:pPr>
            <w:r>
              <w:rPr>
                <w:b/>
                <w:spacing w:val="-2"/>
                <w:sz w:val="24"/>
              </w:rPr>
              <w:t>Methods</w:t>
            </w:r>
          </w:p>
        </w:tc>
        <w:tc>
          <w:tcPr>
            <w:tcW w:w="1360" w:type="dxa"/>
            <w:tcBorders>
              <w:top w:val="single" w:sz="8" w:space="0" w:color="000000"/>
              <w:bottom w:val="single" w:sz="8" w:space="0" w:color="000000"/>
            </w:tcBorders>
          </w:tcPr>
          <w:p>
            <w:pPr>
              <w:pStyle w:val="TableParagraph"/>
              <w:spacing w:line="272" w:lineRule="exact"/>
              <w:ind w:left="352"/>
              <w:rPr>
                <w:b/>
                <w:sz w:val="24"/>
              </w:rPr>
            </w:pPr>
            <w:r>
              <w:rPr>
                <w:b/>
                <w:spacing w:val="-10"/>
                <w:sz w:val="24"/>
              </w:rPr>
              <w:t>1</w:t>
            </w:r>
          </w:p>
        </w:tc>
        <w:tc>
          <w:tcPr>
            <w:tcW w:w="1596" w:type="dxa"/>
            <w:tcBorders>
              <w:top w:val="single" w:sz="8" w:space="0" w:color="000000"/>
              <w:bottom w:val="single" w:sz="8" w:space="0" w:color="000000"/>
            </w:tcBorders>
          </w:tcPr>
          <w:p>
            <w:pPr>
              <w:pStyle w:val="TableParagraph"/>
              <w:spacing w:line="272" w:lineRule="exact"/>
              <w:ind w:left="588"/>
              <w:rPr>
                <w:b/>
                <w:sz w:val="24"/>
              </w:rPr>
            </w:pPr>
            <w:r>
              <w:rPr>
                <w:b/>
                <w:spacing w:val="-10"/>
                <w:sz w:val="24"/>
              </w:rPr>
              <w:t>2</w:t>
            </w:r>
          </w:p>
        </w:tc>
        <w:tc>
          <w:tcPr>
            <w:tcW w:w="1596" w:type="dxa"/>
            <w:tcBorders>
              <w:top w:val="single" w:sz="8" w:space="0" w:color="000000"/>
              <w:bottom w:val="single" w:sz="8" w:space="0" w:color="000000"/>
            </w:tcBorders>
          </w:tcPr>
          <w:p>
            <w:pPr>
              <w:pStyle w:val="TableParagraph"/>
              <w:spacing w:line="272" w:lineRule="exact"/>
              <w:ind w:left="588"/>
              <w:rPr>
                <w:b/>
                <w:sz w:val="24"/>
              </w:rPr>
            </w:pPr>
            <w:r>
              <w:rPr>
                <w:b/>
                <w:spacing w:val="-10"/>
                <w:sz w:val="24"/>
              </w:rPr>
              <w:t>3</w:t>
            </w:r>
          </w:p>
        </w:tc>
        <w:tc>
          <w:tcPr>
            <w:tcW w:w="1596" w:type="dxa"/>
            <w:tcBorders>
              <w:top w:val="single" w:sz="8" w:space="0" w:color="000000"/>
              <w:bottom w:val="single" w:sz="8" w:space="0" w:color="000000"/>
            </w:tcBorders>
          </w:tcPr>
          <w:p>
            <w:pPr>
              <w:pStyle w:val="TableParagraph"/>
              <w:spacing w:line="272" w:lineRule="exact"/>
              <w:ind w:left="589"/>
              <w:rPr>
                <w:b/>
                <w:sz w:val="24"/>
              </w:rPr>
            </w:pPr>
            <w:r>
              <w:rPr>
                <w:b/>
                <w:spacing w:val="-10"/>
                <w:sz w:val="24"/>
              </w:rPr>
              <w:t>4</w:t>
            </w:r>
          </w:p>
        </w:tc>
        <w:tc>
          <w:tcPr>
            <w:tcW w:w="2076" w:type="dxa"/>
            <w:tcBorders>
              <w:top w:val="single" w:sz="8" w:space="0" w:color="000000"/>
              <w:bottom w:val="single" w:sz="8" w:space="0" w:color="000000"/>
            </w:tcBorders>
          </w:tcPr>
          <w:p>
            <w:pPr>
              <w:pStyle w:val="TableParagraph"/>
              <w:spacing w:line="272" w:lineRule="exact"/>
              <w:ind w:left="589"/>
              <w:rPr>
                <w:b/>
                <w:sz w:val="24"/>
              </w:rPr>
            </w:pPr>
            <w:r>
              <w:rPr>
                <w:b/>
                <w:sz w:val="24"/>
              </w:rPr>
              <w:t>BP,</w:t>
            </w:r>
            <w:r>
              <w:rPr>
                <w:b/>
                <w:spacing w:val="-3"/>
                <w:sz w:val="24"/>
              </w:rPr>
              <w:t> </w:t>
            </w:r>
            <w:r>
              <w:rPr>
                <w:b/>
                <w:spacing w:val="-4"/>
                <w:sz w:val="24"/>
              </w:rPr>
              <w:t>2009</w:t>
            </w:r>
          </w:p>
        </w:tc>
      </w:tr>
      <w:tr>
        <w:trPr>
          <w:trHeight w:val="654" w:hRule="atLeast"/>
        </w:trPr>
        <w:tc>
          <w:tcPr>
            <w:tcW w:w="1359" w:type="dxa"/>
            <w:tcBorders>
              <w:top w:val="single" w:sz="8" w:space="0" w:color="000000"/>
            </w:tcBorders>
          </w:tcPr>
          <w:p>
            <w:pPr>
              <w:pStyle w:val="TableParagraph"/>
              <w:spacing w:line="252" w:lineRule="auto"/>
              <w:ind w:left="115" w:right="386"/>
              <w:rPr>
                <w:sz w:val="24"/>
              </w:rPr>
            </w:pPr>
            <w:r>
              <w:rPr>
                <w:spacing w:val="-2"/>
                <w:sz w:val="24"/>
              </w:rPr>
              <w:t>Standard powder</w:t>
            </w:r>
          </w:p>
        </w:tc>
        <w:tc>
          <w:tcPr>
            <w:tcW w:w="1360" w:type="dxa"/>
            <w:tcBorders>
              <w:top w:val="single" w:sz="8" w:space="0" w:color="000000"/>
            </w:tcBorders>
          </w:tcPr>
          <w:p>
            <w:pPr>
              <w:pStyle w:val="TableParagraph"/>
              <w:spacing w:line="270" w:lineRule="exact"/>
              <w:ind w:left="352"/>
              <w:rPr>
                <w:sz w:val="24"/>
              </w:rPr>
            </w:pPr>
            <w:r>
              <w:rPr>
                <w:spacing w:val="-4"/>
                <w:sz w:val="24"/>
              </w:rPr>
              <w:t>99.9</w:t>
            </w:r>
          </w:p>
        </w:tc>
        <w:tc>
          <w:tcPr>
            <w:tcW w:w="1596" w:type="dxa"/>
            <w:tcBorders>
              <w:top w:val="single" w:sz="8" w:space="0" w:color="000000"/>
            </w:tcBorders>
          </w:tcPr>
          <w:p>
            <w:pPr>
              <w:pStyle w:val="TableParagraph"/>
              <w:spacing w:line="270" w:lineRule="exact"/>
              <w:ind w:left="588"/>
              <w:rPr>
                <w:sz w:val="24"/>
              </w:rPr>
            </w:pPr>
            <w:r>
              <w:rPr>
                <w:spacing w:val="-4"/>
                <w:sz w:val="24"/>
              </w:rPr>
              <w:t>99.5</w:t>
            </w:r>
          </w:p>
        </w:tc>
        <w:tc>
          <w:tcPr>
            <w:tcW w:w="1596" w:type="dxa"/>
            <w:tcBorders>
              <w:top w:val="single" w:sz="8" w:space="0" w:color="000000"/>
            </w:tcBorders>
          </w:tcPr>
          <w:p>
            <w:pPr>
              <w:pStyle w:val="TableParagraph"/>
              <w:spacing w:line="270" w:lineRule="exact"/>
              <w:ind w:left="588"/>
              <w:rPr>
                <w:sz w:val="24"/>
              </w:rPr>
            </w:pPr>
            <w:r>
              <w:rPr>
                <w:spacing w:val="-4"/>
                <w:sz w:val="24"/>
              </w:rPr>
              <w:t>99.7</w:t>
            </w:r>
          </w:p>
        </w:tc>
        <w:tc>
          <w:tcPr>
            <w:tcW w:w="1596" w:type="dxa"/>
            <w:tcBorders>
              <w:top w:val="single" w:sz="8" w:space="0" w:color="000000"/>
            </w:tcBorders>
          </w:tcPr>
          <w:p>
            <w:pPr>
              <w:pStyle w:val="TableParagraph"/>
              <w:spacing w:line="270" w:lineRule="exact"/>
              <w:ind w:left="589"/>
              <w:rPr>
                <w:sz w:val="24"/>
              </w:rPr>
            </w:pPr>
            <w:r>
              <w:rPr>
                <w:spacing w:val="-4"/>
                <w:sz w:val="24"/>
              </w:rPr>
              <w:t>99.8</w:t>
            </w:r>
          </w:p>
        </w:tc>
        <w:tc>
          <w:tcPr>
            <w:tcW w:w="2076" w:type="dxa"/>
            <w:tcBorders>
              <w:top w:val="single" w:sz="8" w:space="0" w:color="000000"/>
            </w:tcBorders>
          </w:tcPr>
          <w:p>
            <w:pPr>
              <w:pStyle w:val="TableParagraph"/>
              <w:spacing w:line="270" w:lineRule="exact"/>
              <w:ind w:left="589"/>
              <w:rPr>
                <w:sz w:val="24"/>
              </w:rPr>
            </w:pPr>
            <w:r>
              <w:rPr>
                <w:spacing w:val="-2"/>
                <w:sz w:val="24"/>
              </w:rPr>
              <w:t>99-</w:t>
            </w:r>
            <w:r>
              <w:rPr>
                <w:spacing w:val="-5"/>
                <w:sz w:val="24"/>
              </w:rPr>
              <w:t>101</w:t>
            </w:r>
          </w:p>
        </w:tc>
      </w:tr>
      <w:tr>
        <w:trPr>
          <w:trHeight w:val="542" w:hRule="atLeast"/>
        </w:trPr>
        <w:tc>
          <w:tcPr>
            <w:tcW w:w="1359" w:type="dxa"/>
            <w:tcBorders>
              <w:bottom w:val="single" w:sz="8" w:space="0" w:color="000000"/>
            </w:tcBorders>
          </w:tcPr>
          <w:p>
            <w:pPr>
              <w:pStyle w:val="TableParagraph"/>
              <w:spacing w:line="240" w:lineRule="auto" w:before="83"/>
              <w:ind w:left="115"/>
              <w:rPr>
                <w:sz w:val="24"/>
              </w:rPr>
            </w:pPr>
            <w:r>
              <w:rPr>
                <w:spacing w:val="-2"/>
                <w:sz w:val="24"/>
              </w:rPr>
              <w:t>Tablet</w:t>
            </w:r>
          </w:p>
        </w:tc>
        <w:tc>
          <w:tcPr>
            <w:tcW w:w="1360" w:type="dxa"/>
            <w:tcBorders>
              <w:bottom w:val="single" w:sz="8" w:space="0" w:color="000000"/>
            </w:tcBorders>
          </w:tcPr>
          <w:p>
            <w:pPr>
              <w:pStyle w:val="TableParagraph"/>
              <w:spacing w:line="240" w:lineRule="auto" w:before="83"/>
              <w:ind w:left="352"/>
              <w:rPr>
                <w:sz w:val="24"/>
              </w:rPr>
            </w:pPr>
            <w:r>
              <w:rPr>
                <w:spacing w:val="-4"/>
                <w:sz w:val="24"/>
              </w:rPr>
              <w:t>98.3</w:t>
            </w:r>
          </w:p>
        </w:tc>
        <w:tc>
          <w:tcPr>
            <w:tcW w:w="1596" w:type="dxa"/>
            <w:tcBorders>
              <w:bottom w:val="single" w:sz="8" w:space="0" w:color="000000"/>
            </w:tcBorders>
          </w:tcPr>
          <w:p>
            <w:pPr>
              <w:pStyle w:val="TableParagraph"/>
              <w:spacing w:line="240" w:lineRule="auto" w:before="83"/>
              <w:ind w:left="588"/>
              <w:rPr>
                <w:sz w:val="24"/>
              </w:rPr>
            </w:pPr>
            <w:r>
              <w:rPr>
                <w:spacing w:val="-4"/>
                <w:sz w:val="24"/>
              </w:rPr>
              <w:t>98.0</w:t>
            </w:r>
          </w:p>
        </w:tc>
        <w:tc>
          <w:tcPr>
            <w:tcW w:w="1596" w:type="dxa"/>
            <w:tcBorders>
              <w:bottom w:val="single" w:sz="8" w:space="0" w:color="000000"/>
            </w:tcBorders>
          </w:tcPr>
          <w:p>
            <w:pPr>
              <w:pStyle w:val="TableParagraph"/>
              <w:spacing w:line="240" w:lineRule="auto" w:before="83"/>
              <w:ind w:left="588"/>
              <w:rPr>
                <w:sz w:val="24"/>
              </w:rPr>
            </w:pPr>
            <w:r>
              <w:rPr>
                <w:spacing w:val="-4"/>
                <w:sz w:val="24"/>
              </w:rPr>
              <w:t>98.1</w:t>
            </w:r>
          </w:p>
        </w:tc>
        <w:tc>
          <w:tcPr>
            <w:tcW w:w="1596" w:type="dxa"/>
            <w:tcBorders>
              <w:bottom w:val="single" w:sz="8" w:space="0" w:color="000000"/>
            </w:tcBorders>
          </w:tcPr>
          <w:p>
            <w:pPr>
              <w:pStyle w:val="TableParagraph"/>
              <w:spacing w:line="240" w:lineRule="auto" w:before="83"/>
              <w:ind w:left="589"/>
              <w:rPr>
                <w:sz w:val="24"/>
              </w:rPr>
            </w:pPr>
            <w:r>
              <w:rPr>
                <w:spacing w:val="-4"/>
                <w:sz w:val="24"/>
              </w:rPr>
              <w:t>98.2</w:t>
            </w:r>
          </w:p>
        </w:tc>
        <w:tc>
          <w:tcPr>
            <w:tcW w:w="2076" w:type="dxa"/>
            <w:tcBorders>
              <w:bottom w:val="single" w:sz="8" w:space="0" w:color="000000"/>
            </w:tcBorders>
          </w:tcPr>
          <w:p>
            <w:pPr>
              <w:pStyle w:val="TableParagraph"/>
              <w:spacing w:line="240" w:lineRule="auto" w:before="83"/>
              <w:ind w:left="589"/>
              <w:rPr>
                <w:sz w:val="24"/>
              </w:rPr>
            </w:pPr>
            <w:r>
              <w:rPr>
                <w:spacing w:val="-2"/>
                <w:sz w:val="24"/>
              </w:rPr>
              <w:t>98-</w:t>
            </w:r>
            <w:r>
              <w:rPr>
                <w:spacing w:val="-5"/>
                <w:sz w:val="24"/>
              </w:rPr>
              <w:t>102</w:t>
            </w:r>
          </w:p>
        </w:tc>
      </w:tr>
    </w:tbl>
    <w:p>
      <w:pPr>
        <w:pStyle w:val="BodyText"/>
        <w:spacing w:before="232"/>
        <w:ind w:left="1200"/>
      </w:pPr>
      <w:r>
        <w:rPr/>
        <w:t>Official</w:t>
      </w:r>
      <w:r>
        <w:rPr>
          <w:spacing w:val="-3"/>
        </w:rPr>
        <w:t> </w:t>
      </w:r>
      <w:r>
        <w:rPr/>
        <w:t>range</w:t>
      </w:r>
      <w:r>
        <w:rPr>
          <w:spacing w:val="-2"/>
        </w:rPr>
        <w:t> </w:t>
      </w:r>
      <w:r>
        <w:rPr/>
        <w:t>for standard</w:t>
      </w:r>
      <w:r>
        <w:rPr>
          <w:spacing w:val="-1"/>
        </w:rPr>
        <w:t> </w:t>
      </w:r>
      <w:r>
        <w:rPr/>
        <w:t>powder and tablet</w:t>
      </w:r>
      <w:r>
        <w:rPr>
          <w:spacing w:val="-1"/>
        </w:rPr>
        <w:t> </w:t>
      </w:r>
      <w:r>
        <w:rPr/>
        <w:t>is 99</w:t>
      </w:r>
      <w:r>
        <w:rPr>
          <w:spacing w:val="-1"/>
        </w:rPr>
        <w:t> </w:t>
      </w:r>
      <w:r>
        <w:rPr/>
        <w:t>-</w:t>
      </w:r>
      <w:r>
        <w:rPr>
          <w:spacing w:val="-2"/>
        </w:rPr>
        <w:t> </w:t>
      </w:r>
      <w:r>
        <w:rPr/>
        <w:t>101 %</w:t>
      </w:r>
      <w:r>
        <w:rPr>
          <w:spacing w:val="-2"/>
        </w:rPr>
        <w:t> </w:t>
      </w:r>
      <w:r>
        <w:rPr/>
        <w:t>and 98</w:t>
      </w:r>
      <w:r>
        <w:rPr>
          <w:spacing w:val="-1"/>
        </w:rPr>
        <w:t> </w:t>
      </w:r>
      <w:r>
        <w:rPr/>
        <w:t>–</w:t>
      </w:r>
      <w:r>
        <w:rPr>
          <w:spacing w:val="-1"/>
        </w:rPr>
        <w:t> </w:t>
      </w:r>
      <w:r>
        <w:rPr/>
        <w:t>102 % (BP, </w:t>
      </w:r>
      <w:r>
        <w:rPr>
          <w:spacing w:val="-2"/>
        </w:rPr>
        <w:t>2009).</w:t>
      </w:r>
    </w:p>
    <w:p>
      <w:pPr>
        <w:spacing w:after="0"/>
        <w:sectPr>
          <w:pgSz w:w="12240" w:h="15840"/>
          <w:pgMar w:header="0" w:footer="1015" w:top="1360" w:bottom="1200" w:left="240" w:right="0"/>
        </w:sectPr>
      </w:pPr>
    </w:p>
    <w:p>
      <w:pPr>
        <w:pStyle w:val="Heading2"/>
        <w:spacing w:before="76"/>
        <w:ind w:right="1495"/>
      </w:pPr>
      <w:bookmarkStart w:name="_TOC_250004" w:id="30"/>
      <w:r>
        <w:rPr/>
        <w:t>CHAPTER</w:t>
      </w:r>
      <w:r>
        <w:rPr>
          <w:spacing w:val="-5"/>
        </w:rPr>
        <w:t> </w:t>
      </w:r>
      <w:bookmarkEnd w:id="30"/>
      <w:r>
        <w:rPr>
          <w:spacing w:val="-4"/>
        </w:rPr>
        <w:t>FIVE</w:t>
      </w:r>
    </w:p>
    <w:p>
      <w:pPr>
        <w:pStyle w:val="BodyText"/>
        <w:spacing w:before="161"/>
        <w:rPr>
          <w:b/>
        </w:rPr>
      </w:pPr>
    </w:p>
    <w:p>
      <w:pPr>
        <w:spacing w:before="1"/>
        <w:ind w:left="4899" w:right="0" w:firstLine="0"/>
        <w:jc w:val="left"/>
        <w:rPr>
          <w:b/>
          <w:sz w:val="24"/>
        </w:rPr>
      </w:pPr>
      <w:r>
        <w:rPr>
          <w:b/>
          <w:sz w:val="24"/>
        </w:rPr>
        <w:t>5.0 </w:t>
      </w:r>
      <w:r>
        <w:rPr>
          <w:b/>
          <w:spacing w:val="-2"/>
          <w:sz w:val="24"/>
        </w:rPr>
        <w:t>DISCUSSIONS</w:t>
      </w:r>
    </w:p>
    <w:p>
      <w:pPr>
        <w:pStyle w:val="BodyText"/>
        <w:spacing w:before="273"/>
        <w:rPr>
          <w:b/>
        </w:rPr>
      </w:pPr>
    </w:p>
    <w:p>
      <w:pPr>
        <w:pStyle w:val="BodyText"/>
        <w:spacing w:line="480" w:lineRule="auto"/>
        <w:ind w:left="1200" w:right="1433"/>
        <w:jc w:val="both"/>
      </w:pPr>
      <w:r>
        <w:rPr/>
        <w:t>The melting point purity agreement with what was reported in the literature. 170 – 172 </w:t>
      </w:r>
      <w:r>
        <w:rPr>
          <w:vertAlign w:val="superscript"/>
        </w:rPr>
        <w:t>0</w:t>
      </w:r>
      <w:r>
        <w:rPr>
          <w:vertAlign w:val="baseline"/>
        </w:rPr>
        <w:t>Cand</w:t>
      </w:r>
      <w:r>
        <w:rPr>
          <w:spacing w:val="40"/>
          <w:vertAlign w:val="baseline"/>
        </w:rPr>
        <w:t> </w:t>
      </w:r>
      <w:r>
        <w:rPr>
          <w:vertAlign w:val="baseline"/>
        </w:rPr>
        <w:t>172</w:t>
      </w:r>
      <w:r>
        <w:rPr>
          <w:spacing w:val="-2"/>
          <w:vertAlign w:val="baseline"/>
        </w:rPr>
        <w:t> </w:t>
      </w:r>
      <w:r>
        <w:rPr>
          <w:vertAlign w:val="baseline"/>
        </w:rPr>
        <w:t>–</w:t>
      </w:r>
      <w:r>
        <w:rPr>
          <w:spacing w:val="-3"/>
          <w:vertAlign w:val="baseline"/>
        </w:rPr>
        <w:t> </w:t>
      </w:r>
      <w:r>
        <w:rPr>
          <w:vertAlign w:val="baseline"/>
        </w:rPr>
        <w:t>174</w:t>
      </w:r>
      <w:r>
        <w:rPr>
          <w:spacing w:val="-2"/>
          <w:vertAlign w:val="baseline"/>
        </w:rPr>
        <w:t> </w:t>
      </w:r>
      <w:r>
        <w:rPr>
          <w:vertAlign w:val="superscript"/>
        </w:rPr>
        <w:t>0</w:t>
      </w:r>
      <w:r>
        <w:rPr>
          <w:vertAlign w:val="baseline"/>
        </w:rPr>
        <w:t>Cas</w:t>
      </w:r>
      <w:r>
        <w:rPr>
          <w:spacing w:val="-2"/>
          <w:vertAlign w:val="baseline"/>
        </w:rPr>
        <w:t> </w:t>
      </w:r>
      <w:r>
        <w:rPr>
          <w:vertAlign w:val="baseline"/>
        </w:rPr>
        <w:t>compared</w:t>
      </w:r>
      <w:r>
        <w:rPr>
          <w:spacing w:val="-2"/>
          <w:vertAlign w:val="baseline"/>
        </w:rPr>
        <w:t> </w:t>
      </w:r>
      <w:r>
        <w:rPr>
          <w:vertAlign w:val="baseline"/>
        </w:rPr>
        <w:t>to</w:t>
      </w:r>
      <w:r>
        <w:rPr>
          <w:spacing w:val="-2"/>
          <w:vertAlign w:val="baseline"/>
        </w:rPr>
        <w:t> </w:t>
      </w:r>
      <w:r>
        <w:rPr>
          <w:vertAlign w:val="baseline"/>
        </w:rPr>
        <w:t>official</w:t>
      </w:r>
      <w:r>
        <w:rPr>
          <w:spacing w:val="-1"/>
          <w:vertAlign w:val="baseline"/>
        </w:rPr>
        <w:t> </w:t>
      </w:r>
      <w:r>
        <w:rPr>
          <w:vertAlign w:val="baseline"/>
        </w:rPr>
        <w:t>standard</w:t>
      </w:r>
      <w:r>
        <w:rPr>
          <w:spacing w:val="-2"/>
          <w:vertAlign w:val="baseline"/>
        </w:rPr>
        <w:t> </w:t>
      </w:r>
      <w:r>
        <w:rPr>
          <w:vertAlign w:val="baseline"/>
        </w:rPr>
        <w:t>of</w:t>
      </w:r>
      <w:r>
        <w:rPr>
          <w:spacing w:val="-2"/>
          <w:vertAlign w:val="baseline"/>
        </w:rPr>
        <w:t> </w:t>
      </w:r>
      <w:r>
        <w:rPr>
          <w:vertAlign w:val="baseline"/>
        </w:rPr>
        <w:t>170</w:t>
      </w:r>
      <w:r>
        <w:rPr>
          <w:spacing w:val="-1"/>
          <w:vertAlign w:val="baseline"/>
        </w:rPr>
        <w:t> </w:t>
      </w:r>
      <w:r>
        <w:rPr>
          <w:vertAlign w:val="baseline"/>
        </w:rPr>
        <w:t>–</w:t>
      </w:r>
      <w:r>
        <w:rPr>
          <w:spacing w:val="-2"/>
          <w:vertAlign w:val="baseline"/>
        </w:rPr>
        <w:t> </w:t>
      </w:r>
      <w:r>
        <w:rPr>
          <w:vertAlign w:val="baseline"/>
        </w:rPr>
        <w:t>174</w:t>
      </w:r>
      <w:r>
        <w:rPr>
          <w:vertAlign w:val="superscript"/>
        </w:rPr>
        <w:t>0</w:t>
      </w:r>
      <w:r>
        <w:rPr>
          <w:vertAlign w:val="baseline"/>
        </w:rPr>
        <w:t>C(table</w:t>
      </w:r>
      <w:r>
        <w:rPr>
          <w:spacing w:val="-3"/>
          <w:vertAlign w:val="baseline"/>
        </w:rPr>
        <w:t> </w:t>
      </w:r>
      <w:r>
        <w:rPr>
          <w:vertAlign w:val="baseline"/>
        </w:rPr>
        <w:t>4.2)while</w:t>
      </w:r>
      <w:r>
        <w:rPr>
          <w:spacing w:val="-2"/>
          <w:vertAlign w:val="baseline"/>
        </w:rPr>
        <w:t> </w:t>
      </w:r>
      <w:r>
        <w:rPr>
          <w:vertAlign w:val="baseline"/>
        </w:rPr>
        <w:t>their</w:t>
      </w:r>
      <w:r>
        <w:rPr>
          <w:spacing w:val="-1"/>
          <w:vertAlign w:val="baseline"/>
        </w:rPr>
        <w:t> </w:t>
      </w:r>
      <w:r>
        <w:rPr>
          <w:vertAlign w:val="baseline"/>
        </w:rPr>
        <w:t>IR</w:t>
      </w:r>
      <w:r>
        <w:rPr>
          <w:spacing w:val="-2"/>
          <w:vertAlign w:val="baseline"/>
        </w:rPr>
        <w:t> </w:t>
      </w:r>
      <w:r>
        <w:rPr>
          <w:vertAlign w:val="baseline"/>
        </w:rPr>
        <w:t>spectra was found to be superimposable with the reference standard of isoniazid spectrum therefore the sample is likely to be isoniazid.(figures 4.1 to 4.2).</w:t>
      </w:r>
    </w:p>
    <w:p>
      <w:pPr>
        <w:pStyle w:val="BodyText"/>
        <w:spacing w:before="6"/>
      </w:pPr>
    </w:p>
    <w:p>
      <w:pPr>
        <w:pStyle w:val="BodyText"/>
        <w:spacing w:line="480" w:lineRule="auto"/>
        <w:ind w:left="1200" w:right="1433"/>
        <w:jc w:val="both"/>
      </w:pPr>
      <w:r>
        <w:rPr/>
        <w:t>Solubility studies showed that isoniazid is soluble in polar solvents such as water, methanol and ethanol and insoluble in non-polar solvents such as benzene, ether and chloroform (table 4.3). This is what informed the use of water and methanol as solvent for preparing stocksolutions of isoniazid. This is in agreement with BP 2009.</w:t>
      </w:r>
    </w:p>
    <w:p>
      <w:pPr>
        <w:pStyle w:val="BodyText"/>
        <w:spacing w:before="2"/>
      </w:pPr>
    </w:p>
    <w:p>
      <w:pPr>
        <w:pStyle w:val="BodyText"/>
        <w:spacing w:line="480" w:lineRule="auto" w:before="1"/>
        <w:ind w:left="1200" w:right="1433"/>
        <w:jc w:val="both"/>
      </w:pPr>
      <w:r>
        <w:rPr/>
        <w:t>The four developed methods have maximum absorption (λmax) at 264 nm for 1 and 2 with 464 nm and 420 nm for methods 3 and 4 respectively. The calibration curves for quantitative determination of isoniazid in all the four developed methods obeyed Beers-Lamberts law within concentration range of 1-11 µg/mL for methods 1 and 2 and 1-18 µg/mL for methods 3 and 4 respectively. The coefficient of correlations (r) of the calibration curve is a measure of the linearity of the methods developed. In all four methods, their value was very close to unity, indicating the linearity of the methods. It clearly shows the direct proportional relationship and high correlation between the absorbance (y) and the respective concentration (x) used for this determination in the regression equations for the four developed methods (tables 4.4 and 4.6) wascompared to 0.996, 0.96, 0.9998 reported by Padmarajaiah</w:t>
      </w:r>
      <w:r>
        <w:rPr>
          <w:i/>
        </w:rPr>
        <w:t>et al., </w:t>
      </w:r>
      <w:r>
        <w:rPr/>
        <w:t>(2002), Pratap</w:t>
      </w:r>
      <w:r>
        <w:rPr>
          <w:i/>
        </w:rPr>
        <w:t>et al., </w:t>
      </w:r>
      <w:r>
        <w:rPr/>
        <w:t>(2012) and Arifa</w:t>
      </w:r>
      <w:r>
        <w:rPr>
          <w:i/>
        </w:rPr>
        <w:t>et al., </w:t>
      </w:r>
      <w:r>
        <w:rPr/>
        <w:t>(2013) the r value in our methods were better. Both methods 1 and 2 were found to</w:t>
      </w:r>
      <w:r>
        <w:rPr>
          <w:spacing w:val="6"/>
        </w:rPr>
        <w:t> </w:t>
      </w:r>
      <w:r>
        <w:rPr/>
        <w:t>have</w:t>
      </w:r>
      <w:r>
        <w:rPr>
          <w:spacing w:val="8"/>
        </w:rPr>
        <w:t> </w:t>
      </w:r>
      <w:r>
        <w:rPr/>
        <w:t>effective</w:t>
      </w:r>
      <w:r>
        <w:rPr>
          <w:spacing w:val="10"/>
        </w:rPr>
        <w:t> </w:t>
      </w:r>
      <w:r>
        <w:rPr/>
        <w:t>pH</w:t>
      </w:r>
      <w:r>
        <w:rPr>
          <w:spacing w:val="1"/>
        </w:rPr>
        <w:t> </w:t>
      </w:r>
      <w:r>
        <w:rPr/>
        <w:t>at</w:t>
      </w:r>
      <w:r>
        <w:rPr>
          <w:spacing w:val="9"/>
        </w:rPr>
        <w:t> </w:t>
      </w:r>
      <w:r>
        <w:rPr/>
        <w:t>4.</w:t>
      </w:r>
      <w:r>
        <w:rPr>
          <w:spacing w:val="9"/>
        </w:rPr>
        <w:t> </w:t>
      </w:r>
      <w:r>
        <w:rPr/>
        <w:t>This</w:t>
      </w:r>
      <w:r>
        <w:rPr>
          <w:spacing w:val="9"/>
        </w:rPr>
        <w:t> </w:t>
      </w:r>
      <w:r>
        <w:rPr/>
        <w:t>is</w:t>
      </w:r>
      <w:r>
        <w:rPr>
          <w:spacing w:val="10"/>
        </w:rPr>
        <w:t> </w:t>
      </w:r>
      <w:r>
        <w:rPr/>
        <w:t>the</w:t>
      </w:r>
      <w:r>
        <w:rPr>
          <w:spacing w:val="8"/>
        </w:rPr>
        <w:t> </w:t>
      </w:r>
      <w:r>
        <w:rPr/>
        <w:t>pH</w:t>
      </w:r>
      <w:r>
        <w:rPr>
          <w:spacing w:val="8"/>
        </w:rPr>
        <w:t> </w:t>
      </w:r>
      <w:r>
        <w:rPr/>
        <w:t>at</w:t>
      </w:r>
      <w:r>
        <w:rPr>
          <w:spacing w:val="12"/>
        </w:rPr>
        <w:t> </w:t>
      </w:r>
      <w:r>
        <w:rPr/>
        <w:t>which</w:t>
      </w:r>
      <w:r>
        <w:rPr>
          <w:spacing w:val="11"/>
        </w:rPr>
        <w:t> </w:t>
      </w:r>
      <w:r>
        <w:rPr/>
        <w:t>the</w:t>
      </w:r>
      <w:r>
        <w:rPr>
          <w:spacing w:val="8"/>
        </w:rPr>
        <w:t> </w:t>
      </w:r>
      <w:r>
        <w:rPr/>
        <w:t>drug</w:t>
      </w:r>
      <w:r>
        <w:rPr>
          <w:spacing w:val="9"/>
        </w:rPr>
        <w:t> </w:t>
      </w:r>
      <w:r>
        <w:rPr/>
        <w:t>absorbs</w:t>
      </w:r>
      <w:r>
        <w:rPr>
          <w:spacing w:val="9"/>
        </w:rPr>
        <w:t> </w:t>
      </w:r>
      <w:r>
        <w:rPr/>
        <w:t>maximally.</w:t>
      </w:r>
      <w:r>
        <w:rPr>
          <w:spacing w:val="9"/>
        </w:rPr>
        <w:t> </w:t>
      </w:r>
      <w:r>
        <w:rPr/>
        <w:t>Methods</w:t>
      </w:r>
      <w:r>
        <w:rPr>
          <w:spacing w:val="9"/>
        </w:rPr>
        <w:t> </w:t>
      </w:r>
      <w:r>
        <w:rPr/>
        <w:t>3</w:t>
      </w:r>
      <w:r>
        <w:rPr>
          <w:spacing w:val="11"/>
        </w:rPr>
        <w:t> </w:t>
      </w:r>
      <w:r>
        <w:rPr/>
        <w:t>and</w:t>
      </w:r>
      <w:r>
        <w:rPr>
          <w:spacing w:val="9"/>
        </w:rPr>
        <w:t> </w:t>
      </w:r>
      <w:r>
        <w:rPr>
          <w:spacing w:val="-10"/>
        </w:rPr>
        <w:t>4</w:t>
      </w:r>
    </w:p>
    <w:p>
      <w:pPr>
        <w:spacing w:after="0" w:line="480" w:lineRule="auto"/>
        <w:jc w:val="both"/>
        <w:sectPr>
          <w:pgSz w:w="12240" w:h="15840"/>
          <w:pgMar w:header="0" w:footer="1015" w:top="1360" w:bottom="1200" w:left="240" w:right="0"/>
        </w:sectPr>
      </w:pPr>
    </w:p>
    <w:p>
      <w:pPr>
        <w:pStyle w:val="BodyText"/>
        <w:spacing w:line="480" w:lineRule="auto" w:before="72"/>
        <w:ind w:left="1200" w:right="1437"/>
        <w:jc w:val="both"/>
      </w:pPr>
      <w:r>
        <w:rPr/>
        <w:t>were found to have effective concentrations of 18 µg/mL and effective volumes of 3 and 4 mL for methods 3 and 4 respectively. The yellow coloured hydrazine formed takes 15 minutes for</w:t>
      </w:r>
      <w:r>
        <w:rPr>
          <w:spacing w:val="40"/>
        </w:rPr>
        <w:t> </w:t>
      </w:r>
      <w:r>
        <w:rPr/>
        <w:t>the colour to completely develop while it takes 20 minutes for method 4 which indicates the methods are rapid..</w:t>
      </w:r>
    </w:p>
    <w:p>
      <w:pPr>
        <w:pStyle w:val="BodyText"/>
        <w:spacing w:before="5"/>
      </w:pPr>
    </w:p>
    <w:p>
      <w:pPr>
        <w:pStyle w:val="BodyText"/>
        <w:spacing w:line="480" w:lineRule="auto"/>
        <w:ind w:left="1200" w:right="1433"/>
        <w:jc w:val="both"/>
      </w:pPr>
      <w:r>
        <w:rPr/>
        <w:t>Precision which is express as Percentage of Coefficient of Variation (% CV). Both the intraday and interday precisions of the four methods developed were found to be very good. This is indicated by the very low % CV (table 4.5 and 4.7) recorded in all the methods which were within the acceptable limit of &lt; 15 % CV.(Padmarajaiah</w:t>
      </w:r>
      <w:r>
        <w:rPr>
          <w:i/>
        </w:rPr>
        <w:t>et al., </w:t>
      </w:r>
      <w:r>
        <w:rPr/>
        <w:t>(2002),Pratap</w:t>
      </w:r>
      <w:r>
        <w:rPr>
          <w:i/>
        </w:rPr>
        <w:t>et al., </w:t>
      </w:r>
      <w:r>
        <w:rPr/>
        <w:t>(2012) andArifa</w:t>
      </w:r>
      <w:r>
        <w:rPr>
          <w:i/>
        </w:rPr>
        <w:t>et al., </w:t>
      </w:r>
      <w:r>
        <w:rPr/>
        <w:t>(2013) reported the precisions of 0.35, 1.2, 1.37 % respectively. Precision of the developed UV/Vis spectrometric methods are satisfactory. This is in accordance with the</w:t>
      </w:r>
    </w:p>
    <w:p>
      <w:pPr>
        <w:pStyle w:val="BodyText"/>
        <w:spacing w:before="3"/>
      </w:pPr>
    </w:p>
    <w:p>
      <w:pPr>
        <w:pStyle w:val="BodyText"/>
        <w:spacing w:line="480" w:lineRule="auto"/>
        <w:ind w:left="1200" w:right="1431"/>
      </w:pPr>
      <w:r>
        <w:rPr/>
        <w:t>accuracy</w:t>
      </w:r>
      <w:r>
        <w:rPr>
          <w:spacing w:val="-7"/>
        </w:rPr>
        <w:t> </w:t>
      </w:r>
      <w:r>
        <w:rPr/>
        <w:t>of</w:t>
      </w:r>
      <w:r>
        <w:rPr>
          <w:spacing w:val="-2"/>
        </w:rPr>
        <w:t> </w:t>
      </w:r>
      <w:r>
        <w:rPr/>
        <w:t>the</w:t>
      </w:r>
      <w:r>
        <w:rPr>
          <w:spacing w:val="-4"/>
        </w:rPr>
        <w:t> </w:t>
      </w:r>
      <w:r>
        <w:rPr/>
        <w:t>four</w:t>
      </w:r>
      <w:r>
        <w:rPr>
          <w:spacing w:val="-2"/>
        </w:rPr>
        <w:t> </w:t>
      </w:r>
      <w:r>
        <w:rPr/>
        <w:t>developed</w:t>
      </w:r>
      <w:r>
        <w:rPr>
          <w:spacing w:val="-2"/>
        </w:rPr>
        <w:t> </w:t>
      </w:r>
      <w:r>
        <w:rPr/>
        <w:t>methods which</w:t>
      </w:r>
      <w:r>
        <w:rPr>
          <w:spacing w:val="-2"/>
        </w:rPr>
        <w:t> </w:t>
      </w:r>
      <w:r>
        <w:rPr/>
        <w:t>were</w:t>
      </w:r>
      <w:r>
        <w:rPr>
          <w:spacing w:val="-4"/>
        </w:rPr>
        <w:t> </w:t>
      </w:r>
      <w:r>
        <w:rPr/>
        <w:t>presented</w:t>
      </w:r>
      <w:r>
        <w:rPr>
          <w:spacing w:val="-1"/>
        </w:rPr>
        <w:t> </w:t>
      </w:r>
      <w:r>
        <w:rPr/>
        <w:t>as</w:t>
      </w:r>
      <w:r>
        <w:rPr>
          <w:spacing w:val="-2"/>
        </w:rPr>
        <w:t> </w:t>
      </w:r>
      <w:r>
        <w:rPr/>
        <w:t>the</w:t>
      </w:r>
      <w:r>
        <w:rPr>
          <w:spacing w:val="-1"/>
        </w:rPr>
        <w:t> </w:t>
      </w:r>
      <w:r>
        <w:rPr/>
        <w:t>percentage</w:t>
      </w:r>
      <w:r>
        <w:rPr>
          <w:spacing w:val="-4"/>
        </w:rPr>
        <w:t> </w:t>
      </w:r>
      <w:r>
        <w:rPr/>
        <w:t>relative</w:t>
      </w:r>
      <w:r>
        <w:rPr>
          <w:spacing w:val="-3"/>
        </w:rPr>
        <w:t> </w:t>
      </w:r>
      <w:r>
        <w:rPr/>
        <w:t>error</w:t>
      </w:r>
      <w:r>
        <w:rPr>
          <w:spacing w:val="-4"/>
        </w:rPr>
        <w:t> </w:t>
      </w:r>
      <w:r>
        <w:rPr/>
        <w:t>(% Er)</w:t>
      </w:r>
      <w:r>
        <w:rPr>
          <w:spacing w:val="-1"/>
        </w:rPr>
        <w:t> </w:t>
      </w:r>
      <w:r>
        <w:rPr/>
        <w:t>and</w:t>
      </w:r>
      <w:r>
        <w:rPr>
          <w:spacing w:val="-1"/>
        </w:rPr>
        <w:t> </w:t>
      </w:r>
      <w:r>
        <w:rPr/>
        <w:t>computed to be</w:t>
      </w:r>
      <w:r>
        <w:rPr>
          <w:spacing w:val="-1"/>
        </w:rPr>
        <w:t> </w:t>
      </w:r>
      <w:r>
        <w:rPr/>
        <w:t>4.13, 0.251, 0.328 and 0.670 %</w:t>
      </w:r>
      <w:r>
        <w:rPr>
          <w:spacing w:val="-1"/>
        </w:rPr>
        <w:t> </w:t>
      </w:r>
      <w:r>
        <w:rPr/>
        <w:t>UV</w:t>
      </w:r>
      <w:r>
        <w:rPr>
          <w:spacing w:val="-1"/>
        </w:rPr>
        <w:t> </w:t>
      </w:r>
      <w:r>
        <w:rPr/>
        <w:t>spectrophotometric methods using</w:t>
      </w:r>
      <w:r>
        <w:rPr>
          <w:spacing w:val="-2"/>
        </w:rPr>
        <w:t> </w:t>
      </w:r>
      <w:r>
        <w:rPr/>
        <w:t>w ater and methanol.and calorimetric methods using 2,4-dinitrophenylhydrazine and by diazotization</w:t>
      </w:r>
      <w:r>
        <w:rPr>
          <w:spacing w:val="40"/>
        </w:rPr>
        <w:t> </w:t>
      </w:r>
      <w:r>
        <w:rPr/>
        <w:t>respectivelyPadmarajaiah</w:t>
      </w:r>
      <w:r>
        <w:rPr>
          <w:i/>
        </w:rPr>
        <w:t>et</w:t>
      </w:r>
      <w:r>
        <w:rPr>
          <w:i/>
          <w:spacing w:val="40"/>
        </w:rPr>
        <w:t> </w:t>
      </w:r>
      <w:r>
        <w:rPr>
          <w:i/>
        </w:rPr>
        <w:t>al.,</w:t>
      </w:r>
      <w:r>
        <w:rPr>
          <w:i/>
          <w:spacing w:val="40"/>
        </w:rPr>
        <w:t> </w:t>
      </w:r>
      <w:r>
        <w:rPr/>
        <w:t>(2002),</w:t>
      </w:r>
      <w:r>
        <w:rPr>
          <w:spacing w:val="40"/>
        </w:rPr>
        <w:t> </w:t>
      </w:r>
      <w:r>
        <w:rPr/>
        <w:t>Pratap</w:t>
      </w:r>
      <w:r>
        <w:rPr>
          <w:i/>
        </w:rPr>
        <w:t>et</w:t>
      </w:r>
      <w:r>
        <w:rPr>
          <w:i/>
          <w:spacing w:val="40"/>
        </w:rPr>
        <w:t> </w:t>
      </w:r>
      <w:r>
        <w:rPr>
          <w:i/>
        </w:rPr>
        <w:t>al.,</w:t>
      </w:r>
      <w:r>
        <w:rPr/>
        <w:t>(2012)</w:t>
      </w:r>
      <w:r>
        <w:rPr>
          <w:spacing w:val="40"/>
        </w:rPr>
        <w:t> </w:t>
      </w:r>
      <w:r>
        <w:rPr/>
        <w:t>and</w:t>
      </w:r>
      <w:r>
        <w:rPr>
          <w:spacing w:val="40"/>
        </w:rPr>
        <w:t> </w:t>
      </w:r>
      <w:r>
        <w:rPr/>
        <w:t>Enoche,(2010)</w:t>
      </w:r>
      <w:r>
        <w:rPr>
          <w:spacing w:val="80"/>
        </w:rPr>
        <w:t> </w:t>
      </w:r>
      <w:r>
        <w:rPr/>
        <w:t>reported</w:t>
      </w:r>
      <w:r>
        <w:rPr>
          <w:spacing w:val="22"/>
        </w:rPr>
        <w:t> </w:t>
      </w:r>
      <w:r>
        <w:rPr/>
        <w:t>respectively</w:t>
      </w:r>
      <w:r>
        <w:rPr>
          <w:spacing w:val="80"/>
        </w:rPr>
        <w:t> </w:t>
      </w:r>
      <w:r>
        <w:rPr/>
        <w:t>0.4908,</w:t>
      </w:r>
      <w:r>
        <w:rPr>
          <w:spacing w:val="22"/>
        </w:rPr>
        <w:t> </w:t>
      </w:r>
      <w:r>
        <w:rPr/>
        <w:t>0.05</w:t>
      </w:r>
      <w:r>
        <w:rPr>
          <w:spacing w:val="22"/>
        </w:rPr>
        <w:t> </w:t>
      </w:r>
      <w:r>
        <w:rPr/>
        <w:t>and</w:t>
      </w:r>
      <w:r>
        <w:rPr>
          <w:spacing w:val="22"/>
        </w:rPr>
        <w:t> </w:t>
      </w:r>
      <w:r>
        <w:rPr/>
        <w:t>2.47</w:t>
      </w:r>
      <w:r>
        <w:rPr>
          <w:spacing w:val="22"/>
        </w:rPr>
        <w:t> </w:t>
      </w:r>
      <w:r>
        <w:rPr/>
        <w:t>%.</w:t>
      </w:r>
      <w:r>
        <w:rPr>
          <w:spacing w:val="20"/>
        </w:rPr>
        <w:t> </w:t>
      </w:r>
      <w:r>
        <w:rPr/>
        <w:t>They</w:t>
      </w:r>
      <w:r>
        <w:rPr>
          <w:spacing w:val="17"/>
        </w:rPr>
        <w:t> </w:t>
      </w:r>
      <w:r>
        <w:rPr/>
        <w:t>were</w:t>
      </w:r>
      <w:r>
        <w:rPr>
          <w:spacing w:val="21"/>
        </w:rPr>
        <w:t> </w:t>
      </w:r>
      <w:r>
        <w:rPr/>
        <w:t>all</w:t>
      </w:r>
      <w:r>
        <w:rPr>
          <w:spacing w:val="23"/>
        </w:rPr>
        <w:t> </w:t>
      </w:r>
      <w:r>
        <w:rPr/>
        <w:t>within</w:t>
      </w:r>
      <w:r>
        <w:rPr>
          <w:spacing w:val="22"/>
        </w:rPr>
        <w:t> </w:t>
      </w:r>
      <w:r>
        <w:rPr/>
        <w:t>the</w:t>
      </w:r>
      <w:r>
        <w:rPr>
          <w:spacing w:val="19"/>
        </w:rPr>
        <w:t> </w:t>
      </w:r>
      <w:r>
        <w:rPr/>
        <w:t>range</w:t>
      </w:r>
      <w:r>
        <w:rPr>
          <w:spacing w:val="21"/>
        </w:rPr>
        <w:t> </w:t>
      </w:r>
      <w:r>
        <w:rPr/>
        <w:t>of</w:t>
      </w:r>
      <w:r>
        <w:rPr>
          <w:spacing w:val="22"/>
        </w:rPr>
        <w:t> </w:t>
      </w:r>
      <w:r>
        <w:rPr/>
        <w:t>(&lt;</w:t>
      </w:r>
      <w:r>
        <w:rPr>
          <w:spacing w:val="21"/>
        </w:rPr>
        <w:t> </w:t>
      </w:r>
      <w:r>
        <w:rPr/>
        <w:t>5</w:t>
      </w:r>
      <w:r>
        <w:rPr>
          <w:spacing w:val="22"/>
        </w:rPr>
        <w:t> </w:t>
      </w:r>
      <w:r>
        <w:rPr/>
        <w:t>%)</w:t>
      </w:r>
      <w:r>
        <w:rPr>
          <w:spacing w:val="22"/>
        </w:rPr>
        <w:t> </w:t>
      </w:r>
      <w:r>
        <w:rPr/>
        <w:t>for moderately accurate</w:t>
      </w:r>
      <w:r>
        <w:rPr>
          <w:spacing w:val="32"/>
        </w:rPr>
        <w:t> </w:t>
      </w:r>
      <w:r>
        <w:rPr/>
        <w:t>procedure</w:t>
      </w:r>
      <w:r>
        <w:rPr>
          <w:spacing w:val="33"/>
        </w:rPr>
        <w:t> </w:t>
      </w:r>
      <w:r>
        <w:rPr/>
        <w:t>(Harvey,</w:t>
      </w:r>
      <w:r>
        <w:rPr>
          <w:spacing w:val="32"/>
        </w:rPr>
        <w:t> </w:t>
      </w:r>
      <w:r>
        <w:rPr/>
        <w:t>2000).</w:t>
      </w:r>
      <w:r>
        <w:rPr>
          <w:spacing w:val="35"/>
        </w:rPr>
        <w:t> </w:t>
      </w:r>
      <w:r>
        <w:rPr/>
        <w:t>Percentage</w:t>
      </w:r>
      <w:r>
        <w:rPr>
          <w:spacing w:val="31"/>
        </w:rPr>
        <w:t> </w:t>
      </w:r>
      <w:r>
        <w:rPr/>
        <w:t>recoveries</w:t>
      </w:r>
      <w:r>
        <w:rPr>
          <w:spacing w:val="33"/>
        </w:rPr>
        <w:t> </w:t>
      </w:r>
      <w:r>
        <w:rPr/>
        <w:t>determined</w:t>
      </w:r>
      <w:r>
        <w:rPr>
          <w:spacing w:val="32"/>
        </w:rPr>
        <w:t> </w:t>
      </w:r>
      <w:r>
        <w:rPr/>
        <w:t>for</w:t>
      </w:r>
      <w:r>
        <w:rPr>
          <w:spacing w:val="36"/>
        </w:rPr>
        <w:t> </w:t>
      </w:r>
      <w:r>
        <w:rPr/>
        <w:t>the</w:t>
      </w:r>
      <w:r>
        <w:rPr>
          <w:spacing w:val="34"/>
        </w:rPr>
        <w:t> </w:t>
      </w:r>
      <w:r>
        <w:rPr/>
        <w:t>four developed methods (102.02, 99.8, 99.83 and 100.06) were in the range of</w:t>
      </w:r>
      <w:r>
        <w:rPr>
          <w:spacing w:val="40"/>
        </w:rPr>
        <w:t> </w:t>
      </w:r>
      <w:r>
        <w:rPr/>
        <w:t>percentage recoveries of</w:t>
      </w:r>
      <w:r>
        <w:rPr>
          <w:spacing w:val="30"/>
        </w:rPr>
        <w:t> </w:t>
      </w:r>
      <w:r>
        <w:rPr/>
        <w:t>100.63,</w:t>
      </w:r>
      <w:r>
        <w:rPr>
          <w:spacing w:val="31"/>
        </w:rPr>
        <w:t> </w:t>
      </w:r>
      <w:r>
        <w:rPr/>
        <w:t>99.0</w:t>
      </w:r>
      <w:r>
        <w:rPr>
          <w:spacing w:val="33"/>
        </w:rPr>
        <w:t> </w:t>
      </w:r>
      <w:r>
        <w:rPr/>
        <w:t>and</w:t>
      </w:r>
      <w:r>
        <w:rPr>
          <w:spacing w:val="31"/>
        </w:rPr>
        <w:t> </w:t>
      </w:r>
      <w:r>
        <w:rPr/>
        <w:t>100.95</w:t>
      </w:r>
      <w:r>
        <w:rPr>
          <w:spacing w:val="31"/>
        </w:rPr>
        <w:t> </w:t>
      </w:r>
      <w:r>
        <w:rPr/>
        <w:t>%</w:t>
      </w:r>
      <w:r>
        <w:rPr>
          <w:spacing w:val="30"/>
        </w:rPr>
        <w:t> </w:t>
      </w:r>
      <w:r>
        <w:rPr/>
        <w:t>reported</w:t>
      </w:r>
      <w:r>
        <w:rPr>
          <w:spacing w:val="33"/>
        </w:rPr>
        <w:t> </w:t>
      </w:r>
      <w:r>
        <w:rPr/>
        <w:t>by</w:t>
      </w:r>
      <w:r>
        <w:rPr>
          <w:spacing w:val="26"/>
        </w:rPr>
        <w:t> </w:t>
      </w:r>
      <w:r>
        <w:rPr/>
        <w:t>Enoche,</w:t>
      </w:r>
      <w:r>
        <w:rPr>
          <w:spacing w:val="36"/>
        </w:rPr>
        <w:t> </w:t>
      </w:r>
      <w:r>
        <w:rPr/>
        <w:t>(2010),</w:t>
      </w:r>
      <w:r>
        <w:rPr>
          <w:spacing w:val="33"/>
        </w:rPr>
        <w:t> </w:t>
      </w:r>
      <w:r>
        <w:rPr/>
        <w:t>Pratap</w:t>
      </w:r>
      <w:r>
        <w:rPr>
          <w:i/>
        </w:rPr>
        <w:t>et</w:t>
      </w:r>
      <w:r>
        <w:rPr>
          <w:i/>
          <w:spacing w:val="31"/>
        </w:rPr>
        <w:t> </w:t>
      </w:r>
      <w:r>
        <w:rPr>
          <w:i/>
        </w:rPr>
        <w:t>al.,</w:t>
      </w:r>
      <w:r>
        <w:rPr/>
        <w:t>(2012)</w:t>
      </w:r>
      <w:r>
        <w:rPr>
          <w:spacing w:val="30"/>
        </w:rPr>
        <w:t> </w:t>
      </w:r>
      <w:r>
        <w:rPr/>
        <w:t>andArifa</w:t>
      </w:r>
      <w:r>
        <w:rPr>
          <w:i/>
        </w:rPr>
        <w:t>et</w:t>
      </w:r>
      <w:r>
        <w:rPr>
          <w:i/>
          <w:spacing w:val="34"/>
        </w:rPr>
        <w:t> </w:t>
      </w:r>
      <w:r>
        <w:rPr>
          <w:i/>
        </w:rPr>
        <w:t>al., </w:t>
      </w:r>
      <w:r>
        <w:rPr/>
        <w:t>(2013). LOD is the lowest quantity of drug a method can detect limit of detection in the solution but not necessarily quantify..</w:t>
      </w:r>
    </w:p>
    <w:p>
      <w:pPr>
        <w:pStyle w:val="BodyText"/>
        <w:spacing w:before="6"/>
      </w:pPr>
    </w:p>
    <w:p>
      <w:pPr>
        <w:pStyle w:val="BodyText"/>
        <w:spacing w:line="480" w:lineRule="auto" w:before="1"/>
        <w:ind w:left="1260" w:right="1431" w:hanging="60"/>
      </w:pPr>
      <w:r>
        <w:rPr/>
        <w:t>LOD</w:t>
      </w:r>
      <w:r>
        <w:rPr>
          <w:spacing w:val="-4"/>
        </w:rPr>
        <w:t> </w:t>
      </w:r>
      <w:r>
        <w:rPr/>
        <w:t>for</w:t>
      </w:r>
      <w:r>
        <w:rPr>
          <w:spacing w:val="-5"/>
        </w:rPr>
        <w:t> </w:t>
      </w:r>
      <w:r>
        <w:rPr/>
        <w:t>the</w:t>
      </w:r>
      <w:r>
        <w:rPr>
          <w:spacing w:val="-1"/>
        </w:rPr>
        <w:t> </w:t>
      </w:r>
      <w:r>
        <w:rPr/>
        <w:t>four</w:t>
      </w:r>
      <w:r>
        <w:rPr>
          <w:spacing w:val="-5"/>
        </w:rPr>
        <w:t> </w:t>
      </w:r>
      <w:r>
        <w:rPr/>
        <w:t>methods</w:t>
      </w:r>
      <w:r>
        <w:rPr>
          <w:spacing w:val="-2"/>
        </w:rPr>
        <w:t> </w:t>
      </w:r>
      <w:r>
        <w:rPr/>
        <w:t>were</w:t>
      </w:r>
      <w:r>
        <w:rPr>
          <w:spacing w:val="-5"/>
        </w:rPr>
        <w:t> </w:t>
      </w:r>
      <w:r>
        <w:rPr/>
        <w:t>0.113,</w:t>
      </w:r>
      <w:r>
        <w:rPr>
          <w:spacing w:val="-3"/>
        </w:rPr>
        <w:t> </w:t>
      </w:r>
      <w:r>
        <w:rPr/>
        <w:t>0.145,</w:t>
      </w:r>
      <w:r>
        <w:rPr>
          <w:spacing w:val="-3"/>
        </w:rPr>
        <w:t> </w:t>
      </w:r>
      <w:r>
        <w:rPr/>
        <w:t>0.355</w:t>
      </w:r>
      <w:r>
        <w:rPr>
          <w:spacing w:val="-3"/>
        </w:rPr>
        <w:t> </w:t>
      </w:r>
      <w:r>
        <w:rPr/>
        <w:t>and</w:t>
      </w:r>
      <w:r>
        <w:rPr>
          <w:spacing w:val="-3"/>
        </w:rPr>
        <w:t> </w:t>
      </w:r>
      <w:r>
        <w:rPr/>
        <w:t>0.185</w:t>
      </w:r>
      <w:r>
        <w:rPr>
          <w:spacing w:val="-3"/>
        </w:rPr>
        <w:t> </w:t>
      </w:r>
      <w:r>
        <w:rPr/>
        <w:t>µg/mL</w:t>
      </w:r>
      <w:r>
        <w:rPr>
          <w:spacing w:val="-6"/>
        </w:rPr>
        <w:t> </w:t>
      </w:r>
      <w:r>
        <w:rPr/>
        <w:t>for</w:t>
      </w:r>
      <w:r>
        <w:rPr>
          <w:spacing w:val="-3"/>
        </w:rPr>
        <w:t> </w:t>
      </w:r>
      <w:r>
        <w:rPr/>
        <w:t>UV</w:t>
      </w:r>
      <w:r>
        <w:rPr>
          <w:spacing w:val="-4"/>
        </w:rPr>
        <w:t> </w:t>
      </w:r>
      <w:r>
        <w:rPr/>
        <w:t>spectrophotometric methods</w:t>
      </w:r>
      <w:r>
        <w:rPr>
          <w:spacing w:val="-1"/>
        </w:rPr>
        <w:t> </w:t>
      </w:r>
      <w:r>
        <w:rPr/>
        <w:t>using</w:t>
      </w:r>
      <w:r>
        <w:rPr>
          <w:spacing w:val="-3"/>
        </w:rPr>
        <w:t> </w:t>
      </w:r>
      <w:r>
        <w:rPr/>
        <w:t>water</w:t>
      </w:r>
      <w:r>
        <w:rPr>
          <w:spacing w:val="-2"/>
        </w:rPr>
        <w:t> </w:t>
      </w:r>
      <w:r>
        <w:rPr/>
        <w:t>and</w:t>
      </w:r>
      <w:r>
        <w:rPr>
          <w:spacing w:val="2"/>
        </w:rPr>
        <w:t> </w:t>
      </w:r>
      <w:r>
        <w:rPr/>
        <w:t>methanol.and</w:t>
      </w:r>
      <w:r>
        <w:rPr>
          <w:spacing w:val="-1"/>
        </w:rPr>
        <w:t> </w:t>
      </w:r>
      <w:r>
        <w:rPr/>
        <w:t>calorimetric</w:t>
      </w:r>
      <w:r>
        <w:rPr>
          <w:spacing w:val="-1"/>
        </w:rPr>
        <w:t> </w:t>
      </w:r>
      <w:r>
        <w:rPr/>
        <w:t>methods</w:t>
      </w:r>
      <w:r>
        <w:rPr>
          <w:spacing w:val="-1"/>
        </w:rPr>
        <w:t> </w:t>
      </w:r>
      <w:r>
        <w:rPr/>
        <w:t>using</w:t>
      </w:r>
      <w:r>
        <w:rPr>
          <w:spacing w:val="-3"/>
        </w:rPr>
        <w:t> </w:t>
      </w:r>
      <w:r>
        <w:rPr/>
        <w:t>2,4-dinitrophenylhydrazine</w:t>
      </w:r>
      <w:r>
        <w:rPr>
          <w:spacing w:val="1"/>
        </w:rPr>
        <w:t> </w:t>
      </w:r>
      <w:r>
        <w:rPr>
          <w:spacing w:val="-10"/>
        </w:rPr>
        <w:t>a</w:t>
      </w:r>
    </w:p>
    <w:p>
      <w:pPr>
        <w:spacing w:after="0" w:line="480" w:lineRule="auto"/>
        <w:sectPr>
          <w:pgSz w:w="12240" w:h="15840"/>
          <w:pgMar w:header="0" w:footer="1015" w:top="1360" w:bottom="1200" w:left="240" w:right="0"/>
        </w:sectPr>
      </w:pPr>
    </w:p>
    <w:p>
      <w:pPr>
        <w:pStyle w:val="BodyText"/>
        <w:spacing w:line="480" w:lineRule="auto" w:before="72"/>
        <w:ind w:left="1200" w:right="1437"/>
        <w:jc w:val="both"/>
      </w:pPr>
      <w:r>
        <w:rPr/>
        <w:t>nd</w:t>
      </w:r>
      <w:r>
        <w:rPr>
          <w:spacing w:val="-2"/>
        </w:rPr>
        <w:t> </w:t>
      </w:r>
      <w:r>
        <w:rPr/>
        <w:t>by</w:t>
      </w:r>
      <w:r>
        <w:rPr>
          <w:spacing w:val="-6"/>
        </w:rPr>
        <w:t> </w:t>
      </w:r>
      <w:r>
        <w:rPr/>
        <w:t>diazotization</w:t>
      </w:r>
      <w:r>
        <w:rPr>
          <w:spacing w:val="-1"/>
        </w:rPr>
        <w:t> </w:t>
      </w:r>
      <w:r>
        <w:rPr/>
        <w:t>respectively</w:t>
      </w:r>
      <w:r>
        <w:rPr>
          <w:spacing w:val="-6"/>
        </w:rPr>
        <w:t> </w:t>
      </w:r>
      <w:r>
        <w:rPr/>
        <w:t>indicating better sensitivity of the methods as compared to 0.3243, 0.481, 80 and0.585 µg/mL reported by Padmarajaiah</w:t>
      </w:r>
      <w:r>
        <w:rPr>
          <w:i/>
        </w:rPr>
        <w:t>et al., </w:t>
      </w:r>
      <w:r>
        <w:rPr/>
        <w:t>(2002), Pratap</w:t>
      </w:r>
      <w:r>
        <w:rPr>
          <w:i/>
        </w:rPr>
        <w:t>et al., </w:t>
      </w:r>
      <w:r>
        <w:rPr/>
        <w:t>(2012), Nagaraju</w:t>
      </w:r>
      <w:r>
        <w:rPr>
          <w:i/>
        </w:rPr>
        <w:t>et al., </w:t>
      </w:r>
      <w:r>
        <w:rPr/>
        <w:t>(2012) and Arifa</w:t>
      </w:r>
      <w:r>
        <w:rPr>
          <w:i/>
        </w:rPr>
        <w:t>et al., </w:t>
      </w:r>
      <w:r>
        <w:rPr/>
        <w:t>(2013) respectively. The limit of quantification (LOQ) is the small quantity of drug a method can detect and</w:t>
      </w:r>
      <w:r>
        <w:rPr>
          <w:spacing w:val="-1"/>
        </w:rPr>
        <w:t> </w:t>
      </w:r>
      <w:r>
        <w:rPr/>
        <w:t>quantify in a solution. LOQ for the four methods UV spectrophotometric methods using</w:t>
      </w:r>
      <w:r>
        <w:rPr>
          <w:spacing w:val="-1"/>
        </w:rPr>
        <w:t> </w:t>
      </w:r>
      <w:r>
        <w:rPr/>
        <w:t>water and methanol.and calorimetric methods us ing</w:t>
      </w:r>
      <w:r>
        <w:rPr>
          <w:spacing w:val="-5"/>
        </w:rPr>
        <w:t> </w:t>
      </w:r>
      <w:r>
        <w:rPr/>
        <w:t>2,4-dinitrophenylhydrazine</w:t>
      </w:r>
      <w:r>
        <w:rPr>
          <w:spacing w:val="-2"/>
        </w:rPr>
        <w:t> </w:t>
      </w:r>
      <w:r>
        <w:rPr/>
        <w:t>and</w:t>
      </w:r>
      <w:r>
        <w:rPr>
          <w:spacing w:val="-3"/>
        </w:rPr>
        <w:t> </w:t>
      </w:r>
      <w:r>
        <w:rPr/>
        <w:t>by</w:t>
      </w:r>
      <w:r>
        <w:rPr>
          <w:spacing w:val="-8"/>
        </w:rPr>
        <w:t> </w:t>
      </w:r>
      <w:r>
        <w:rPr/>
        <w:t>diazotization respectively which</w:t>
      </w:r>
      <w:r>
        <w:rPr>
          <w:spacing w:val="-1"/>
        </w:rPr>
        <w:t> </w:t>
      </w:r>
      <w:r>
        <w:rPr/>
        <w:t>were 0.342, 0.438, 1.076 and</w:t>
      </w:r>
      <w:r>
        <w:rPr>
          <w:spacing w:val="44"/>
        </w:rPr>
        <w:t> </w:t>
      </w:r>
      <w:r>
        <w:rPr/>
        <w:t>0.559</w:t>
      </w:r>
      <w:r>
        <w:rPr>
          <w:spacing w:val="44"/>
        </w:rPr>
        <w:t> </w:t>
      </w:r>
      <w:r>
        <w:rPr/>
        <w:t>µg/mL</w:t>
      </w:r>
      <w:r>
        <w:rPr>
          <w:spacing w:val="41"/>
        </w:rPr>
        <w:t> </w:t>
      </w:r>
      <w:r>
        <w:rPr/>
        <w:t>respectively</w:t>
      </w:r>
      <w:r>
        <w:rPr>
          <w:spacing w:val="41"/>
        </w:rPr>
        <w:t> </w:t>
      </w:r>
      <w:r>
        <w:rPr/>
        <w:t>were</w:t>
      </w:r>
      <w:r>
        <w:rPr>
          <w:spacing w:val="42"/>
        </w:rPr>
        <w:t> </w:t>
      </w:r>
      <w:r>
        <w:rPr/>
        <w:t>higher</w:t>
      </w:r>
      <w:r>
        <w:rPr>
          <w:spacing w:val="44"/>
        </w:rPr>
        <w:t> </w:t>
      </w:r>
      <w:r>
        <w:rPr/>
        <w:t>than 1.08,</w:t>
      </w:r>
      <w:r>
        <w:rPr>
          <w:spacing w:val="45"/>
        </w:rPr>
        <w:t> </w:t>
      </w:r>
      <w:r>
        <w:rPr/>
        <w:t>1,59,</w:t>
      </w:r>
      <w:r>
        <w:rPr>
          <w:spacing w:val="44"/>
        </w:rPr>
        <w:t> </w:t>
      </w:r>
      <w:r>
        <w:rPr/>
        <w:t>240,</w:t>
      </w:r>
      <w:r>
        <w:rPr>
          <w:spacing w:val="44"/>
        </w:rPr>
        <w:t> </w:t>
      </w:r>
      <w:r>
        <w:rPr/>
        <w:t>1,772</w:t>
      </w:r>
      <w:r>
        <w:rPr>
          <w:spacing w:val="42"/>
        </w:rPr>
        <w:t> </w:t>
      </w:r>
      <w:r>
        <w:rPr/>
        <w:t>µg/ml</w:t>
      </w:r>
      <w:r>
        <w:rPr>
          <w:spacing w:val="44"/>
        </w:rPr>
        <w:t> </w:t>
      </w:r>
      <w:r>
        <w:rPr/>
        <w:t>as</w:t>
      </w:r>
      <w:r>
        <w:rPr>
          <w:spacing w:val="44"/>
        </w:rPr>
        <w:t> </w:t>
      </w:r>
      <w:r>
        <w:rPr/>
        <w:t>reported</w:t>
      </w:r>
      <w:r>
        <w:rPr>
          <w:spacing w:val="45"/>
        </w:rPr>
        <w:t> </w:t>
      </w:r>
      <w:r>
        <w:rPr>
          <w:spacing w:val="-5"/>
        </w:rPr>
        <w:t>by</w:t>
      </w:r>
    </w:p>
    <w:p>
      <w:pPr>
        <w:pStyle w:val="BodyText"/>
        <w:spacing w:line="480" w:lineRule="auto" w:before="1"/>
        <w:ind w:left="1200" w:right="1432"/>
        <w:jc w:val="both"/>
      </w:pPr>
      <w:r>
        <w:rPr/>
        <w:t>Padmarajaiah</w:t>
      </w:r>
      <w:r>
        <w:rPr>
          <w:i/>
        </w:rPr>
        <w:t>et al., </w:t>
      </w:r>
      <w:r>
        <w:rPr/>
        <w:t>(2002), Pratap</w:t>
      </w:r>
      <w:r>
        <w:rPr>
          <w:i/>
        </w:rPr>
        <w:t>et al., </w:t>
      </w:r>
      <w:r>
        <w:rPr/>
        <w:t>(2012), Nagaraju</w:t>
      </w:r>
      <w:r>
        <w:rPr>
          <w:i/>
        </w:rPr>
        <w:t>et al., </w:t>
      </w:r>
      <w:r>
        <w:rPr/>
        <w:t>(2012) and Arifa</w:t>
      </w:r>
      <w:r>
        <w:rPr>
          <w:i/>
        </w:rPr>
        <w:t>et al., </w:t>
      </w:r>
      <w:r>
        <w:rPr/>
        <w:t>(2013) respectively.The limit of detection (LOD) and limit of quantification (LOQ) are the function of sensitivity</w:t>
      </w:r>
      <w:r>
        <w:rPr>
          <w:spacing w:val="-8"/>
        </w:rPr>
        <w:t> </w:t>
      </w:r>
      <w:r>
        <w:rPr/>
        <w:t>of</w:t>
      </w:r>
      <w:r>
        <w:rPr>
          <w:spacing w:val="-1"/>
        </w:rPr>
        <w:t> </w:t>
      </w:r>
      <w:r>
        <w:rPr/>
        <w:t>the</w:t>
      </w:r>
      <w:r>
        <w:rPr>
          <w:spacing w:val="-1"/>
        </w:rPr>
        <w:t> </w:t>
      </w:r>
      <w:r>
        <w:rPr/>
        <w:t>methods detect and quantify</w:t>
      </w:r>
      <w:r>
        <w:rPr>
          <w:spacing w:val="-5"/>
        </w:rPr>
        <w:t> </w:t>
      </w:r>
      <w:r>
        <w:rPr/>
        <w:t>within acceptable</w:t>
      </w:r>
      <w:r>
        <w:rPr>
          <w:spacing w:val="-1"/>
        </w:rPr>
        <w:t> </w:t>
      </w:r>
      <w:r>
        <w:rPr/>
        <w:t>precision and accuracy</w:t>
      </w:r>
      <w:r>
        <w:rPr>
          <w:spacing w:val="-5"/>
        </w:rPr>
        <w:t> </w:t>
      </w:r>
      <w:r>
        <w:rPr/>
        <w:t>under</w:t>
      </w:r>
      <w:r>
        <w:rPr>
          <w:spacing w:val="-1"/>
        </w:rPr>
        <w:t> </w:t>
      </w:r>
      <w:r>
        <w:rPr/>
        <w:t>the stated condition of tests.</w:t>
      </w:r>
    </w:p>
    <w:p>
      <w:pPr>
        <w:pStyle w:val="BodyText"/>
        <w:spacing w:before="2"/>
      </w:pPr>
    </w:p>
    <w:p>
      <w:pPr>
        <w:pStyle w:val="BodyText"/>
        <w:spacing w:line="480" w:lineRule="auto" w:before="1"/>
        <w:ind w:left="1200" w:right="1435"/>
        <w:jc w:val="both"/>
      </w:pPr>
      <w:r>
        <w:rPr/>
        <w:t>A comparison of themean percentage content of the isoniazid assayed using the developed methods and by using the official method (BP, 2009) showed thatno statistical significant difference (</w:t>
      </w:r>
      <w:r>
        <w:rPr>
          <w:i/>
        </w:rPr>
        <w:t>p</w:t>
      </w:r>
      <w:r>
        <w:rPr/>
        <w:t>&lt; 0.05) was observed in the mean percentage contents of isoniazid.Therefore, the developed methods can be interchanged with the official method for the routine assay of isoniazid. UVspectrophotometric method using distilled waterhas the highest recovery of isoniazidcompared with the other developed methods(table 4.8).</w:t>
      </w:r>
    </w:p>
    <w:p>
      <w:pPr>
        <w:spacing w:after="0" w:line="480" w:lineRule="auto"/>
        <w:jc w:val="both"/>
        <w:sectPr>
          <w:pgSz w:w="12240" w:h="15840"/>
          <w:pgMar w:header="0" w:footer="1015" w:top="1360" w:bottom="1200" w:left="240" w:right="0"/>
        </w:sectPr>
      </w:pPr>
    </w:p>
    <w:p>
      <w:pPr>
        <w:pStyle w:val="Heading2"/>
        <w:spacing w:before="76"/>
        <w:ind w:right="1495"/>
      </w:pPr>
      <w:bookmarkStart w:name="_TOC_250003" w:id="31"/>
      <w:r>
        <w:rPr/>
        <w:t>CHAPTER</w:t>
      </w:r>
      <w:r>
        <w:rPr>
          <w:spacing w:val="-4"/>
        </w:rPr>
        <w:t> </w:t>
      </w:r>
      <w:bookmarkEnd w:id="31"/>
      <w:r>
        <w:rPr>
          <w:spacing w:val="-5"/>
        </w:rPr>
        <w:t>SIX</w:t>
      </w:r>
    </w:p>
    <w:p>
      <w:pPr>
        <w:pStyle w:val="BodyText"/>
        <w:spacing w:before="161"/>
        <w:rPr>
          <w:b/>
        </w:rPr>
      </w:pPr>
    </w:p>
    <w:p>
      <w:pPr>
        <w:pStyle w:val="ListParagraph"/>
        <w:numPr>
          <w:ilvl w:val="1"/>
          <w:numId w:val="15"/>
        </w:numPr>
        <w:tabs>
          <w:tab w:pos="3571" w:val="left" w:leader="none"/>
        </w:tabs>
        <w:spacing w:line="240" w:lineRule="auto" w:before="1" w:after="0"/>
        <w:ind w:left="3571" w:right="0" w:hanging="360"/>
        <w:jc w:val="left"/>
        <w:rPr>
          <w:b/>
          <w:sz w:val="24"/>
        </w:rPr>
      </w:pPr>
      <w:r>
        <w:rPr>
          <w:b/>
          <w:sz w:val="24"/>
        </w:rPr>
        <w:t>CONCLUSIONS</w:t>
      </w:r>
      <w:r>
        <w:rPr>
          <w:b/>
          <w:spacing w:val="-1"/>
          <w:sz w:val="24"/>
        </w:rPr>
        <w:t> </w:t>
      </w:r>
      <w:r>
        <w:rPr>
          <w:b/>
          <w:sz w:val="24"/>
        </w:rPr>
        <w:t>AND</w:t>
      </w:r>
      <w:r>
        <w:rPr>
          <w:b/>
          <w:spacing w:val="-1"/>
          <w:sz w:val="24"/>
        </w:rPr>
        <w:t> </w:t>
      </w:r>
      <w:r>
        <w:rPr>
          <w:b/>
          <w:spacing w:val="-2"/>
          <w:sz w:val="24"/>
        </w:rPr>
        <w:t>RECOMMENDATIONS</w:t>
      </w:r>
    </w:p>
    <w:p>
      <w:pPr>
        <w:pStyle w:val="Heading3"/>
        <w:numPr>
          <w:ilvl w:val="1"/>
          <w:numId w:val="15"/>
        </w:numPr>
        <w:tabs>
          <w:tab w:pos="5439" w:val="left" w:leader="none"/>
        </w:tabs>
        <w:spacing w:line="240" w:lineRule="auto" w:before="175" w:after="0"/>
        <w:ind w:left="5439" w:right="0" w:hanging="360"/>
        <w:jc w:val="left"/>
      </w:pPr>
      <w:r>
        <w:rPr>
          <w:spacing w:val="-2"/>
        </w:rPr>
        <w:t>Conclusions</w:t>
      </w:r>
    </w:p>
    <w:p>
      <w:pPr>
        <w:pStyle w:val="BodyText"/>
        <w:spacing w:before="156"/>
        <w:rPr>
          <w:b/>
        </w:rPr>
      </w:pPr>
    </w:p>
    <w:p>
      <w:pPr>
        <w:pStyle w:val="BodyText"/>
        <w:ind w:left="1200"/>
        <w:jc w:val="both"/>
      </w:pPr>
      <w:r>
        <w:rPr/>
        <w:t>From</w:t>
      </w:r>
      <w:r>
        <w:rPr>
          <w:spacing w:val="-1"/>
        </w:rPr>
        <w:t> </w:t>
      </w:r>
      <w:r>
        <w:rPr/>
        <w:t>results</w:t>
      </w:r>
      <w:r>
        <w:rPr>
          <w:spacing w:val="-1"/>
        </w:rPr>
        <w:t> </w:t>
      </w:r>
      <w:r>
        <w:rPr/>
        <w:t>obtained,</w:t>
      </w:r>
      <w:r>
        <w:rPr>
          <w:spacing w:val="-1"/>
        </w:rPr>
        <w:t> </w:t>
      </w:r>
      <w:r>
        <w:rPr/>
        <w:t>it</w:t>
      </w:r>
      <w:r>
        <w:rPr>
          <w:spacing w:val="1"/>
        </w:rPr>
        <w:t> </w:t>
      </w:r>
      <w:r>
        <w:rPr/>
        <w:t>can</w:t>
      </w:r>
      <w:r>
        <w:rPr>
          <w:spacing w:val="-1"/>
        </w:rPr>
        <w:t> </w:t>
      </w:r>
      <w:r>
        <w:rPr/>
        <w:t>be concluded</w:t>
      </w:r>
      <w:r>
        <w:rPr>
          <w:spacing w:val="-1"/>
        </w:rPr>
        <w:t> </w:t>
      </w:r>
      <w:r>
        <w:rPr/>
        <w:t>that</w:t>
      </w:r>
      <w:r>
        <w:rPr>
          <w:spacing w:val="-1"/>
        </w:rPr>
        <w:t> </w:t>
      </w:r>
      <w:r>
        <w:rPr/>
        <w:t>four</w:t>
      </w:r>
      <w:r>
        <w:rPr>
          <w:spacing w:val="-2"/>
        </w:rPr>
        <w:t> </w:t>
      </w:r>
      <w:r>
        <w:rPr/>
        <w:t>new</w:t>
      </w:r>
      <w:r>
        <w:rPr>
          <w:spacing w:val="-1"/>
        </w:rPr>
        <w:t> </w:t>
      </w:r>
      <w:r>
        <w:rPr/>
        <w:t>spectrophotometric</w:t>
      </w:r>
      <w:r>
        <w:rPr>
          <w:spacing w:val="-1"/>
        </w:rPr>
        <w:t> </w:t>
      </w:r>
      <w:r>
        <w:rPr/>
        <w:t>methods </w:t>
      </w:r>
      <w:r>
        <w:rPr>
          <w:spacing w:val="-5"/>
        </w:rPr>
        <w:t>for</w:t>
      </w:r>
    </w:p>
    <w:p>
      <w:pPr>
        <w:pStyle w:val="BodyText"/>
        <w:spacing w:before="158"/>
      </w:pPr>
    </w:p>
    <w:p>
      <w:pPr>
        <w:pStyle w:val="BodyText"/>
        <w:spacing w:line="480" w:lineRule="auto"/>
        <w:ind w:left="1200" w:right="1437"/>
        <w:jc w:val="both"/>
      </w:pPr>
      <w:r>
        <w:rPr/>
        <w:t>isoniazid determination in pure and tablet dosage formwere</w:t>
      </w:r>
      <w:r>
        <w:rPr>
          <w:spacing w:val="-1"/>
        </w:rPr>
        <w:t> </w:t>
      </w:r>
      <w:r>
        <w:rPr/>
        <w:t>developed and validated. There</w:t>
      </w:r>
      <w:r>
        <w:rPr>
          <w:spacing w:val="-2"/>
        </w:rPr>
        <w:t> </w:t>
      </w:r>
      <w:r>
        <w:rPr/>
        <w:t>is no significant differencebetween the content of isoniazid assayed using the developed methods and that of the BP method, thus the developed methods can be interchanged with BP method.</w:t>
      </w:r>
    </w:p>
    <w:p>
      <w:pPr>
        <w:pStyle w:val="Heading3"/>
        <w:numPr>
          <w:ilvl w:val="1"/>
          <w:numId w:val="15"/>
        </w:numPr>
        <w:tabs>
          <w:tab w:pos="5113" w:val="left" w:leader="none"/>
        </w:tabs>
        <w:spacing w:line="240" w:lineRule="auto" w:before="167" w:after="0"/>
        <w:ind w:left="5113" w:right="0" w:hanging="360"/>
        <w:jc w:val="both"/>
      </w:pPr>
      <w:bookmarkStart w:name="_TOC_250002" w:id="32"/>
      <w:bookmarkEnd w:id="32"/>
      <w:r>
        <w:rPr>
          <w:spacing w:val="-2"/>
        </w:rPr>
        <w:t>Recommendations</w:t>
      </w:r>
    </w:p>
    <w:p>
      <w:pPr>
        <w:pStyle w:val="BodyText"/>
        <w:spacing w:before="156"/>
        <w:rPr>
          <w:b/>
        </w:rPr>
      </w:pPr>
    </w:p>
    <w:p>
      <w:pPr>
        <w:spacing w:line="480" w:lineRule="auto" w:before="0"/>
        <w:ind w:left="1200" w:right="1435" w:firstLine="0"/>
        <w:jc w:val="both"/>
        <w:rPr>
          <w:sz w:val="22"/>
        </w:rPr>
      </w:pPr>
      <w:r>
        <w:rPr>
          <w:sz w:val="22"/>
        </w:rPr>
        <w:t>Based on</w:t>
      </w:r>
      <w:r>
        <w:rPr>
          <w:spacing w:val="-2"/>
          <w:sz w:val="22"/>
        </w:rPr>
        <w:t> </w:t>
      </w:r>
      <w:r>
        <w:rPr>
          <w:sz w:val="22"/>
        </w:rPr>
        <w:t>the findings of this research,</w:t>
      </w:r>
      <w:r>
        <w:rPr>
          <w:sz w:val="24"/>
        </w:rPr>
        <w:t>four</w:t>
      </w:r>
      <w:r>
        <w:rPr>
          <w:spacing w:val="-2"/>
          <w:sz w:val="24"/>
        </w:rPr>
        <w:t> </w:t>
      </w:r>
      <w:r>
        <w:rPr>
          <w:sz w:val="24"/>
        </w:rPr>
        <w:t>new</w:t>
      </w:r>
      <w:r>
        <w:rPr>
          <w:spacing w:val="-1"/>
          <w:sz w:val="24"/>
        </w:rPr>
        <w:t> </w:t>
      </w:r>
      <w:r>
        <w:rPr>
          <w:sz w:val="24"/>
        </w:rPr>
        <w:t>developed</w:t>
      </w:r>
      <w:r>
        <w:rPr>
          <w:spacing w:val="-1"/>
          <w:sz w:val="24"/>
        </w:rPr>
        <w:t> </w:t>
      </w:r>
      <w:r>
        <w:rPr>
          <w:sz w:val="24"/>
        </w:rPr>
        <w:t>spectrophotometric methods for isoniazid determination in pure and tablet dosage form can be used for routine quality controltest of isoniazid.There is need for collaborations between the drug regulatory agencies such as NAFDAC that monitor and control drug use. </w:t>
      </w:r>
      <w:r>
        <w:rPr>
          <w:sz w:val="22"/>
        </w:rPr>
        <w:t>There is also need for further studies to examine and compare the developed methods in biological fluids and compare the methods using advance techniques such as high performance liquid chromatography.</w:t>
      </w:r>
    </w:p>
    <w:p>
      <w:pPr>
        <w:spacing w:after="0" w:line="480" w:lineRule="auto"/>
        <w:jc w:val="both"/>
        <w:rPr>
          <w:sz w:val="22"/>
        </w:rPr>
        <w:sectPr>
          <w:pgSz w:w="12240" w:h="15840"/>
          <w:pgMar w:header="0" w:footer="1015" w:top="1360" w:bottom="1200" w:left="240" w:right="0"/>
        </w:sectPr>
      </w:pPr>
    </w:p>
    <w:p>
      <w:pPr>
        <w:pStyle w:val="Heading2"/>
        <w:spacing w:before="76"/>
      </w:pPr>
      <w:bookmarkStart w:name="_TOC_250001" w:id="33"/>
      <w:bookmarkEnd w:id="33"/>
      <w:r>
        <w:rPr>
          <w:spacing w:val="-2"/>
        </w:rPr>
        <w:t>REFERENCES</w:t>
      </w:r>
    </w:p>
    <w:p>
      <w:pPr>
        <w:pStyle w:val="BodyText"/>
        <w:spacing w:before="15"/>
        <w:rPr>
          <w:b/>
        </w:rPr>
      </w:pPr>
    </w:p>
    <w:p>
      <w:pPr>
        <w:pStyle w:val="BodyText"/>
        <w:ind w:left="1920" w:right="1431" w:hanging="720"/>
      </w:pPr>
      <w:r>
        <w:rPr/>
        <w:t>Abdallah,</w:t>
      </w:r>
      <w:r>
        <w:rPr>
          <w:spacing w:val="-3"/>
        </w:rPr>
        <w:t> </w:t>
      </w:r>
      <w:r>
        <w:rPr/>
        <w:t>A.,</w:t>
      </w:r>
      <w:r>
        <w:rPr>
          <w:spacing w:val="-4"/>
        </w:rPr>
        <w:t> </w:t>
      </w:r>
      <w:r>
        <w:rPr/>
        <w:t>Mahjoub.,</w:t>
      </w:r>
      <w:r>
        <w:rPr>
          <w:spacing w:val="-2"/>
        </w:rPr>
        <w:t> </w:t>
      </w:r>
      <w:r>
        <w:rPr/>
        <w:t>Amer</w:t>
      </w:r>
      <w:r>
        <w:rPr>
          <w:spacing w:val="-4"/>
        </w:rPr>
        <w:t> </w:t>
      </w:r>
      <w:r>
        <w:rPr/>
        <w:t>H.,</w:t>
      </w:r>
      <w:r>
        <w:rPr>
          <w:spacing w:val="-4"/>
        </w:rPr>
        <w:t> </w:t>
      </w:r>
      <w:r>
        <w:rPr/>
        <w:t>Khan,</w:t>
      </w:r>
      <w:r>
        <w:rPr>
          <w:spacing w:val="-3"/>
        </w:rPr>
        <w:t> </w:t>
      </w:r>
      <w:r>
        <w:rPr/>
        <w:t>Syed.,</w:t>
      </w:r>
      <w:r>
        <w:rPr>
          <w:spacing w:val="-4"/>
        </w:rPr>
        <w:t> </w:t>
      </w:r>
      <w:r>
        <w:rPr/>
        <w:t>Sulaiman,</w:t>
      </w:r>
      <w:r>
        <w:rPr>
          <w:spacing w:val="-3"/>
        </w:rPr>
        <w:t> </w:t>
      </w:r>
      <w:r>
        <w:rPr/>
        <w:t>Razak.,</w:t>
      </w:r>
      <w:r>
        <w:rPr>
          <w:spacing w:val="-4"/>
        </w:rPr>
        <w:t> </w:t>
      </w:r>
      <w:r>
        <w:rPr/>
        <w:t>and</w:t>
      </w:r>
      <w:r>
        <w:rPr>
          <w:spacing w:val="-2"/>
        </w:rPr>
        <w:t> </w:t>
      </w:r>
      <w:r>
        <w:rPr/>
        <w:t>Lajis.</w:t>
      </w:r>
      <w:r>
        <w:rPr>
          <w:spacing w:val="-3"/>
        </w:rPr>
        <w:t> </w:t>
      </w:r>
      <w:r>
        <w:rPr/>
        <w:t>(2016).</w:t>
      </w:r>
      <w:r>
        <w:rPr>
          <w:spacing w:val="-4"/>
        </w:rPr>
        <w:t> </w:t>
      </w:r>
      <w:r>
        <w:rPr/>
        <w:t>Simultaneo us Determination of Isoniazid and Prazinamide in Plasma by High Performance Liquid Chromatography. </w:t>
      </w:r>
      <w:r>
        <w:rPr>
          <w:i/>
        </w:rPr>
        <w:t>Tropical Journal of Pharmaceutical Research, </w:t>
      </w:r>
      <w:r>
        <w:rPr/>
        <w:t>15(11): 2474-2481.</w:t>
      </w:r>
    </w:p>
    <w:p>
      <w:pPr>
        <w:pStyle w:val="BodyText"/>
      </w:pPr>
    </w:p>
    <w:p>
      <w:pPr>
        <w:pStyle w:val="BodyText"/>
        <w:ind w:left="1920" w:right="1438" w:hanging="720"/>
        <w:jc w:val="both"/>
      </w:pPr>
      <w:r>
        <w:rPr/>
        <w:t>AbdelHamid,</w:t>
      </w:r>
      <w:r>
        <w:rPr>
          <w:spacing w:val="-3"/>
        </w:rPr>
        <w:t> </w:t>
      </w:r>
      <w:r>
        <w:rPr/>
        <w:t>A.</w:t>
      </w:r>
      <w:r>
        <w:rPr>
          <w:spacing w:val="-4"/>
        </w:rPr>
        <w:t> </w:t>
      </w:r>
      <w:r>
        <w:rPr/>
        <w:t>N.,</w:t>
      </w:r>
      <w:r>
        <w:rPr>
          <w:spacing w:val="-4"/>
        </w:rPr>
        <w:t> </w:t>
      </w:r>
      <w:r>
        <w:rPr/>
        <w:t>Samia,</w:t>
      </w:r>
      <w:r>
        <w:rPr>
          <w:spacing w:val="-3"/>
        </w:rPr>
        <w:t> </w:t>
      </w:r>
      <w:r>
        <w:rPr/>
        <w:t>E.,</w:t>
      </w:r>
      <w:r>
        <w:rPr>
          <w:spacing w:val="-4"/>
        </w:rPr>
        <w:t> </w:t>
      </w:r>
      <w:r>
        <w:rPr/>
        <w:t>Gizawy,</w:t>
      </w:r>
      <w:r>
        <w:rPr>
          <w:spacing w:val="-3"/>
        </w:rPr>
        <w:t> </w:t>
      </w:r>
      <w:r>
        <w:rPr/>
        <w:t>M.,</w:t>
      </w:r>
      <w:r>
        <w:rPr>
          <w:spacing w:val="-3"/>
        </w:rPr>
        <w:t> </w:t>
      </w:r>
      <w:r>
        <w:rPr/>
        <w:t>Hussein,</w:t>
      </w:r>
      <w:r>
        <w:rPr>
          <w:spacing w:val="-2"/>
        </w:rPr>
        <w:t> </w:t>
      </w:r>
      <w:r>
        <w:rPr/>
        <w:t>E.,and</w:t>
      </w:r>
      <w:r>
        <w:rPr>
          <w:spacing w:val="80"/>
        </w:rPr>
        <w:t> </w:t>
      </w:r>
      <w:r>
        <w:rPr/>
        <w:t>Subbagh,</w:t>
      </w:r>
      <w:r>
        <w:rPr>
          <w:spacing w:val="-1"/>
        </w:rPr>
        <w:t> </w:t>
      </w:r>
      <w:r>
        <w:rPr/>
        <w:t>I.</w:t>
      </w:r>
      <w:r>
        <w:rPr>
          <w:spacing w:val="-1"/>
        </w:rPr>
        <w:t> </w:t>
      </w:r>
      <w:r>
        <w:rPr/>
        <w:t>(1992).</w:t>
      </w:r>
      <w:r>
        <w:rPr>
          <w:spacing w:val="-3"/>
        </w:rPr>
        <w:t> </w:t>
      </w:r>
      <w:r>
        <w:rPr/>
        <w:t>Spectrophotom etric Determination of Isoniazid Using Ethyl 8-Quinolinoxy Aceta. </w:t>
      </w:r>
      <w:r>
        <w:rPr>
          <w:i/>
        </w:rPr>
        <w:t>Journal of Analytical letters, </w:t>
      </w:r>
      <w:r>
        <w:rPr/>
        <w:t>25(1): 73-80.</w:t>
      </w:r>
    </w:p>
    <w:p>
      <w:pPr>
        <w:pStyle w:val="BodyText"/>
      </w:pPr>
    </w:p>
    <w:p>
      <w:pPr>
        <w:pStyle w:val="BodyText"/>
        <w:ind w:left="1920" w:right="1431" w:hanging="720"/>
      </w:pPr>
      <w:r>
        <w:rPr/>
        <w:t>Arifa, B. S.K., Basava, R. D., and Rama, R. (2013). Simultaneous estimation of rifampicin and isoniazid</w:t>
      </w:r>
      <w:r>
        <w:rPr>
          <w:spacing w:val="40"/>
        </w:rPr>
        <w:t> </w:t>
      </w:r>
      <w:r>
        <w:rPr/>
        <w:t>in</w:t>
      </w:r>
      <w:r>
        <w:rPr>
          <w:spacing w:val="40"/>
        </w:rPr>
        <w:t> </w:t>
      </w:r>
      <w:r>
        <w:rPr/>
        <w:t>combined</w:t>
      </w:r>
      <w:r>
        <w:rPr>
          <w:spacing w:val="40"/>
        </w:rPr>
        <w:t> </w:t>
      </w:r>
      <w:r>
        <w:rPr/>
        <w:t>dosage</w:t>
      </w:r>
      <w:r>
        <w:rPr>
          <w:spacing w:val="40"/>
        </w:rPr>
        <w:t> </w:t>
      </w:r>
      <w:r>
        <w:rPr/>
        <w:t>form</w:t>
      </w:r>
      <w:r>
        <w:rPr>
          <w:spacing w:val="40"/>
        </w:rPr>
        <w:t> </w:t>
      </w:r>
      <w:r>
        <w:rPr/>
        <w:t>by</w:t>
      </w:r>
      <w:r>
        <w:rPr>
          <w:spacing w:val="37"/>
        </w:rPr>
        <w:t> </w:t>
      </w:r>
      <w:r>
        <w:rPr/>
        <w:t>a</w:t>
      </w:r>
      <w:r>
        <w:rPr>
          <w:spacing w:val="40"/>
        </w:rPr>
        <w:t> </w:t>
      </w:r>
      <w:r>
        <w:rPr/>
        <w:t>simple</w:t>
      </w:r>
      <w:r>
        <w:rPr>
          <w:spacing w:val="40"/>
        </w:rPr>
        <w:t> </w:t>
      </w:r>
      <w:r>
        <w:rPr/>
        <w:t>UV</w:t>
      </w:r>
      <w:r>
        <w:rPr>
          <w:spacing w:val="40"/>
        </w:rPr>
        <w:t> </w:t>
      </w:r>
      <w:r>
        <w:rPr/>
        <w:t>spectrophotometric</w:t>
      </w:r>
      <w:r>
        <w:rPr>
          <w:spacing w:val="40"/>
        </w:rPr>
        <w:t> </w:t>
      </w:r>
      <w:r>
        <w:rPr/>
        <w:t>method.</w:t>
      </w:r>
      <w:r>
        <w:rPr>
          <w:spacing w:val="40"/>
        </w:rPr>
        <w:t> </w:t>
      </w:r>
      <w:r>
        <w:rPr>
          <w:i/>
        </w:rPr>
        <w:t>Der Pharmacia Lettre, </w:t>
      </w:r>
      <w:r>
        <w:rPr/>
        <w:t>5 (3):419-426.</w:t>
      </w:r>
    </w:p>
    <w:p>
      <w:pPr>
        <w:spacing w:line="240" w:lineRule="auto" w:before="241"/>
        <w:ind w:left="2117" w:right="1435" w:hanging="917"/>
        <w:jc w:val="both"/>
        <w:rPr>
          <w:sz w:val="24"/>
        </w:rPr>
      </w:pPr>
      <w:r>
        <w:rPr>
          <w:sz w:val="24"/>
        </w:rPr>
        <w:t>Babu, C. J., and Kumar, G. V. (2009a). Validated RP- HPLC method for the quantification of lamivudine in bulk and tablet dosage form. </w:t>
      </w:r>
      <w:r>
        <w:rPr>
          <w:i/>
          <w:sz w:val="24"/>
        </w:rPr>
        <w:t>International Journal of Chemical Technology and Research</w:t>
      </w:r>
      <w:r>
        <w:rPr>
          <w:sz w:val="24"/>
        </w:rPr>
        <w:t>, 1(4): 1721—1724.</w:t>
      </w:r>
    </w:p>
    <w:p>
      <w:pPr>
        <w:spacing w:line="240" w:lineRule="auto" w:before="243"/>
        <w:ind w:left="2117" w:right="1436" w:hanging="917"/>
        <w:jc w:val="both"/>
        <w:rPr>
          <w:sz w:val="24"/>
        </w:rPr>
      </w:pPr>
      <w:r>
        <w:rPr>
          <w:sz w:val="24"/>
        </w:rPr>
        <w:t>Babu, C. J., and Kumar, G. V. (2009b). Validated RP- HPLC method for the quantification of lamivudine in bulk and tablet dosage form. </w:t>
      </w:r>
      <w:r>
        <w:rPr>
          <w:i/>
          <w:sz w:val="24"/>
        </w:rPr>
        <w:t>International Journal of Chemical Technology and Research, </w:t>
      </w:r>
      <w:r>
        <w:rPr>
          <w:sz w:val="24"/>
        </w:rPr>
        <w:t>1(4): 1372-1375.</w:t>
      </w:r>
    </w:p>
    <w:p>
      <w:pPr>
        <w:pStyle w:val="BodyText"/>
        <w:spacing w:before="199"/>
        <w:ind w:left="1920" w:right="1437" w:hanging="720"/>
        <w:jc w:val="both"/>
      </w:pPr>
      <w:r>
        <w:rPr/>
        <w:t>Babu,</w:t>
      </w:r>
      <w:r>
        <w:rPr>
          <w:spacing w:val="-3"/>
        </w:rPr>
        <w:t> </w:t>
      </w:r>
      <w:r>
        <w:rPr/>
        <w:t>G. G., Mahaveer, B. M., Jaldappa, S., and Kodagali, C.S. (2002). Spectrophotometric Determination of isoniazid in pure and pharmaceutical Formulations. </w:t>
      </w:r>
      <w:r>
        <w:rPr>
          <w:i/>
        </w:rPr>
        <w:t>Journal of Analytical Sciences, </w:t>
      </w:r>
      <w:r>
        <w:rPr/>
        <w:t>18: 839-841.</w:t>
      </w:r>
    </w:p>
    <w:p>
      <w:pPr>
        <w:spacing w:line="237" w:lineRule="auto" w:before="3"/>
        <w:ind w:left="1920" w:right="1436" w:hanging="720"/>
        <w:jc w:val="both"/>
        <w:rPr>
          <w:sz w:val="24"/>
        </w:rPr>
      </w:pPr>
      <w:r>
        <w:rPr>
          <w:sz w:val="24"/>
        </w:rPr>
        <w:t>Blaedel, W. J. and Meloche, V. M. (2001). </w:t>
      </w:r>
      <w:r>
        <w:rPr>
          <w:i/>
          <w:sz w:val="24"/>
        </w:rPr>
        <w:t>Elementary Quantitative Analysis Theory and Practice</w:t>
      </w:r>
      <w:r>
        <w:rPr>
          <w:sz w:val="24"/>
        </w:rPr>
        <w:t>. Harper and Row, New York, pp. 254.</w:t>
      </w:r>
    </w:p>
    <w:p>
      <w:pPr>
        <w:spacing w:before="163"/>
        <w:ind w:left="1920" w:right="1435" w:hanging="720"/>
        <w:jc w:val="both"/>
        <w:rPr>
          <w:sz w:val="22"/>
        </w:rPr>
      </w:pPr>
      <w:r>
        <w:rPr>
          <w:sz w:val="22"/>
        </w:rPr>
        <w:t>British</w:t>
      </w:r>
      <w:r>
        <w:rPr>
          <w:spacing w:val="40"/>
          <w:sz w:val="22"/>
        </w:rPr>
        <w:t> </w:t>
      </w:r>
      <w:r>
        <w:rPr>
          <w:sz w:val="22"/>
        </w:rPr>
        <w:t>Pharmacopoeia</w:t>
      </w:r>
      <w:r>
        <w:rPr>
          <w:spacing w:val="40"/>
          <w:sz w:val="22"/>
        </w:rPr>
        <w:t> </w:t>
      </w:r>
      <w:r>
        <w:rPr>
          <w:sz w:val="22"/>
        </w:rPr>
        <w:t>(2009).</w:t>
      </w:r>
      <w:r>
        <w:rPr>
          <w:spacing w:val="40"/>
          <w:sz w:val="22"/>
        </w:rPr>
        <w:t> </w:t>
      </w:r>
      <w:r>
        <w:rPr>
          <w:sz w:val="22"/>
        </w:rPr>
        <w:t>Volume</w:t>
      </w:r>
      <w:r>
        <w:rPr>
          <w:spacing w:val="40"/>
          <w:sz w:val="22"/>
        </w:rPr>
        <w:t> </w:t>
      </w:r>
      <w:r>
        <w:rPr>
          <w:sz w:val="22"/>
        </w:rPr>
        <w:t>I,</w:t>
      </w:r>
      <w:r>
        <w:rPr>
          <w:spacing w:val="40"/>
          <w:sz w:val="22"/>
        </w:rPr>
        <w:t> </w:t>
      </w:r>
      <w:r>
        <w:rPr>
          <w:sz w:val="22"/>
        </w:rPr>
        <w:t>II</w:t>
      </w:r>
      <w:r>
        <w:rPr>
          <w:spacing w:val="40"/>
          <w:sz w:val="22"/>
        </w:rPr>
        <w:t> </w:t>
      </w:r>
      <w:r>
        <w:rPr>
          <w:sz w:val="22"/>
        </w:rPr>
        <w:t>&amp;III</w:t>
      </w:r>
      <w:r>
        <w:rPr>
          <w:spacing w:val="40"/>
          <w:sz w:val="22"/>
        </w:rPr>
        <w:t> </w:t>
      </w:r>
      <w:r>
        <w:rPr>
          <w:sz w:val="22"/>
        </w:rPr>
        <w:t>Monographs:</w:t>
      </w:r>
      <w:r>
        <w:rPr>
          <w:spacing w:val="40"/>
          <w:sz w:val="22"/>
        </w:rPr>
        <w:t> </w:t>
      </w:r>
      <w:r>
        <w:rPr>
          <w:sz w:val="22"/>
        </w:rPr>
        <w:t>Medicinal</w:t>
      </w:r>
      <w:r>
        <w:rPr>
          <w:spacing w:val="40"/>
          <w:sz w:val="22"/>
        </w:rPr>
        <w:t> </w:t>
      </w:r>
      <w:r>
        <w:rPr>
          <w:sz w:val="22"/>
        </w:rPr>
        <w:t>and</w:t>
      </w:r>
      <w:r>
        <w:rPr>
          <w:spacing w:val="40"/>
          <w:sz w:val="22"/>
        </w:rPr>
        <w:t> </w:t>
      </w:r>
      <w:r>
        <w:rPr>
          <w:sz w:val="22"/>
        </w:rPr>
        <w:t>Pharmaceutical substance Isoniazid. Her majesty stationary office, London. PP 361-7978.</w:t>
      </w:r>
    </w:p>
    <w:p>
      <w:pPr>
        <w:spacing w:before="253"/>
        <w:ind w:left="1920" w:right="1432" w:hanging="720"/>
        <w:jc w:val="both"/>
        <w:rPr>
          <w:sz w:val="22"/>
        </w:rPr>
      </w:pPr>
      <w:r>
        <w:rPr>
          <w:sz w:val="22"/>
        </w:rPr>
        <w:t>Das, A., and Boparai,</w:t>
      </w:r>
      <w:r>
        <w:rPr>
          <w:spacing w:val="-1"/>
          <w:sz w:val="22"/>
        </w:rPr>
        <w:t> </w:t>
      </w:r>
      <w:r>
        <w:rPr>
          <w:sz w:val="22"/>
        </w:rPr>
        <w:t>K. S.</w:t>
      </w:r>
      <w:r>
        <w:rPr>
          <w:spacing w:val="-2"/>
          <w:sz w:val="22"/>
        </w:rPr>
        <w:t> </w:t>
      </w:r>
      <w:r>
        <w:rPr>
          <w:sz w:val="22"/>
        </w:rPr>
        <w:t>(1982).</w:t>
      </w:r>
      <w:r>
        <w:rPr>
          <w:spacing w:val="-1"/>
          <w:sz w:val="22"/>
        </w:rPr>
        <w:t> </w:t>
      </w:r>
      <w:r>
        <w:rPr>
          <w:sz w:val="22"/>
        </w:rPr>
        <w:t>Titration ofthioactazone and isoniazid with sodium methoxide</w:t>
      </w:r>
      <w:r>
        <w:rPr>
          <w:spacing w:val="-1"/>
          <w:sz w:val="22"/>
        </w:rPr>
        <w:t> </w:t>
      </w:r>
      <w:r>
        <w:rPr>
          <w:sz w:val="22"/>
        </w:rPr>
        <w:t>in non- aqueous medium. </w:t>
      </w:r>
      <w:r>
        <w:rPr>
          <w:i/>
          <w:sz w:val="22"/>
        </w:rPr>
        <w:t>Talanta, </w:t>
      </w:r>
      <w:r>
        <w:rPr>
          <w:sz w:val="22"/>
        </w:rPr>
        <w:t>29: 57-60.</w:t>
      </w:r>
    </w:p>
    <w:p>
      <w:pPr>
        <w:pStyle w:val="BodyText"/>
        <w:spacing w:before="1"/>
        <w:rPr>
          <w:sz w:val="22"/>
        </w:rPr>
      </w:pPr>
    </w:p>
    <w:p>
      <w:pPr>
        <w:spacing w:before="0"/>
        <w:ind w:left="1920" w:right="1436" w:hanging="720"/>
        <w:jc w:val="both"/>
        <w:rPr>
          <w:sz w:val="22"/>
        </w:rPr>
      </w:pPr>
      <w:r>
        <w:rPr>
          <w:sz w:val="22"/>
        </w:rPr>
        <w:t>Devani, M.B. Shishoo, C.J., Doshi, K., and Bhlara, D.D. (1980).</w:t>
      </w:r>
      <w:r>
        <w:rPr>
          <w:i/>
          <w:sz w:val="22"/>
        </w:rPr>
        <w:t>Indian Journal of Pharmaceutical Science, </w:t>
      </w:r>
      <w:r>
        <w:rPr>
          <w:sz w:val="22"/>
        </w:rPr>
        <w:t>42: 179.</w:t>
      </w:r>
    </w:p>
    <w:p>
      <w:pPr>
        <w:pStyle w:val="BodyText"/>
        <w:spacing w:line="242" w:lineRule="auto" w:before="237"/>
        <w:ind w:left="2117" w:right="1438" w:hanging="917"/>
        <w:jc w:val="both"/>
      </w:pPr>
      <w:r>
        <w:rPr/>
        <w:t>Dhal, S.K., and Sharm, R. (2009). Development and Validation of RP-HPLC method for simultaneous of pyridoxine Hydrochloride, Isonizid, Pyrazinamide and Rifampicin in pharmaceutical formulation. </w:t>
      </w:r>
      <w:r>
        <w:rPr>
          <w:i/>
        </w:rPr>
        <w:t>Chem Anal, </w:t>
      </w:r>
      <w:r>
        <w:rPr/>
        <w:t>(warsaw), 54: 1487.</w:t>
      </w:r>
    </w:p>
    <w:p>
      <w:pPr>
        <w:spacing w:line="240" w:lineRule="auto" w:before="234"/>
        <w:ind w:left="2117" w:right="1440" w:hanging="917"/>
        <w:jc w:val="both"/>
        <w:rPr>
          <w:sz w:val="24"/>
        </w:rPr>
      </w:pPr>
      <w:r>
        <w:rPr>
          <w:sz w:val="24"/>
        </w:rPr>
        <w:t>Diab, M. M. A.,Barsoum, N. B., Kamel, M. S., and Elkhateeb, S. Z. (2008). Spectrophotometric determination of isoniazid and rifampicin. </w:t>
      </w:r>
      <w:r>
        <w:rPr>
          <w:i/>
          <w:sz w:val="24"/>
        </w:rPr>
        <w:t>Bulleting of faculty pharmaceuticals(cairo university), </w:t>
      </w:r>
      <w:r>
        <w:rPr>
          <w:sz w:val="24"/>
        </w:rPr>
        <w:t>46: 103-113.</w:t>
      </w:r>
    </w:p>
    <w:p>
      <w:pPr>
        <w:spacing w:before="241"/>
        <w:ind w:left="2117" w:right="1438" w:hanging="917"/>
        <w:jc w:val="both"/>
        <w:rPr>
          <w:sz w:val="24"/>
        </w:rPr>
      </w:pPr>
      <w:r>
        <w:rPr>
          <w:sz w:val="24"/>
        </w:rPr>
        <w:t>Divya, K. K.,Tripathi, J.S., Tawari, S. K., (2011). Anovel approach to Drug Delivery System Ayurveda. </w:t>
      </w:r>
      <w:r>
        <w:rPr>
          <w:i/>
          <w:sz w:val="24"/>
        </w:rPr>
        <w:t>International Journal of Pharmacy, </w:t>
      </w:r>
      <w:r>
        <w:rPr>
          <w:sz w:val="24"/>
        </w:rPr>
        <w:t>2(11): 18-20</w:t>
      </w:r>
    </w:p>
    <w:p>
      <w:pPr>
        <w:spacing w:after="0"/>
        <w:jc w:val="both"/>
        <w:rPr>
          <w:sz w:val="24"/>
        </w:rPr>
        <w:sectPr>
          <w:pgSz w:w="12240" w:h="15840"/>
          <w:pgMar w:header="0" w:footer="1015" w:top="1360" w:bottom="1200" w:left="240" w:right="0"/>
        </w:sectPr>
      </w:pPr>
    </w:p>
    <w:p>
      <w:pPr>
        <w:spacing w:before="72"/>
        <w:ind w:left="1920" w:right="1434" w:hanging="720"/>
        <w:jc w:val="both"/>
        <w:rPr>
          <w:i/>
          <w:sz w:val="24"/>
        </w:rPr>
      </w:pPr>
      <w:r>
        <w:rPr>
          <w:sz w:val="24"/>
        </w:rPr>
        <w:t>El-Brashy</w:t>
      </w:r>
      <w:r>
        <w:rPr>
          <w:spacing w:val="-6"/>
          <w:sz w:val="24"/>
        </w:rPr>
        <w:t> </w:t>
      </w:r>
      <w:r>
        <w:rPr>
          <w:sz w:val="24"/>
        </w:rPr>
        <w:t>El-Ashry,</w:t>
      </w:r>
      <w:r>
        <w:rPr>
          <w:spacing w:val="-2"/>
          <w:sz w:val="24"/>
        </w:rPr>
        <w:t> </w:t>
      </w:r>
      <w:r>
        <w:rPr>
          <w:sz w:val="24"/>
        </w:rPr>
        <w:t>S.M.</w:t>
      </w:r>
      <w:r>
        <w:rPr>
          <w:spacing w:val="-1"/>
          <w:sz w:val="24"/>
        </w:rPr>
        <w:t> </w:t>
      </w:r>
      <w:r>
        <w:rPr>
          <w:sz w:val="24"/>
        </w:rPr>
        <w:t>(1992).</w:t>
      </w:r>
      <w:r>
        <w:rPr>
          <w:spacing w:val="-3"/>
          <w:sz w:val="24"/>
        </w:rPr>
        <w:t> </w:t>
      </w:r>
      <w:r>
        <w:rPr>
          <w:sz w:val="24"/>
        </w:rPr>
        <w:t>Colorimetric and titrimetric assay of isoniazid. </w:t>
      </w:r>
      <w:r>
        <w:rPr>
          <w:i/>
          <w:sz w:val="24"/>
        </w:rPr>
        <w:t>Journal of Pharmaceutical and Biomedical Analysis, </w:t>
      </w:r>
      <w:r>
        <w:rPr>
          <w:sz w:val="24"/>
        </w:rPr>
        <w:t>10</w:t>
      </w:r>
      <w:r>
        <w:rPr>
          <w:i/>
          <w:sz w:val="24"/>
        </w:rPr>
        <w:t>(6):421-26.</w:t>
      </w:r>
    </w:p>
    <w:p>
      <w:pPr>
        <w:pStyle w:val="BodyText"/>
        <w:rPr>
          <w:i/>
        </w:rPr>
      </w:pPr>
    </w:p>
    <w:p>
      <w:pPr>
        <w:pStyle w:val="BodyText"/>
        <w:ind w:left="1920" w:right="1438" w:hanging="720"/>
        <w:jc w:val="both"/>
      </w:pPr>
      <w:r>
        <w:rPr/>
        <w:t>Gowda,</w:t>
      </w:r>
      <w:r>
        <w:rPr>
          <w:spacing w:val="-1"/>
        </w:rPr>
        <w:t> </w:t>
      </w:r>
      <w:r>
        <w:rPr/>
        <w:t>B. G.,</w:t>
      </w:r>
      <w:r>
        <w:rPr>
          <w:spacing w:val="-2"/>
        </w:rPr>
        <w:t> </w:t>
      </w:r>
      <w:r>
        <w:rPr/>
        <w:t>Melwanki,</w:t>
      </w:r>
      <w:r>
        <w:rPr>
          <w:spacing w:val="-1"/>
        </w:rPr>
        <w:t> </w:t>
      </w:r>
      <w:r>
        <w:rPr/>
        <w:t>M.</w:t>
      </w:r>
      <w:r>
        <w:rPr>
          <w:spacing w:val="-1"/>
        </w:rPr>
        <w:t> </w:t>
      </w:r>
      <w:r>
        <w:rPr/>
        <w:t>B.,</w:t>
      </w:r>
      <w:r>
        <w:rPr>
          <w:spacing w:val="-1"/>
        </w:rPr>
        <w:t> </w:t>
      </w:r>
      <w:r>
        <w:rPr/>
        <w:t>Seetharamappa</w:t>
      </w:r>
      <w:r>
        <w:rPr>
          <w:spacing w:val="-3"/>
        </w:rPr>
        <w:t> </w:t>
      </w:r>
      <w:r>
        <w:rPr/>
        <w:t>J.,</w:t>
      </w:r>
      <w:r>
        <w:rPr>
          <w:spacing w:val="-1"/>
        </w:rPr>
        <w:t> </w:t>
      </w:r>
      <w:r>
        <w:rPr/>
        <w:t>Murthy,</w:t>
      </w:r>
      <w:r>
        <w:rPr>
          <w:spacing w:val="-1"/>
        </w:rPr>
        <w:t> </w:t>
      </w:r>
      <w:r>
        <w:rPr/>
        <w:t>K.</w:t>
      </w:r>
      <w:r>
        <w:rPr>
          <w:spacing w:val="-2"/>
        </w:rPr>
        <w:t> </w:t>
      </w:r>
      <w:r>
        <w:rPr/>
        <w:t>C.</w:t>
      </w:r>
      <w:r>
        <w:rPr>
          <w:spacing w:val="-1"/>
        </w:rPr>
        <w:t> </w:t>
      </w:r>
      <w:r>
        <w:rPr/>
        <w:t>S.</w:t>
      </w:r>
      <w:r>
        <w:rPr>
          <w:spacing w:val="-1"/>
        </w:rPr>
        <w:t> </w:t>
      </w:r>
      <w:r>
        <w:rPr/>
        <w:t>(2003).</w:t>
      </w:r>
      <w:r>
        <w:rPr>
          <w:spacing w:val="-2"/>
        </w:rPr>
        <w:t> </w:t>
      </w:r>
      <w:r>
        <w:rPr/>
        <w:t>Spectrophotometric determination of isoniazid in pure and pharmaceutical formulations.</w:t>
      </w:r>
      <w:r>
        <w:rPr>
          <w:spacing w:val="40"/>
        </w:rPr>
        <w:t> </w:t>
      </w:r>
      <w:r>
        <w:rPr>
          <w:i/>
        </w:rPr>
        <w:t>Analytical Science </w:t>
      </w:r>
      <w:r>
        <w:rPr/>
        <w:t>18: 839-841.</w:t>
      </w:r>
    </w:p>
    <w:p>
      <w:pPr>
        <w:pStyle w:val="BodyText"/>
      </w:pPr>
    </w:p>
    <w:p>
      <w:pPr>
        <w:spacing w:before="0"/>
        <w:ind w:left="1200" w:right="0" w:firstLine="0"/>
        <w:jc w:val="left"/>
        <w:rPr>
          <w:sz w:val="24"/>
        </w:rPr>
      </w:pPr>
      <w:r>
        <w:rPr>
          <w:sz w:val="24"/>
        </w:rPr>
        <w:t>Harvey, D.</w:t>
      </w:r>
      <w:r>
        <w:rPr>
          <w:spacing w:val="-1"/>
          <w:sz w:val="24"/>
        </w:rPr>
        <w:t> </w:t>
      </w:r>
      <w:r>
        <w:rPr>
          <w:sz w:val="24"/>
        </w:rPr>
        <w:t>(2000).</w:t>
      </w:r>
      <w:r>
        <w:rPr>
          <w:spacing w:val="-1"/>
          <w:sz w:val="24"/>
        </w:rPr>
        <w:t> </w:t>
      </w:r>
      <w:r>
        <w:rPr>
          <w:i/>
          <w:sz w:val="24"/>
        </w:rPr>
        <w:t>Modern</w:t>
      </w:r>
      <w:r>
        <w:rPr>
          <w:i/>
          <w:spacing w:val="-1"/>
          <w:sz w:val="24"/>
        </w:rPr>
        <w:t> </w:t>
      </w:r>
      <w:r>
        <w:rPr>
          <w:i/>
          <w:sz w:val="24"/>
        </w:rPr>
        <w:t>analytical</w:t>
      </w:r>
      <w:r>
        <w:rPr>
          <w:i/>
          <w:spacing w:val="-1"/>
          <w:sz w:val="24"/>
        </w:rPr>
        <w:t> </w:t>
      </w:r>
      <w:r>
        <w:rPr>
          <w:i/>
          <w:sz w:val="24"/>
        </w:rPr>
        <w:t>Chemistry. </w:t>
      </w:r>
      <w:r>
        <w:rPr>
          <w:sz w:val="24"/>
        </w:rPr>
        <w:t>The</w:t>
      </w:r>
      <w:r>
        <w:rPr>
          <w:spacing w:val="-3"/>
          <w:sz w:val="24"/>
        </w:rPr>
        <w:t> </w:t>
      </w:r>
      <w:r>
        <w:rPr>
          <w:sz w:val="24"/>
        </w:rPr>
        <w:t>McGraw-Hill</w:t>
      </w:r>
      <w:r>
        <w:rPr>
          <w:spacing w:val="-1"/>
          <w:sz w:val="24"/>
        </w:rPr>
        <w:t> </w:t>
      </w:r>
      <w:r>
        <w:rPr>
          <w:sz w:val="24"/>
        </w:rPr>
        <w:t>company</w:t>
      </w:r>
      <w:r>
        <w:rPr>
          <w:spacing w:val="-4"/>
          <w:sz w:val="24"/>
        </w:rPr>
        <w:t> </w:t>
      </w:r>
      <w:r>
        <w:rPr>
          <w:sz w:val="24"/>
        </w:rPr>
        <w:t>Inc,</w:t>
      </w:r>
      <w:r>
        <w:rPr>
          <w:spacing w:val="-1"/>
          <w:sz w:val="24"/>
        </w:rPr>
        <w:t> </w:t>
      </w:r>
      <w:r>
        <w:rPr>
          <w:sz w:val="24"/>
        </w:rPr>
        <w:t>pp.</w:t>
      </w:r>
      <w:r>
        <w:rPr>
          <w:spacing w:val="1"/>
          <w:sz w:val="24"/>
        </w:rPr>
        <w:t> </w:t>
      </w:r>
      <w:r>
        <w:rPr>
          <w:sz w:val="24"/>
        </w:rPr>
        <w:t>39-</w:t>
      </w:r>
      <w:r>
        <w:rPr>
          <w:spacing w:val="-2"/>
          <w:sz w:val="24"/>
        </w:rPr>
        <w:t> </w:t>
      </w:r>
      <w:r>
        <w:rPr>
          <w:spacing w:val="-5"/>
          <w:sz w:val="24"/>
        </w:rPr>
        <w:t>49.</w:t>
      </w:r>
    </w:p>
    <w:p>
      <w:pPr>
        <w:pStyle w:val="BodyText"/>
      </w:pPr>
    </w:p>
    <w:p>
      <w:pPr>
        <w:pStyle w:val="BodyText"/>
        <w:spacing w:before="43"/>
      </w:pPr>
    </w:p>
    <w:p>
      <w:pPr>
        <w:pStyle w:val="BodyText"/>
        <w:ind w:left="1920" w:right="1431" w:hanging="720"/>
        <w:rPr>
          <w:i/>
        </w:rPr>
      </w:pPr>
      <w:r>
        <w:rPr/>
        <w:t>ICH,</w:t>
      </w:r>
      <w:r>
        <w:rPr>
          <w:spacing w:val="-2"/>
        </w:rPr>
        <w:t> </w:t>
      </w:r>
      <w:r>
        <w:rPr/>
        <w:t>(1996).</w:t>
      </w:r>
      <w:r>
        <w:rPr>
          <w:spacing w:val="-4"/>
        </w:rPr>
        <w:t> </w:t>
      </w:r>
      <w:r>
        <w:rPr/>
        <w:t>Technical</w:t>
      </w:r>
      <w:r>
        <w:rPr>
          <w:spacing w:val="-2"/>
        </w:rPr>
        <w:t> </w:t>
      </w:r>
      <w:r>
        <w:rPr/>
        <w:t>Requirements</w:t>
      </w:r>
      <w:r>
        <w:rPr>
          <w:spacing w:val="-4"/>
        </w:rPr>
        <w:t> </w:t>
      </w:r>
      <w:r>
        <w:rPr/>
        <w:t>for</w:t>
      </w:r>
      <w:r>
        <w:rPr>
          <w:spacing w:val="-6"/>
        </w:rPr>
        <w:t> </w:t>
      </w:r>
      <w:r>
        <w:rPr/>
        <w:t>the</w:t>
      </w:r>
      <w:r>
        <w:rPr>
          <w:spacing w:val="-4"/>
        </w:rPr>
        <w:t> </w:t>
      </w:r>
      <w:r>
        <w:rPr/>
        <w:t>Registration</w:t>
      </w:r>
      <w:r>
        <w:rPr>
          <w:spacing w:val="-4"/>
        </w:rPr>
        <w:t> </w:t>
      </w:r>
      <w:r>
        <w:rPr/>
        <w:t>of</w:t>
      </w:r>
      <w:r>
        <w:rPr>
          <w:spacing w:val="-5"/>
        </w:rPr>
        <w:t> </w:t>
      </w:r>
      <w:r>
        <w:rPr/>
        <w:t>Pharmaceuticals</w:t>
      </w:r>
      <w:r>
        <w:rPr>
          <w:spacing w:val="-4"/>
        </w:rPr>
        <w:t> </w:t>
      </w:r>
      <w:r>
        <w:rPr/>
        <w:t>for</w:t>
      </w:r>
      <w:r>
        <w:rPr>
          <w:spacing w:val="-5"/>
        </w:rPr>
        <w:t> </w:t>
      </w:r>
      <w:r>
        <w:rPr/>
        <w:t>Human</w:t>
      </w:r>
      <w:r>
        <w:rPr>
          <w:spacing w:val="-4"/>
        </w:rPr>
        <w:t> </w:t>
      </w:r>
      <w:r>
        <w:rPr/>
        <w:t>Use, Validation of analytical procedures, Methodology, ICH-Q2B, </w:t>
      </w:r>
      <w:r>
        <w:rPr>
          <w:i/>
        </w:rPr>
        <w:t>Geneva Switzerland.</w:t>
      </w:r>
    </w:p>
    <w:p>
      <w:pPr>
        <w:pStyle w:val="BodyText"/>
        <w:spacing w:before="162"/>
        <w:ind w:left="1200"/>
      </w:pPr>
      <w:r>
        <w:rPr/>
        <w:t>Issopoulos,</w:t>
      </w:r>
      <w:r>
        <w:rPr>
          <w:spacing w:val="-3"/>
        </w:rPr>
        <w:t> </w:t>
      </w:r>
      <w:r>
        <w:rPr/>
        <w:t>P.B. (1991). Indian</w:t>
      </w:r>
      <w:r>
        <w:rPr>
          <w:spacing w:val="-1"/>
        </w:rPr>
        <w:t> </w:t>
      </w:r>
      <w:r>
        <w:rPr/>
        <w:t>Drugs</w:t>
      </w:r>
      <w:r>
        <w:rPr>
          <w:i/>
        </w:rPr>
        <w:t>,</w:t>
      </w:r>
      <w:r>
        <w:rPr>
          <w:i/>
          <w:spacing w:val="-2"/>
        </w:rPr>
        <w:t> </w:t>
      </w:r>
      <w:r>
        <w:rPr/>
        <w:t>pp:</w:t>
      </w:r>
      <w:r>
        <w:rPr>
          <w:spacing w:val="-2"/>
        </w:rPr>
        <w:t> </w:t>
      </w:r>
      <w:r>
        <w:rPr>
          <w:spacing w:val="-4"/>
        </w:rPr>
        <w:t>171.</w:t>
      </w:r>
    </w:p>
    <w:p>
      <w:pPr>
        <w:pStyle w:val="BodyText"/>
        <w:spacing w:before="161"/>
        <w:ind w:left="1920" w:right="1431" w:hanging="720"/>
      </w:pPr>
      <w:r>
        <w:rPr/>
        <w:t>Kamel,</w:t>
      </w:r>
      <w:r>
        <w:rPr>
          <w:spacing w:val="80"/>
          <w:w w:val="150"/>
        </w:rPr>
        <w:t> </w:t>
      </w:r>
      <w:r>
        <w:rPr/>
        <w:t>M.S.</w:t>
      </w:r>
      <w:r>
        <w:rPr>
          <w:spacing w:val="80"/>
          <w:w w:val="150"/>
        </w:rPr>
        <w:t> </w:t>
      </w:r>
      <w:r>
        <w:rPr/>
        <w:t>(2008).</w:t>
      </w:r>
      <w:r>
        <w:rPr>
          <w:spacing w:val="80"/>
          <w:w w:val="150"/>
        </w:rPr>
        <w:t> </w:t>
      </w:r>
      <w:r>
        <w:rPr/>
        <w:t>Spectrophotometric</w:t>
      </w:r>
      <w:r>
        <w:rPr>
          <w:spacing w:val="80"/>
          <w:w w:val="150"/>
        </w:rPr>
        <w:t> </w:t>
      </w:r>
      <w:r>
        <w:rPr/>
        <w:t>determination</w:t>
      </w:r>
      <w:r>
        <w:rPr>
          <w:spacing w:val="80"/>
          <w:w w:val="150"/>
        </w:rPr>
        <w:t> </w:t>
      </w:r>
      <w:r>
        <w:rPr/>
        <w:t>of</w:t>
      </w:r>
      <w:r>
        <w:rPr>
          <w:spacing w:val="80"/>
          <w:w w:val="150"/>
        </w:rPr>
        <w:t> </w:t>
      </w:r>
      <w:r>
        <w:rPr/>
        <w:t>isoniazid</w:t>
      </w:r>
      <w:r>
        <w:rPr>
          <w:spacing w:val="79"/>
          <w:w w:val="150"/>
        </w:rPr>
        <w:t> </w:t>
      </w:r>
      <w:r>
        <w:rPr/>
        <w:t>in</w:t>
      </w:r>
      <w:r>
        <w:rPr>
          <w:spacing w:val="80"/>
          <w:w w:val="150"/>
        </w:rPr>
        <w:t> </w:t>
      </w:r>
      <w:r>
        <w:rPr/>
        <w:t>pure</w:t>
      </w:r>
      <w:r>
        <w:rPr>
          <w:spacing w:val="79"/>
          <w:w w:val="150"/>
        </w:rPr>
        <w:t> </w:t>
      </w:r>
      <w:r>
        <w:rPr/>
        <w:t>form</w:t>
      </w:r>
      <w:r>
        <w:rPr>
          <w:spacing w:val="80"/>
          <w:w w:val="150"/>
        </w:rPr>
        <w:t> </w:t>
      </w:r>
      <w:r>
        <w:rPr/>
        <w:t>and pharmaceutical preparation. </w:t>
      </w:r>
      <w:r>
        <w:rPr>
          <w:i/>
        </w:rPr>
        <w:t>World Journal of Chemistry</w:t>
      </w:r>
      <w:r>
        <w:rPr/>
        <w:t>, 3(1): 11-16.</w:t>
      </w:r>
    </w:p>
    <w:p>
      <w:pPr>
        <w:pStyle w:val="BodyText"/>
        <w:spacing w:before="28"/>
      </w:pPr>
    </w:p>
    <w:p>
      <w:pPr>
        <w:spacing w:line="379" w:lineRule="auto" w:before="1"/>
        <w:ind w:left="1920" w:right="1559" w:hanging="720"/>
        <w:jc w:val="both"/>
        <w:rPr>
          <w:sz w:val="24"/>
        </w:rPr>
      </w:pPr>
      <w:r>
        <w:rPr>
          <w:sz w:val="24"/>
        </w:rPr>
        <w:t>Kelesidis,</w:t>
      </w:r>
      <w:r>
        <w:rPr>
          <w:spacing w:val="-5"/>
          <w:sz w:val="24"/>
        </w:rPr>
        <w:t> </w:t>
      </w:r>
      <w:r>
        <w:rPr>
          <w:sz w:val="24"/>
        </w:rPr>
        <w:t>T.,</w:t>
      </w:r>
      <w:r>
        <w:rPr>
          <w:spacing w:val="-5"/>
          <w:sz w:val="24"/>
        </w:rPr>
        <w:t> </w:t>
      </w:r>
      <w:r>
        <w:rPr>
          <w:sz w:val="24"/>
        </w:rPr>
        <w:t>and</w:t>
      </w:r>
      <w:r>
        <w:rPr>
          <w:spacing w:val="-5"/>
          <w:sz w:val="24"/>
        </w:rPr>
        <w:t> </w:t>
      </w:r>
      <w:r>
        <w:rPr>
          <w:sz w:val="24"/>
        </w:rPr>
        <w:t>Falagas,</w:t>
      </w:r>
      <w:r>
        <w:rPr>
          <w:spacing w:val="-5"/>
          <w:sz w:val="24"/>
        </w:rPr>
        <w:t> </w:t>
      </w:r>
      <w:r>
        <w:rPr>
          <w:sz w:val="24"/>
        </w:rPr>
        <w:t>M.E.</w:t>
      </w:r>
      <w:r>
        <w:rPr>
          <w:spacing w:val="-5"/>
          <w:sz w:val="24"/>
        </w:rPr>
        <w:t> </w:t>
      </w:r>
      <w:r>
        <w:rPr>
          <w:sz w:val="24"/>
        </w:rPr>
        <w:t>(2015).</w:t>
      </w:r>
      <w:r>
        <w:rPr>
          <w:spacing w:val="-5"/>
          <w:sz w:val="24"/>
        </w:rPr>
        <w:t> </w:t>
      </w:r>
      <w:r>
        <w:rPr>
          <w:sz w:val="24"/>
        </w:rPr>
        <w:t>Substandard/counterfeit</w:t>
      </w:r>
      <w:r>
        <w:rPr>
          <w:spacing w:val="-5"/>
          <w:sz w:val="24"/>
        </w:rPr>
        <w:t> </w:t>
      </w:r>
      <w:r>
        <w:rPr>
          <w:sz w:val="24"/>
        </w:rPr>
        <w:t>antimicrobial</w:t>
      </w:r>
      <w:r>
        <w:rPr>
          <w:spacing w:val="-5"/>
          <w:sz w:val="24"/>
        </w:rPr>
        <w:t> </w:t>
      </w:r>
      <w:r>
        <w:rPr>
          <w:sz w:val="24"/>
        </w:rPr>
        <w:t>drugs. </w:t>
      </w:r>
      <w:r>
        <w:rPr>
          <w:i/>
          <w:sz w:val="24"/>
        </w:rPr>
        <w:t>Journal</w:t>
      </w:r>
      <w:r>
        <w:rPr>
          <w:i/>
          <w:spacing w:val="-5"/>
          <w:sz w:val="24"/>
        </w:rPr>
        <w:t> </w:t>
      </w:r>
      <w:r>
        <w:rPr>
          <w:i/>
          <w:sz w:val="24"/>
        </w:rPr>
        <w:t>of AmericanSociety for Microbiology, </w:t>
      </w:r>
      <w:r>
        <w:rPr>
          <w:sz w:val="24"/>
        </w:rPr>
        <w:t>28(2):443-464.</w:t>
      </w:r>
    </w:p>
    <w:p>
      <w:pPr>
        <w:pStyle w:val="BodyText"/>
        <w:ind w:left="1920" w:right="1438" w:hanging="720"/>
        <w:jc w:val="both"/>
      </w:pPr>
      <w:r>
        <w:rPr/>
        <w:t>Khuhawar, M. Y., Rind, F. M. A., and Almani, K. F. (1988). Spectrophotometric determination of isoniazid using 6-methyl-2-pyridinecarboxaldehyde as a derivating reagent. </w:t>
      </w:r>
      <w:r>
        <w:rPr>
          <w:i/>
        </w:rPr>
        <w:t>Pakistan Journal of Chemical science, </w:t>
      </w:r>
      <w:r>
        <w:rPr/>
        <w:t>20: 260-270.</w:t>
      </w:r>
    </w:p>
    <w:p>
      <w:pPr>
        <w:pStyle w:val="BodyText"/>
        <w:spacing w:before="160"/>
        <w:ind w:left="1920" w:right="1443" w:hanging="720"/>
        <w:jc w:val="both"/>
        <w:rPr>
          <w:i/>
        </w:rPr>
      </w:pPr>
      <w:r>
        <w:rPr/>
        <w:t>Khuhawr, M. Y., Rind, F.M.A., and Rajper, A.D. (2005). High Performance Liquid Chromatographic Determination of Isoniazid, Pyrazinamide and Indomethacin in pharmaceutical preparations. </w:t>
      </w:r>
      <w:r>
        <w:rPr>
          <w:i/>
        </w:rPr>
        <w:t>ActaChromatographica, No. 15.</w:t>
      </w:r>
    </w:p>
    <w:p>
      <w:pPr>
        <w:pStyle w:val="BodyText"/>
        <w:rPr>
          <w:i/>
        </w:rPr>
      </w:pPr>
    </w:p>
    <w:p>
      <w:pPr>
        <w:pStyle w:val="BodyText"/>
        <w:ind w:left="1920" w:right="1435" w:hanging="720"/>
        <w:jc w:val="both"/>
      </w:pPr>
      <w:r>
        <w:rPr/>
        <w:t>Kumar, A. T., Gurupadayya, B. M., and Rahulreddy, M. B. (2011). Spectrophotometric determination of lamivudine using acidic dye and coupling reagent. </w:t>
      </w:r>
      <w:r>
        <w:rPr>
          <w:i/>
        </w:rPr>
        <w:t>Indian Journal of Chemical Technology, </w:t>
      </w:r>
      <w:r>
        <w:rPr/>
        <w:t>18(2): 43 1-438.</w:t>
      </w:r>
    </w:p>
    <w:p>
      <w:pPr>
        <w:pStyle w:val="BodyText"/>
        <w:spacing w:before="161"/>
        <w:ind w:left="1200"/>
        <w:rPr>
          <w:i/>
        </w:rPr>
      </w:pPr>
      <w:r>
        <w:rPr/>
        <w:t>Kumar.</w:t>
      </w:r>
      <w:r>
        <w:rPr>
          <w:spacing w:val="-3"/>
        </w:rPr>
        <w:t> </w:t>
      </w:r>
      <w:r>
        <w:rPr/>
        <w:t>S.</w:t>
      </w:r>
      <w:r>
        <w:rPr>
          <w:spacing w:val="-1"/>
        </w:rPr>
        <w:t> </w:t>
      </w:r>
      <w:r>
        <w:rPr/>
        <w:t>(2010).</w:t>
      </w:r>
      <w:r>
        <w:rPr>
          <w:spacing w:val="-2"/>
        </w:rPr>
        <w:t> </w:t>
      </w:r>
      <w:r>
        <w:rPr/>
        <w:t>Synthesis and</w:t>
      </w:r>
      <w:r>
        <w:rPr>
          <w:spacing w:val="-1"/>
        </w:rPr>
        <w:t> </w:t>
      </w:r>
      <w:r>
        <w:rPr/>
        <w:t>antimicrobial</w:t>
      </w:r>
      <w:r>
        <w:rPr>
          <w:spacing w:val="-1"/>
        </w:rPr>
        <w:t> </w:t>
      </w:r>
      <w:r>
        <w:rPr/>
        <w:t>Studies</w:t>
      </w:r>
      <w:r>
        <w:rPr>
          <w:spacing w:val="-1"/>
        </w:rPr>
        <w:t> </w:t>
      </w:r>
      <w:r>
        <w:rPr/>
        <w:t>of some</w:t>
      </w:r>
      <w:r>
        <w:rPr>
          <w:spacing w:val="-2"/>
        </w:rPr>
        <w:t> </w:t>
      </w:r>
      <w:r>
        <w:rPr/>
        <w:t>Schiff</w:t>
      </w:r>
      <w:r>
        <w:rPr>
          <w:spacing w:val="-2"/>
        </w:rPr>
        <w:t> </w:t>
      </w:r>
      <w:r>
        <w:rPr/>
        <w:t>bases</w:t>
      </w:r>
      <w:r>
        <w:rPr>
          <w:spacing w:val="-1"/>
        </w:rPr>
        <w:t> </w:t>
      </w:r>
      <w:r>
        <w:rPr/>
        <w:t>of</w:t>
      </w:r>
      <w:r>
        <w:rPr>
          <w:spacing w:val="2"/>
        </w:rPr>
        <w:t> </w:t>
      </w:r>
      <w:r>
        <w:rPr>
          <w:spacing w:val="-2"/>
        </w:rPr>
        <w:t>Sulfonamides</w:t>
      </w:r>
      <w:r>
        <w:rPr>
          <w:i/>
          <w:spacing w:val="-2"/>
        </w:rPr>
        <w:t>.</w:t>
      </w:r>
    </w:p>
    <w:p>
      <w:pPr>
        <w:pStyle w:val="BodyText"/>
        <w:ind w:left="1920"/>
      </w:pPr>
      <w:r>
        <w:rPr/>
        <w:t>Karnataka,</w:t>
      </w:r>
      <w:r>
        <w:rPr>
          <w:spacing w:val="-3"/>
        </w:rPr>
        <w:t> </w:t>
      </w:r>
      <w:r>
        <w:rPr/>
        <w:t>India,</w:t>
      </w:r>
      <w:r>
        <w:rPr>
          <w:spacing w:val="-2"/>
        </w:rPr>
        <w:t> </w:t>
      </w:r>
      <w:r>
        <w:rPr/>
        <w:t>pp.</w:t>
      </w:r>
      <w:r>
        <w:rPr>
          <w:spacing w:val="-1"/>
        </w:rPr>
        <w:t> </w:t>
      </w:r>
      <w:r>
        <w:rPr/>
        <w:t>3-</w:t>
      </w:r>
      <w:r>
        <w:rPr>
          <w:spacing w:val="-7"/>
        </w:rPr>
        <w:t>5.</w:t>
      </w:r>
    </w:p>
    <w:p>
      <w:pPr>
        <w:spacing w:before="158"/>
        <w:ind w:left="1200" w:right="0" w:firstLine="0"/>
        <w:jc w:val="left"/>
        <w:rPr>
          <w:i/>
          <w:sz w:val="24"/>
        </w:rPr>
      </w:pPr>
      <w:r>
        <w:rPr>
          <w:sz w:val="24"/>
        </w:rPr>
        <w:t>Laurence,</w:t>
      </w:r>
      <w:r>
        <w:rPr>
          <w:spacing w:val="25"/>
          <w:sz w:val="24"/>
        </w:rPr>
        <w:t> </w:t>
      </w:r>
      <w:r>
        <w:rPr>
          <w:sz w:val="24"/>
        </w:rPr>
        <w:t>M.,</w:t>
      </w:r>
      <w:r>
        <w:rPr>
          <w:spacing w:val="27"/>
          <w:sz w:val="24"/>
        </w:rPr>
        <w:t> </w:t>
      </w:r>
      <w:r>
        <w:rPr>
          <w:sz w:val="24"/>
        </w:rPr>
        <w:t>Harwood,</w:t>
      </w:r>
      <w:r>
        <w:rPr>
          <w:spacing w:val="28"/>
          <w:sz w:val="24"/>
        </w:rPr>
        <w:t> </w:t>
      </w:r>
      <w:r>
        <w:rPr>
          <w:sz w:val="24"/>
        </w:rPr>
        <w:t>Christopher.,</w:t>
      </w:r>
      <w:r>
        <w:rPr>
          <w:spacing w:val="26"/>
          <w:sz w:val="24"/>
        </w:rPr>
        <w:t> </w:t>
      </w:r>
      <w:r>
        <w:rPr>
          <w:sz w:val="24"/>
        </w:rPr>
        <w:t>and</w:t>
      </w:r>
      <w:r>
        <w:rPr>
          <w:spacing w:val="27"/>
          <w:sz w:val="24"/>
        </w:rPr>
        <w:t> </w:t>
      </w:r>
      <w:r>
        <w:rPr>
          <w:sz w:val="24"/>
        </w:rPr>
        <w:t>Moody,</w:t>
      </w:r>
      <w:r>
        <w:rPr>
          <w:spacing w:val="28"/>
          <w:sz w:val="24"/>
        </w:rPr>
        <w:t> </w:t>
      </w:r>
      <w:r>
        <w:rPr>
          <w:sz w:val="24"/>
        </w:rPr>
        <w:t>J.</w:t>
      </w:r>
      <w:r>
        <w:rPr>
          <w:spacing w:val="27"/>
          <w:sz w:val="24"/>
        </w:rPr>
        <w:t> </w:t>
      </w:r>
      <w:r>
        <w:rPr>
          <w:sz w:val="24"/>
        </w:rPr>
        <w:t>(1989).</w:t>
      </w:r>
      <w:r>
        <w:rPr>
          <w:spacing w:val="29"/>
          <w:sz w:val="24"/>
        </w:rPr>
        <w:t> </w:t>
      </w:r>
      <w:r>
        <w:rPr>
          <w:i/>
          <w:sz w:val="24"/>
        </w:rPr>
        <w:t>Experimental</w:t>
      </w:r>
      <w:r>
        <w:rPr>
          <w:i/>
          <w:spacing w:val="28"/>
          <w:sz w:val="24"/>
        </w:rPr>
        <w:t> </w:t>
      </w:r>
      <w:r>
        <w:rPr>
          <w:i/>
          <w:sz w:val="24"/>
        </w:rPr>
        <w:t>organic</w:t>
      </w:r>
      <w:r>
        <w:rPr>
          <w:i/>
          <w:spacing w:val="26"/>
          <w:sz w:val="24"/>
        </w:rPr>
        <w:t> </w:t>
      </w:r>
      <w:r>
        <w:rPr>
          <w:i/>
          <w:spacing w:val="-2"/>
          <w:sz w:val="24"/>
        </w:rPr>
        <w:t>chemistry.</w:t>
      </w:r>
    </w:p>
    <w:p>
      <w:pPr>
        <w:pStyle w:val="BodyText"/>
        <w:ind w:left="1920"/>
      </w:pPr>
      <w:r>
        <w:rPr/>
        <w:t>Wiley-Blackwell,</w:t>
      </w:r>
      <w:r>
        <w:rPr>
          <w:spacing w:val="-3"/>
        </w:rPr>
        <w:t> </w:t>
      </w:r>
      <w:r>
        <w:rPr/>
        <w:t>pp.</w:t>
      </w:r>
      <w:r>
        <w:rPr>
          <w:spacing w:val="-2"/>
        </w:rPr>
        <w:t> </w:t>
      </w:r>
      <w:r>
        <w:rPr>
          <w:spacing w:val="-4"/>
        </w:rPr>
        <w:t>292.</w:t>
      </w:r>
    </w:p>
    <w:p>
      <w:pPr>
        <w:pStyle w:val="BodyText"/>
        <w:spacing w:before="162"/>
        <w:ind w:left="1920" w:right="1431" w:hanging="720"/>
      </w:pPr>
      <w:r>
        <w:rPr/>
        <w:t>Manal,</w:t>
      </w:r>
      <w:r>
        <w:rPr>
          <w:spacing w:val="-4"/>
        </w:rPr>
        <w:t> </w:t>
      </w:r>
      <w:r>
        <w:rPr/>
        <w:t>S.</w:t>
      </w:r>
      <w:r>
        <w:rPr>
          <w:spacing w:val="-5"/>
        </w:rPr>
        <w:t> </w:t>
      </w:r>
      <w:r>
        <w:rPr/>
        <w:t>K.</w:t>
      </w:r>
      <w:r>
        <w:rPr>
          <w:spacing w:val="-5"/>
        </w:rPr>
        <w:t> </w:t>
      </w:r>
      <w:r>
        <w:rPr/>
        <w:t>(2008).</w:t>
      </w:r>
      <w:r>
        <w:rPr>
          <w:spacing w:val="-5"/>
        </w:rPr>
        <w:t> </w:t>
      </w:r>
      <w:r>
        <w:rPr/>
        <w:t>Spectrophotometric</w:t>
      </w:r>
      <w:r>
        <w:rPr>
          <w:spacing w:val="-5"/>
        </w:rPr>
        <w:t> </w:t>
      </w:r>
      <w:r>
        <w:rPr/>
        <w:t>Determination</w:t>
      </w:r>
      <w:r>
        <w:rPr>
          <w:spacing w:val="-3"/>
        </w:rPr>
        <w:t> </w:t>
      </w:r>
      <w:r>
        <w:rPr/>
        <w:t>of</w:t>
      </w:r>
      <w:r>
        <w:rPr>
          <w:spacing w:val="-3"/>
        </w:rPr>
        <w:t> </w:t>
      </w:r>
      <w:r>
        <w:rPr/>
        <w:t>Isoniazid</w:t>
      </w:r>
      <w:r>
        <w:rPr>
          <w:spacing w:val="-3"/>
        </w:rPr>
        <w:t> </w:t>
      </w:r>
      <w:r>
        <w:rPr/>
        <w:t>in</w:t>
      </w:r>
      <w:r>
        <w:rPr>
          <w:spacing w:val="-4"/>
        </w:rPr>
        <w:t> </w:t>
      </w:r>
      <w:r>
        <w:rPr/>
        <w:t>pure</w:t>
      </w:r>
      <w:r>
        <w:rPr>
          <w:spacing w:val="-6"/>
        </w:rPr>
        <w:t> </w:t>
      </w:r>
      <w:r>
        <w:rPr/>
        <w:t>form</w:t>
      </w:r>
      <w:r>
        <w:rPr>
          <w:spacing w:val="-3"/>
        </w:rPr>
        <w:t> </w:t>
      </w:r>
      <w:r>
        <w:rPr/>
        <w:t>and Pharmaceutical Preparations. </w:t>
      </w:r>
      <w:r>
        <w:rPr>
          <w:i/>
        </w:rPr>
        <w:t>World journal of chemistry, </w:t>
      </w:r>
      <w:r>
        <w:rPr/>
        <w:t>3(1): 11-16.</w:t>
      </w:r>
    </w:p>
    <w:p>
      <w:pPr>
        <w:pStyle w:val="BodyText"/>
      </w:pPr>
    </w:p>
    <w:p>
      <w:pPr>
        <w:pStyle w:val="BodyText"/>
        <w:ind w:left="1920" w:right="1431" w:hanging="720"/>
      </w:pPr>
      <w:r>
        <w:rPr/>
        <w:t>Marczenko,</w:t>
      </w:r>
      <w:r>
        <w:rPr>
          <w:spacing w:val="40"/>
        </w:rPr>
        <w:t> </w:t>
      </w:r>
      <w:r>
        <w:rPr/>
        <w:t>Z.</w:t>
      </w:r>
      <w:r>
        <w:rPr>
          <w:spacing w:val="40"/>
        </w:rPr>
        <w:t> </w:t>
      </w:r>
      <w:r>
        <w:rPr/>
        <w:t>(2000).</w:t>
      </w:r>
      <w:r>
        <w:rPr>
          <w:spacing w:val="40"/>
        </w:rPr>
        <w:t> </w:t>
      </w:r>
      <w:r>
        <w:rPr/>
        <w:t>Separation</w:t>
      </w:r>
      <w:r>
        <w:rPr>
          <w:spacing w:val="40"/>
        </w:rPr>
        <w:t> </w:t>
      </w:r>
      <w:r>
        <w:rPr/>
        <w:t>and</w:t>
      </w:r>
      <w:r>
        <w:rPr>
          <w:spacing w:val="40"/>
        </w:rPr>
        <w:t> </w:t>
      </w:r>
      <w:r>
        <w:rPr/>
        <w:t>Spectrophotometric</w:t>
      </w:r>
      <w:r>
        <w:rPr>
          <w:spacing w:val="40"/>
        </w:rPr>
        <w:t> </w:t>
      </w:r>
      <w:r>
        <w:rPr/>
        <w:t>Determination</w:t>
      </w:r>
      <w:r>
        <w:rPr>
          <w:spacing w:val="40"/>
        </w:rPr>
        <w:t> </w:t>
      </w:r>
      <w:r>
        <w:rPr/>
        <w:t>of</w:t>
      </w:r>
      <w:r>
        <w:rPr>
          <w:spacing w:val="40"/>
        </w:rPr>
        <w:t> </w:t>
      </w:r>
      <w:r>
        <w:rPr/>
        <w:t>Elements.</w:t>
      </w:r>
      <w:r>
        <w:rPr>
          <w:spacing w:val="40"/>
        </w:rPr>
        <w:t> </w:t>
      </w:r>
      <w:r>
        <w:rPr/>
        <w:t>John Wiley and Sons New York, pp. 256-257. United State of America.</w:t>
      </w:r>
    </w:p>
    <w:p>
      <w:pPr>
        <w:pStyle w:val="BodyText"/>
        <w:spacing w:before="158"/>
        <w:ind w:left="1920" w:right="1435" w:hanging="720"/>
        <w:jc w:val="both"/>
        <w:rPr>
          <w:i/>
        </w:rPr>
      </w:pPr>
      <w:r>
        <w:rPr/>
        <w:t>Milan-Sgovia, R. G., Prez-Flores, J.D., Torres-Tirado, X., Hermosilla-Ramirez, M., Vigna- Perez., and Romana-Moreno, S. (2007). Simultaneous HPLC Determination of Isoniazid and acetyl Isoniazid in Plasma. </w:t>
      </w:r>
      <w:r>
        <w:rPr>
          <w:i/>
        </w:rPr>
        <w:t>ActaChromatographica, No. 19.</w:t>
      </w:r>
    </w:p>
    <w:p>
      <w:pPr>
        <w:spacing w:after="0"/>
        <w:jc w:val="both"/>
        <w:sectPr>
          <w:pgSz w:w="12240" w:h="15840"/>
          <w:pgMar w:header="0" w:footer="1015" w:top="1360" w:bottom="1200" w:left="240" w:right="0"/>
        </w:sectPr>
      </w:pPr>
    </w:p>
    <w:p>
      <w:pPr>
        <w:pStyle w:val="BodyText"/>
        <w:spacing w:before="72"/>
        <w:ind w:left="1200"/>
      </w:pPr>
      <w:r>
        <w:rPr/>
        <w:t>Mohamed,</w:t>
      </w:r>
      <w:r>
        <w:rPr>
          <w:spacing w:val="25"/>
        </w:rPr>
        <w:t> </w:t>
      </w:r>
      <w:r>
        <w:rPr/>
        <w:t>A.,</w:t>
      </w:r>
      <w:r>
        <w:rPr>
          <w:spacing w:val="28"/>
        </w:rPr>
        <w:t> </w:t>
      </w:r>
      <w:r>
        <w:rPr/>
        <w:t>Mohamed,</w:t>
      </w:r>
      <w:r>
        <w:rPr>
          <w:spacing w:val="27"/>
        </w:rPr>
        <w:t> </w:t>
      </w:r>
      <w:r>
        <w:rPr/>
        <w:t>O.</w:t>
      </w:r>
      <w:r>
        <w:rPr>
          <w:spacing w:val="28"/>
        </w:rPr>
        <w:t> </w:t>
      </w:r>
      <w:r>
        <w:rPr/>
        <w:t>S.,</w:t>
      </w:r>
      <w:r>
        <w:rPr>
          <w:spacing w:val="28"/>
        </w:rPr>
        <w:t> </w:t>
      </w:r>
      <w:r>
        <w:rPr/>
        <w:t>Shantier,</w:t>
      </w:r>
      <w:r>
        <w:rPr>
          <w:spacing w:val="26"/>
        </w:rPr>
        <w:t> </w:t>
      </w:r>
      <w:r>
        <w:rPr/>
        <w:t>W.</w:t>
      </w:r>
      <w:r>
        <w:rPr>
          <w:spacing w:val="23"/>
        </w:rPr>
        <w:t> </w:t>
      </w:r>
      <w:r>
        <w:rPr/>
        <w:t>M.,</w:t>
      </w:r>
      <w:r>
        <w:rPr>
          <w:spacing w:val="28"/>
        </w:rPr>
        <w:t> </w:t>
      </w:r>
      <w:r>
        <w:rPr/>
        <w:t>Mohamed,</w:t>
      </w:r>
      <w:r>
        <w:rPr>
          <w:spacing w:val="27"/>
        </w:rPr>
        <w:t> </w:t>
      </w:r>
      <w:r>
        <w:rPr/>
        <w:t>A.,</w:t>
      </w:r>
      <w:r>
        <w:rPr>
          <w:spacing w:val="28"/>
        </w:rPr>
        <w:t> </w:t>
      </w:r>
      <w:r>
        <w:rPr/>
        <w:t>Elrasheed,</w:t>
      </w:r>
      <w:r>
        <w:rPr>
          <w:spacing w:val="28"/>
        </w:rPr>
        <w:t> </w:t>
      </w:r>
      <w:r>
        <w:rPr/>
        <w:t>A.</w:t>
      </w:r>
      <w:r>
        <w:rPr>
          <w:spacing w:val="27"/>
        </w:rPr>
        <w:t> </w:t>
      </w:r>
      <w:r>
        <w:rPr/>
        <w:t>G.,</w:t>
      </w:r>
      <w:r>
        <w:rPr>
          <w:spacing w:val="28"/>
        </w:rPr>
        <w:t> </w:t>
      </w:r>
      <w:r>
        <w:rPr/>
        <w:t>and</w:t>
      </w:r>
      <w:r>
        <w:rPr>
          <w:spacing w:val="28"/>
        </w:rPr>
        <w:t> </w:t>
      </w:r>
      <w:r>
        <w:rPr>
          <w:spacing w:val="-2"/>
        </w:rPr>
        <w:t>Esraa,</w:t>
      </w:r>
    </w:p>
    <w:p>
      <w:pPr>
        <w:tabs>
          <w:tab w:pos="2640" w:val="left" w:leader="none"/>
        </w:tabs>
        <w:spacing w:before="0"/>
        <w:ind w:left="1920" w:right="1488" w:firstLine="0"/>
        <w:jc w:val="left"/>
        <w:rPr>
          <w:sz w:val="24"/>
        </w:rPr>
      </w:pPr>
      <w:r>
        <w:rPr>
          <w:spacing w:val="-4"/>
          <w:sz w:val="24"/>
        </w:rPr>
        <w:t>M.O.</w:t>
      </w:r>
      <w:r>
        <w:rPr>
          <w:sz w:val="24"/>
        </w:rPr>
        <w:tab/>
        <w:t>(2015).</w:t>
      </w:r>
      <w:r>
        <w:rPr>
          <w:spacing w:val="80"/>
          <w:sz w:val="24"/>
        </w:rPr>
        <w:t> </w:t>
      </w:r>
      <w:r>
        <w:rPr>
          <w:sz w:val="24"/>
        </w:rPr>
        <w:t>Spectrophotometric</w:t>
      </w:r>
      <w:r>
        <w:rPr>
          <w:spacing w:val="80"/>
          <w:sz w:val="24"/>
        </w:rPr>
        <w:t> </w:t>
      </w:r>
      <w:r>
        <w:rPr>
          <w:sz w:val="24"/>
        </w:rPr>
        <w:t>Method</w:t>
      </w:r>
      <w:r>
        <w:rPr>
          <w:spacing w:val="80"/>
          <w:sz w:val="24"/>
        </w:rPr>
        <w:t> </w:t>
      </w:r>
      <w:r>
        <w:rPr>
          <w:sz w:val="24"/>
        </w:rPr>
        <w:t>for</w:t>
      </w:r>
      <w:r>
        <w:rPr>
          <w:spacing w:val="80"/>
          <w:sz w:val="24"/>
        </w:rPr>
        <w:t> </w:t>
      </w:r>
      <w:r>
        <w:rPr>
          <w:sz w:val="24"/>
        </w:rPr>
        <w:t>the</w:t>
      </w:r>
      <w:r>
        <w:rPr>
          <w:spacing w:val="80"/>
          <w:sz w:val="24"/>
        </w:rPr>
        <w:t> </w:t>
      </w:r>
      <w:r>
        <w:rPr>
          <w:sz w:val="24"/>
        </w:rPr>
        <w:t>Simultaneous</w:t>
      </w:r>
      <w:r>
        <w:rPr>
          <w:spacing w:val="80"/>
          <w:sz w:val="24"/>
        </w:rPr>
        <w:t> </w:t>
      </w:r>
      <w:r>
        <w:rPr>
          <w:sz w:val="24"/>
        </w:rPr>
        <w:t>Determination</w:t>
      </w:r>
      <w:r>
        <w:rPr>
          <w:spacing w:val="80"/>
          <w:sz w:val="24"/>
        </w:rPr>
        <w:t> </w:t>
      </w:r>
      <w:r>
        <w:rPr>
          <w:sz w:val="24"/>
        </w:rPr>
        <w:t>of Isoniazid and</w:t>
      </w:r>
      <w:r>
        <w:rPr>
          <w:spacing w:val="80"/>
          <w:sz w:val="24"/>
        </w:rPr>
        <w:t> </w:t>
      </w:r>
      <w:r>
        <w:rPr>
          <w:sz w:val="24"/>
        </w:rPr>
        <w:t>Rifampicin in Bulk and Tablet Forms.</w:t>
      </w:r>
      <w:r>
        <w:rPr>
          <w:i/>
          <w:sz w:val="24"/>
        </w:rPr>
        <w:t>International Journal of Pharmaceutical Sciences</w:t>
      </w:r>
      <w:r>
        <w:rPr>
          <w:i/>
          <w:spacing w:val="40"/>
          <w:sz w:val="24"/>
        </w:rPr>
        <w:t> </w:t>
      </w:r>
      <w:r>
        <w:rPr>
          <w:i/>
          <w:sz w:val="24"/>
        </w:rPr>
        <w:t>Review and Research, </w:t>
      </w:r>
      <w:r>
        <w:rPr>
          <w:sz w:val="24"/>
        </w:rPr>
        <w:t>32(2): 154-156.</w:t>
      </w:r>
    </w:p>
    <w:p>
      <w:pPr>
        <w:pStyle w:val="BodyText"/>
      </w:pPr>
    </w:p>
    <w:p>
      <w:pPr>
        <w:spacing w:before="0"/>
        <w:ind w:left="1920" w:right="1437" w:hanging="720"/>
        <w:jc w:val="both"/>
        <w:rPr>
          <w:sz w:val="24"/>
        </w:rPr>
      </w:pPr>
      <w:r>
        <w:rPr>
          <w:sz w:val="24"/>
        </w:rPr>
        <w:t>Mohan, B. M.,Yathirajan, H. S., Rangaswamy, J. (1984). Determination of ascorbic acid and isoniazid with N-bromosuccinimide. </w:t>
      </w:r>
      <w:r>
        <w:rPr>
          <w:i/>
          <w:sz w:val="24"/>
        </w:rPr>
        <w:t>Indian Journal of Pharmaceutical Science, </w:t>
      </w:r>
      <w:r>
        <w:rPr>
          <w:sz w:val="24"/>
        </w:rPr>
        <w:t>46: 156- </w:t>
      </w:r>
      <w:r>
        <w:rPr>
          <w:spacing w:val="-4"/>
          <w:sz w:val="24"/>
        </w:rPr>
        <w:t>158.</w:t>
      </w:r>
    </w:p>
    <w:p>
      <w:pPr>
        <w:pStyle w:val="BodyText"/>
      </w:pPr>
    </w:p>
    <w:p>
      <w:pPr>
        <w:spacing w:before="0"/>
        <w:ind w:left="1920" w:right="1440" w:hanging="720"/>
        <w:jc w:val="both"/>
        <w:rPr>
          <w:sz w:val="24"/>
        </w:rPr>
      </w:pPr>
      <w:r>
        <w:rPr>
          <w:sz w:val="24"/>
        </w:rPr>
        <w:t>Mukamel, S. (2000). Multidimensional Fentosecond Correlation Spectroscopies of Electronic</w:t>
      </w:r>
      <w:r>
        <w:rPr>
          <w:spacing w:val="40"/>
          <w:sz w:val="24"/>
        </w:rPr>
        <w:t> </w:t>
      </w:r>
      <w:r>
        <w:rPr>
          <w:sz w:val="24"/>
        </w:rPr>
        <w:t>and Vibrational Excitations. </w:t>
      </w:r>
      <w:r>
        <w:rPr>
          <w:i/>
          <w:sz w:val="24"/>
        </w:rPr>
        <w:t>Annual Review of Physics and Chemistry</w:t>
      </w:r>
      <w:r>
        <w:rPr>
          <w:sz w:val="24"/>
        </w:rPr>
        <w:t>, 51(1): 691.</w:t>
      </w:r>
    </w:p>
    <w:p>
      <w:pPr>
        <w:spacing w:before="161"/>
        <w:ind w:left="1920" w:right="1431" w:hanging="720"/>
        <w:jc w:val="left"/>
        <w:rPr>
          <w:sz w:val="24"/>
        </w:rPr>
      </w:pPr>
      <w:r>
        <w:rPr>
          <w:sz w:val="24"/>
        </w:rPr>
        <w:t>Musa,</w:t>
      </w:r>
      <w:r>
        <w:rPr>
          <w:spacing w:val="-4"/>
          <w:sz w:val="24"/>
        </w:rPr>
        <w:t> </w:t>
      </w:r>
      <w:r>
        <w:rPr>
          <w:sz w:val="24"/>
        </w:rPr>
        <w:t>A.,</w:t>
      </w:r>
      <w:r>
        <w:rPr>
          <w:spacing w:val="-4"/>
          <w:sz w:val="24"/>
        </w:rPr>
        <w:t> </w:t>
      </w:r>
      <w:r>
        <w:rPr>
          <w:sz w:val="24"/>
        </w:rPr>
        <w:t>Nasir,</w:t>
      </w:r>
      <w:r>
        <w:rPr>
          <w:spacing w:val="-1"/>
          <w:sz w:val="24"/>
        </w:rPr>
        <w:t> </w:t>
      </w:r>
      <w:r>
        <w:rPr>
          <w:sz w:val="24"/>
        </w:rPr>
        <w:t>I.,</w:t>
      </w:r>
      <w:r>
        <w:rPr>
          <w:spacing w:val="-1"/>
          <w:sz w:val="24"/>
        </w:rPr>
        <w:t> </w:t>
      </w:r>
      <w:r>
        <w:rPr>
          <w:sz w:val="24"/>
        </w:rPr>
        <w:t>and</w:t>
      </w:r>
      <w:r>
        <w:rPr>
          <w:spacing w:val="-1"/>
          <w:sz w:val="24"/>
        </w:rPr>
        <w:t> </w:t>
      </w:r>
      <w:r>
        <w:rPr>
          <w:sz w:val="24"/>
        </w:rPr>
        <w:t>Garba,</w:t>
      </w:r>
      <w:r>
        <w:rPr>
          <w:spacing w:val="-3"/>
          <w:sz w:val="24"/>
        </w:rPr>
        <w:t> </w:t>
      </w:r>
      <w:r>
        <w:rPr>
          <w:sz w:val="24"/>
        </w:rPr>
        <w:t>M.(2014).A</w:t>
      </w:r>
      <w:r>
        <w:rPr>
          <w:spacing w:val="-5"/>
          <w:sz w:val="24"/>
        </w:rPr>
        <w:t> </w:t>
      </w:r>
      <w:r>
        <w:rPr>
          <w:sz w:val="24"/>
        </w:rPr>
        <w:t>Novel</w:t>
      </w:r>
      <w:r>
        <w:rPr>
          <w:spacing w:val="-3"/>
          <w:sz w:val="24"/>
        </w:rPr>
        <w:t> </w:t>
      </w:r>
      <w:r>
        <w:rPr>
          <w:sz w:val="24"/>
        </w:rPr>
        <w:t>Spectrophotometric</w:t>
      </w:r>
      <w:r>
        <w:rPr>
          <w:spacing w:val="-3"/>
          <w:sz w:val="24"/>
        </w:rPr>
        <w:t> </w:t>
      </w:r>
      <w:r>
        <w:rPr>
          <w:sz w:val="24"/>
        </w:rPr>
        <w:t>Method</w:t>
      </w:r>
      <w:r>
        <w:rPr>
          <w:spacing w:val="-3"/>
          <w:sz w:val="24"/>
        </w:rPr>
        <w:t> </w:t>
      </w:r>
      <w:r>
        <w:rPr>
          <w:sz w:val="24"/>
        </w:rPr>
        <w:t>for</w:t>
      </w:r>
      <w:r>
        <w:rPr>
          <w:spacing w:val="-4"/>
          <w:sz w:val="24"/>
        </w:rPr>
        <w:t> </w:t>
      </w:r>
      <w:r>
        <w:rPr>
          <w:sz w:val="24"/>
        </w:rPr>
        <w:t>Determination of Lamivudine in Pure and Tablet Dosage Form by Formation of a ColouredHydrazone</w:t>
      </w:r>
      <w:r>
        <w:rPr>
          <w:spacing w:val="40"/>
          <w:sz w:val="24"/>
        </w:rPr>
        <w:t> </w:t>
      </w:r>
      <w:r>
        <w:rPr>
          <w:sz w:val="24"/>
        </w:rPr>
        <w:t>Using 2,4-dinitrophenyl Hydrazine. </w:t>
      </w:r>
      <w:r>
        <w:rPr>
          <w:i/>
          <w:sz w:val="24"/>
        </w:rPr>
        <w:t>African Journal of Pharmaceutical Research Development, </w:t>
      </w:r>
      <w:r>
        <w:rPr>
          <w:sz w:val="24"/>
        </w:rPr>
        <w:t>6 (1): 1-5.</w:t>
      </w:r>
    </w:p>
    <w:p>
      <w:pPr>
        <w:pStyle w:val="BodyText"/>
        <w:spacing w:before="1"/>
      </w:pPr>
    </w:p>
    <w:p>
      <w:pPr>
        <w:spacing w:before="0"/>
        <w:ind w:left="1920" w:right="1431" w:hanging="720"/>
        <w:jc w:val="left"/>
        <w:rPr>
          <w:sz w:val="24"/>
        </w:rPr>
      </w:pPr>
      <w:r>
        <w:rPr>
          <w:sz w:val="24"/>
        </w:rPr>
        <w:t>Nagendra,</w:t>
      </w:r>
      <w:r>
        <w:rPr>
          <w:spacing w:val="40"/>
          <w:sz w:val="24"/>
        </w:rPr>
        <w:t> </w:t>
      </w:r>
      <w:r>
        <w:rPr>
          <w:sz w:val="24"/>
        </w:rPr>
        <w:t>P.,</w:t>
      </w:r>
      <w:r>
        <w:rPr>
          <w:spacing w:val="40"/>
          <w:sz w:val="24"/>
        </w:rPr>
        <w:t> </w:t>
      </w:r>
      <w:r>
        <w:rPr>
          <w:sz w:val="24"/>
        </w:rPr>
        <w:t>Yathirajan,</w:t>
      </w:r>
      <w:r>
        <w:rPr>
          <w:spacing w:val="40"/>
          <w:sz w:val="24"/>
        </w:rPr>
        <w:t> </w:t>
      </w:r>
      <w:r>
        <w:rPr>
          <w:sz w:val="24"/>
        </w:rPr>
        <w:t>H.S.,</w:t>
      </w:r>
      <w:r>
        <w:rPr>
          <w:spacing w:val="40"/>
          <w:sz w:val="24"/>
        </w:rPr>
        <w:t> </w:t>
      </w:r>
      <w:r>
        <w:rPr>
          <w:sz w:val="24"/>
        </w:rPr>
        <w:t>Mohona,</w:t>
      </w:r>
      <w:r>
        <w:rPr>
          <w:spacing w:val="40"/>
          <w:sz w:val="24"/>
        </w:rPr>
        <w:t> </w:t>
      </w:r>
      <w:r>
        <w:rPr>
          <w:sz w:val="24"/>
        </w:rPr>
        <w:t>K.N.</w:t>
      </w:r>
      <w:r>
        <w:rPr>
          <w:spacing w:val="40"/>
          <w:sz w:val="24"/>
        </w:rPr>
        <w:t> </w:t>
      </w:r>
      <w:r>
        <w:rPr>
          <w:sz w:val="24"/>
        </w:rPr>
        <w:t>(2002).</w:t>
      </w:r>
      <w:r>
        <w:rPr>
          <w:spacing w:val="40"/>
          <w:sz w:val="24"/>
        </w:rPr>
        <w:t> </w:t>
      </w:r>
      <w:r>
        <w:rPr>
          <w:i/>
          <w:sz w:val="24"/>
        </w:rPr>
        <w:t>Indian</w:t>
      </w:r>
      <w:r>
        <w:rPr>
          <w:i/>
          <w:spacing w:val="40"/>
          <w:sz w:val="24"/>
        </w:rPr>
        <w:t> </w:t>
      </w:r>
      <w:r>
        <w:rPr>
          <w:i/>
          <w:sz w:val="24"/>
        </w:rPr>
        <w:t>Journal</w:t>
      </w:r>
      <w:r>
        <w:rPr>
          <w:i/>
          <w:spacing w:val="40"/>
          <w:sz w:val="24"/>
        </w:rPr>
        <w:t> </w:t>
      </w:r>
      <w:r>
        <w:rPr>
          <w:i/>
          <w:sz w:val="24"/>
        </w:rPr>
        <w:t>of</w:t>
      </w:r>
      <w:r>
        <w:rPr>
          <w:i/>
          <w:spacing w:val="40"/>
          <w:sz w:val="24"/>
        </w:rPr>
        <w:t> </w:t>
      </w:r>
      <w:r>
        <w:rPr>
          <w:i/>
          <w:sz w:val="24"/>
        </w:rPr>
        <w:t>Chemical</w:t>
      </w:r>
      <w:r>
        <w:rPr>
          <w:i/>
          <w:spacing w:val="40"/>
          <w:sz w:val="24"/>
        </w:rPr>
        <w:t> </w:t>
      </w:r>
      <w:r>
        <w:rPr>
          <w:i/>
          <w:sz w:val="24"/>
        </w:rPr>
        <w:t>Science</w:t>
      </w:r>
      <w:r>
        <w:rPr>
          <w:sz w:val="24"/>
        </w:rPr>
        <w:t>, </w:t>
      </w:r>
      <w:r>
        <w:rPr>
          <w:spacing w:val="-2"/>
          <w:sz w:val="24"/>
        </w:rPr>
        <w:t>79(1):75.</w:t>
      </w:r>
    </w:p>
    <w:p>
      <w:pPr>
        <w:pStyle w:val="BodyText"/>
        <w:spacing w:before="273"/>
        <w:ind w:left="1920" w:right="1443" w:hanging="720"/>
        <w:jc w:val="both"/>
      </w:pPr>
      <w:r>
        <w:rPr/>
        <w:t>Naidu, G. K., Suvardhan, K., Kumar, K. S., Rekha, D., Shastry, B. S., and Charanjeevi, P. (2005). Simple sensitive spectrophotometric determination of isoniazid and ritodrine hydrochloride. </w:t>
      </w:r>
      <w:r>
        <w:rPr>
          <w:i/>
        </w:rPr>
        <w:t>Journal of Analytical Chemistry, </w:t>
      </w:r>
      <w:r>
        <w:rPr/>
        <w:t>60: 822-827.</w:t>
      </w:r>
    </w:p>
    <w:p>
      <w:pPr>
        <w:pStyle w:val="BodyText"/>
      </w:pPr>
    </w:p>
    <w:p>
      <w:pPr>
        <w:spacing w:before="1"/>
        <w:ind w:left="1920" w:right="1443" w:hanging="720"/>
        <w:jc w:val="left"/>
        <w:rPr>
          <w:sz w:val="24"/>
        </w:rPr>
      </w:pPr>
      <w:r>
        <w:rPr>
          <w:sz w:val="24"/>
        </w:rPr>
        <w:t>Niraimathi, V., Jerad, A. S., and Ramaprabha, R. (2013). Simple UV Spectrophotometric methods</w:t>
      </w:r>
      <w:r>
        <w:rPr>
          <w:spacing w:val="36"/>
          <w:sz w:val="24"/>
        </w:rPr>
        <w:t> </w:t>
      </w:r>
      <w:r>
        <w:rPr>
          <w:sz w:val="24"/>
        </w:rPr>
        <w:t>for</w:t>
      </w:r>
      <w:r>
        <w:rPr>
          <w:spacing w:val="-4"/>
          <w:sz w:val="24"/>
        </w:rPr>
        <w:t> </w:t>
      </w:r>
      <w:r>
        <w:rPr>
          <w:sz w:val="24"/>
        </w:rPr>
        <w:t>the</w:t>
      </w:r>
      <w:r>
        <w:rPr>
          <w:spacing w:val="36"/>
          <w:sz w:val="24"/>
        </w:rPr>
        <w:t> </w:t>
      </w:r>
      <w:r>
        <w:rPr>
          <w:sz w:val="24"/>
        </w:rPr>
        <w:t>estimation</w:t>
      </w:r>
      <w:r>
        <w:rPr>
          <w:spacing w:val="37"/>
          <w:sz w:val="24"/>
        </w:rPr>
        <w:t> </w:t>
      </w:r>
      <w:r>
        <w:rPr>
          <w:sz w:val="24"/>
        </w:rPr>
        <w:t>of</w:t>
      </w:r>
      <w:r>
        <w:rPr>
          <w:spacing w:val="35"/>
          <w:sz w:val="24"/>
        </w:rPr>
        <w:t> </w:t>
      </w:r>
      <w:r>
        <w:rPr>
          <w:sz w:val="24"/>
        </w:rPr>
        <w:t>isoniazid</w:t>
      </w:r>
      <w:r>
        <w:rPr>
          <w:spacing w:val="37"/>
          <w:sz w:val="24"/>
        </w:rPr>
        <w:t> </w:t>
      </w:r>
      <w:r>
        <w:rPr>
          <w:sz w:val="24"/>
        </w:rPr>
        <w:t>in</w:t>
      </w:r>
      <w:r>
        <w:rPr>
          <w:spacing w:val="37"/>
          <w:sz w:val="24"/>
        </w:rPr>
        <w:t> </w:t>
      </w:r>
      <w:r>
        <w:rPr>
          <w:sz w:val="24"/>
        </w:rPr>
        <w:t>bulk</w:t>
      </w:r>
      <w:r>
        <w:rPr>
          <w:spacing w:val="34"/>
          <w:sz w:val="24"/>
        </w:rPr>
        <w:t> </w:t>
      </w:r>
      <w:r>
        <w:rPr>
          <w:sz w:val="24"/>
        </w:rPr>
        <w:t>and</w:t>
      </w:r>
      <w:r>
        <w:rPr>
          <w:spacing w:val="36"/>
          <w:sz w:val="24"/>
        </w:rPr>
        <w:t> </w:t>
      </w:r>
      <w:r>
        <w:rPr>
          <w:sz w:val="24"/>
        </w:rPr>
        <w:t>pharmaceutical</w:t>
      </w:r>
      <w:r>
        <w:rPr>
          <w:spacing w:val="37"/>
          <w:sz w:val="24"/>
        </w:rPr>
        <w:t> </w:t>
      </w:r>
      <w:r>
        <w:rPr>
          <w:sz w:val="24"/>
        </w:rPr>
        <w:t>dosage</w:t>
      </w:r>
      <w:r>
        <w:rPr>
          <w:spacing w:val="38"/>
          <w:sz w:val="24"/>
        </w:rPr>
        <w:t> </w:t>
      </w:r>
      <w:r>
        <w:rPr>
          <w:sz w:val="24"/>
        </w:rPr>
        <w:t>form. </w:t>
      </w:r>
      <w:r>
        <w:rPr>
          <w:i/>
          <w:sz w:val="24"/>
        </w:rPr>
        <w:t>Indo American Journal of Pharmaceutical Research, </w:t>
      </w:r>
      <w:r>
        <w:rPr>
          <w:sz w:val="24"/>
        </w:rPr>
        <w:t>3 (9): 7210-7216.</w:t>
      </w:r>
    </w:p>
    <w:p>
      <w:pPr>
        <w:pStyle w:val="BodyText"/>
      </w:pPr>
    </w:p>
    <w:p>
      <w:pPr>
        <w:spacing w:before="0"/>
        <w:ind w:left="1920" w:right="1434" w:hanging="720"/>
        <w:jc w:val="both"/>
        <w:rPr>
          <w:sz w:val="24"/>
        </w:rPr>
      </w:pPr>
      <w:r>
        <w:rPr>
          <w:sz w:val="24"/>
        </w:rPr>
        <w:t>Niraimathi,</w:t>
      </w:r>
      <w:r>
        <w:rPr>
          <w:spacing w:val="-3"/>
          <w:sz w:val="24"/>
        </w:rPr>
        <w:t> </w:t>
      </w:r>
      <w:r>
        <w:rPr>
          <w:sz w:val="24"/>
        </w:rPr>
        <w:t>V.,</w:t>
      </w:r>
      <w:r>
        <w:rPr>
          <w:spacing w:val="-4"/>
          <w:sz w:val="24"/>
        </w:rPr>
        <w:t> </w:t>
      </w:r>
      <w:r>
        <w:rPr>
          <w:sz w:val="24"/>
        </w:rPr>
        <w:t>Jerad,</w:t>
      </w:r>
      <w:r>
        <w:rPr>
          <w:spacing w:val="-3"/>
          <w:sz w:val="24"/>
        </w:rPr>
        <w:t> </w:t>
      </w:r>
      <w:r>
        <w:rPr>
          <w:sz w:val="24"/>
        </w:rPr>
        <w:t>S.</w:t>
      </w:r>
      <w:r>
        <w:rPr>
          <w:spacing w:val="-4"/>
          <w:sz w:val="24"/>
        </w:rPr>
        <w:t> </w:t>
      </w:r>
      <w:r>
        <w:rPr>
          <w:sz w:val="24"/>
        </w:rPr>
        <w:t>A.,</w:t>
      </w:r>
      <w:r>
        <w:rPr>
          <w:spacing w:val="-3"/>
          <w:sz w:val="24"/>
        </w:rPr>
        <w:t> </w:t>
      </w:r>
      <w:r>
        <w:rPr>
          <w:sz w:val="24"/>
        </w:rPr>
        <w:t>Ramaprabha,</w:t>
      </w:r>
      <w:r>
        <w:rPr>
          <w:spacing w:val="-3"/>
          <w:sz w:val="24"/>
        </w:rPr>
        <w:t> </w:t>
      </w:r>
      <w:r>
        <w:rPr>
          <w:sz w:val="24"/>
        </w:rPr>
        <w:t>R.,</w:t>
      </w:r>
      <w:r>
        <w:rPr>
          <w:spacing w:val="-3"/>
          <w:sz w:val="24"/>
        </w:rPr>
        <w:t> </w:t>
      </w:r>
      <w:r>
        <w:rPr>
          <w:sz w:val="24"/>
        </w:rPr>
        <w:t>and</w:t>
      </w:r>
      <w:r>
        <w:rPr>
          <w:spacing w:val="-1"/>
          <w:sz w:val="24"/>
        </w:rPr>
        <w:t> </w:t>
      </w:r>
      <w:r>
        <w:rPr>
          <w:sz w:val="24"/>
        </w:rPr>
        <w:t>Senthil</w:t>
      </w:r>
      <w:r>
        <w:rPr>
          <w:spacing w:val="-2"/>
          <w:sz w:val="24"/>
        </w:rPr>
        <w:t> </w:t>
      </w:r>
      <w:r>
        <w:rPr>
          <w:sz w:val="24"/>
        </w:rPr>
        <w:t>K.</w:t>
      </w:r>
      <w:r>
        <w:rPr>
          <w:spacing w:val="-1"/>
          <w:sz w:val="24"/>
        </w:rPr>
        <w:t> </w:t>
      </w:r>
      <w:r>
        <w:rPr>
          <w:sz w:val="24"/>
        </w:rPr>
        <w:t>I.</w:t>
      </w:r>
      <w:r>
        <w:rPr>
          <w:spacing w:val="-3"/>
          <w:sz w:val="24"/>
        </w:rPr>
        <w:t> </w:t>
      </w:r>
      <w:r>
        <w:rPr>
          <w:sz w:val="24"/>
        </w:rPr>
        <w:t>(2014).</w:t>
      </w:r>
      <w:r>
        <w:rPr>
          <w:spacing w:val="-4"/>
          <w:sz w:val="24"/>
        </w:rPr>
        <w:t> </w:t>
      </w:r>
      <w:r>
        <w:rPr>
          <w:sz w:val="24"/>
        </w:rPr>
        <w:t>Visible</w:t>
      </w:r>
      <w:r>
        <w:rPr>
          <w:spacing w:val="-4"/>
          <w:sz w:val="24"/>
        </w:rPr>
        <w:t> </w:t>
      </w:r>
      <w:r>
        <w:rPr>
          <w:sz w:val="24"/>
        </w:rPr>
        <w:t>Spectrophotometri c</w:t>
      </w:r>
      <w:r>
        <w:rPr>
          <w:spacing w:val="-3"/>
          <w:sz w:val="24"/>
        </w:rPr>
        <w:t> </w:t>
      </w:r>
      <w:r>
        <w:rPr>
          <w:sz w:val="24"/>
        </w:rPr>
        <w:t>Estimation of Isoniazid in Bulk and Pharmaceutical Dosage Form. </w:t>
      </w:r>
      <w:r>
        <w:rPr>
          <w:i/>
          <w:sz w:val="24"/>
        </w:rPr>
        <w:t>International</w:t>
      </w:r>
      <w:r>
        <w:rPr>
          <w:i/>
          <w:spacing w:val="40"/>
          <w:sz w:val="24"/>
        </w:rPr>
        <w:t> </w:t>
      </w:r>
      <w:r>
        <w:rPr>
          <w:i/>
          <w:sz w:val="24"/>
        </w:rPr>
        <w:t>Journal of Pharmaceutical Sciences Review and Research, </w:t>
      </w:r>
      <w:r>
        <w:rPr>
          <w:sz w:val="24"/>
        </w:rPr>
        <w:t>24(2): 50-52.</w:t>
      </w:r>
    </w:p>
    <w:p>
      <w:pPr>
        <w:pStyle w:val="BodyText"/>
      </w:pPr>
    </w:p>
    <w:p>
      <w:pPr>
        <w:spacing w:before="0"/>
        <w:ind w:left="1920" w:right="1431" w:hanging="720"/>
        <w:jc w:val="left"/>
        <w:rPr>
          <w:sz w:val="24"/>
        </w:rPr>
      </w:pPr>
      <w:r>
        <w:rPr>
          <w:sz w:val="24"/>
        </w:rPr>
        <w:t>Oga, E.F. (2010). Spectrophotometric determination of isoniazid in pure and pharmaceutical formulations</w:t>
      </w:r>
      <w:r>
        <w:rPr>
          <w:spacing w:val="40"/>
          <w:sz w:val="24"/>
        </w:rPr>
        <w:t> </w:t>
      </w:r>
      <w:r>
        <w:rPr>
          <w:sz w:val="24"/>
        </w:rPr>
        <w:t>using</w:t>
      </w:r>
      <w:r>
        <w:rPr>
          <w:spacing w:val="40"/>
          <w:sz w:val="24"/>
        </w:rPr>
        <w:t> </w:t>
      </w:r>
      <w:r>
        <w:rPr>
          <w:sz w:val="24"/>
        </w:rPr>
        <w:t>vanillin.</w:t>
      </w:r>
      <w:r>
        <w:rPr>
          <w:spacing w:val="40"/>
          <w:sz w:val="24"/>
        </w:rPr>
        <w:t> </w:t>
      </w:r>
      <w:r>
        <w:rPr>
          <w:i/>
          <w:sz w:val="24"/>
        </w:rPr>
        <w:t>International</w:t>
      </w:r>
      <w:r>
        <w:rPr>
          <w:i/>
          <w:spacing w:val="40"/>
          <w:sz w:val="24"/>
        </w:rPr>
        <w:t> </w:t>
      </w:r>
      <w:r>
        <w:rPr>
          <w:i/>
          <w:sz w:val="24"/>
        </w:rPr>
        <w:t>Journal</w:t>
      </w:r>
      <w:r>
        <w:rPr>
          <w:i/>
          <w:spacing w:val="40"/>
          <w:sz w:val="24"/>
        </w:rPr>
        <w:t> </w:t>
      </w:r>
      <w:r>
        <w:rPr>
          <w:i/>
          <w:sz w:val="24"/>
        </w:rPr>
        <w:t>of</w:t>
      </w:r>
      <w:r>
        <w:rPr>
          <w:i/>
          <w:spacing w:val="40"/>
          <w:sz w:val="24"/>
        </w:rPr>
        <w:t> </w:t>
      </w:r>
      <w:r>
        <w:rPr>
          <w:i/>
          <w:sz w:val="24"/>
        </w:rPr>
        <w:t>Pharmacy</w:t>
      </w:r>
      <w:r>
        <w:rPr>
          <w:i/>
          <w:spacing w:val="40"/>
          <w:sz w:val="24"/>
        </w:rPr>
        <w:t> </w:t>
      </w:r>
      <w:r>
        <w:rPr>
          <w:i/>
          <w:sz w:val="24"/>
        </w:rPr>
        <w:t>and</w:t>
      </w:r>
      <w:r>
        <w:rPr>
          <w:i/>
          <w:spacing w:val="40"/>
          <w:sz w:val="24"/>
        </w:rPr>
        <w:t> </w:t>
      </w:r>
      <w:r>
        <w:rPr>
          <w:i/>
          <w:sz w:val="24"/>
        </w:rPr>
        <w:t>Pharmaceutical Science, </w:t>
      </w:r>
      <w:r>
        <w:rPr>
          <w:sz w:val="24"/>
        </w:rPr>
        <w:t>2(1): 55-58.</w:t>
      </w:r>
    </w:p>
    <w:p>
      <w:pPr>
        <w:pStyle w:val="BodyText"/>
      </w:pPr>
    </w:p>
    <w:p>
      <w:pPr>
        <w:pStyle w:val="BodyText"/>
        <w:ind w:left="1920" w:right="1687" w:hanging="720"/>
      </w:pPr>
      <w:r>
        <w:rPr/>
        <w:t>Padmarajaiah,</w:t>
      </w:r>
      <w:r>
        <w:rPr>
          <w:spacing w:val="-4"/>
        </w:rPr>
        <w:t> </w:t>
      </w:r>
      <w:r>
        <w:rPr/>
        <w:t>N.,</w:t>
      </w:r>
      <w:r>
        <w:rPr>
          <w:spacing w:val="-3"/>
        </w:rPr>
        <w:t> </w:t>
      </w:r>
      <w:r>
        <w:rPr/>
        <w:t>Kallanchira,</w:t>
      </w:r>
      <w:r>
        <w:rPr>
          <w:spacing w:val="-3"/>
        </w:rPr>
        <w:t> </w:t>
      </w:r>
      <w:r>
        <w:rPr/>
        <w:t>S.,</w:t>
      </w:r>
      <w:r>
        <w:rPr>
          <w:spacing w:val="-4"/>
        </w:rPr>
        <w:t> </w:t>
      </w:r>
      <w:r>
        <w:rPr/>
        <w:t>Ramanathapura,</w:t>
      </w:r>
      <w:r>
        <w:rPr>
          <w:spacing w:val="-4"/>
        </w:rPr>
        <w:t> </w:t>
      </w:r>
      <w:r>
        <w:rPr/>
        <w:t>V.,</w:t>
      </w:r>
      <w:r>
        <w:rPr>
          <w:spacing w:val="-5"/>
        </w:rPr>
        <w:t> </w:t>
      </w:r>
      <w:r>
        <w:rPr/>
        <w:t>and</w:t>
      </w:r>
      <w:r>
        <w:rPr>
          <w:spacing w:val="-4"/>
        </w:rPr>
        <w:t> </w:t>
      </w:r>
      <w:r>
        <w:rPr/>
        <w:t>Hemmige,</w:t>
      </w:r>
      <w:r>
        <w:rPr>
          <w:spacing w:val="-4"/>
        </w:rPr>
        <w:t> </w:t>
      </w:r>
      <w:r>
        <w:rPr/>
        <w:t>Y.</w:t>
      </w:r>
      <w:r>
        <w:rPr>
          <w:spacing w:val="-3"/>
        </w:rPr>
        <w:t> </w:t>
      </w:r>
      <w:r>
        <w:rPr/>
        <w:t>(2002).</w:t>
      </w:r>
      <w:r>
        <w:rPr>
          <w:spacing w:val="-4"/>
        </w:rPr>
        <w:t> </w:t>
      </w:r>
      <w:r>
        <w:rPr/>
        <w:t>Novel Method for the Spectrophotometric Determination of Isoniazid and Ritodrine Hydrochloride. </w:t>
      </w:r>
      <w:r>
        <w:rPr>
          <w:i/>
        </w:rPr>
        <w:t>Turk Jounal of</w:t>
      </w:r>
      <w:r>
        <w:rPr>
          <w:i/>
          <w:spacing w:val="40"/>
        </w:rPr>
        <w:t> </w:t>
      </w:r>
      <w:r>
        <w:rPr>
          <w:i/>
        </w:rPr>
        <w:t>Chemistry, </w:t>
      </w:r>
      <w:r>
        <w:rPr/>
        <w:t>26: 743 – 750.</w:t>
      </w:r>
    </w:p>
    <w:p>
      <w:pPr>
        <w:pStyle w:val="BodyText"/>
        <w:spacing w:before="1"/>
      </w:pPr>
    </w:p>
    <w:p>
      <w:pPr>
        <w:pStyle w:val="BodyText"/>
        <w:ind w:left="1920" w:right="1441" w:hanging="720"/>
        <w:jc w:val="both"/>
      </w:pPr>
      <w:r>
        <w:rPr/>
        <w:t>Pratap, Y. P., Anjali, V. L., Sandhya N. B., Sumedha, and Rathi, R. (2012). Simultaneous UV Spectrophotometric Method for Estimation of Isoniazid and Pyridoxine in Tablet Dosage Form. </w:t>
      </w:r>
      <w:r>
        <w:rPr>
          <w:i/>
        </w:rPr>
        <w:t>Der PharmaChemica, </w:t>
      </w:r>
      <w:r>
        <w:rPr/>
        <w:t>4 (2):749-754.</w:t>
      </w:r>
    </w:p>
    <w:p>
      <w:pPr>
        <w:pStyle w:val="BodyText"/>
      </w:pPr>
    </w:p>
    <w:p>
      <w:pPr>
        <w:pStyle w:val="BodyText"/>
        <w:ind w:left="1920" w:right="1438" w:hanging="720"/>
        <w:jc w:val="both"/>
      </w:pPr>
      <w:r>
        <w:rPr/>
        <w:t>Raju, C. R., Yathirajan, H. S., Rangappa, K. S., Mohana, K. N., Lokanath., Rai, K. M. (2001). Oxidimetric determination of isoniazid and amino acids with bromine-B in buffer medium </w:t>
      </w:r>
      <w:r>
        <w:rPr>
          <w:i/>
        </w:rPr>
        <w:t>Oxidative Commodities, </w:t>
      </w:r>
      <w:r>
        <w:rPr/>
        <w:t>24: 393-399.</w:t>
      </w:r>
    </w:p>
    <w:p>
      <w:pPr>
        <w:spacing w:after="0"/>
        <w:jc w:val="both"/>
        <w:sectPr>
          <w:pgSz w:w="12240" w:h="15840"/>
          <w:pgMar w:header="0" w:footer="1015" w:top="1360" w:bottom="1200" w:left="240" w:right="0"/>
        </w:sectPr>
      </w:pPr>
    </w:p>
    <w:p>
      <w:pPr>
        <w:pStyle w:val="BodyText"/>
        <w:spacing w:before="68"/>
        <w:ind w:left="1200"/>
      </w:pPr>
      <w:r>
        <w:rPr/>
        <w:t>Raval</w:t>
      </w:r>
      <w:r>
        <w:rPr>
          <w:spacing w:val="-2"/>
        </w:rPr>
        <w:t> </w:t>
      </w:r>
      <w:r>
        <w:rPr/>
        <w:t>kashyap,</w:t>
      </w:r>
      <w:r>
        <w:rPr>
          <w:spacing w:val="-2"/>
        </w:rPr>
        <w:t> </w:t>
      </w:r>
      <w:r>
        <w:rPr/>
        <w:t>E.</w:t>
      </w:r>
      <w:r>
        <w:rPr>
          <w:spacing w:val="-1"/>
        </w:rPr>
        <w:t> </w:t>
      </w:r>
      <w:r>
        <w:rPr/>
        <w:t>V.</w:t>
      </w:r>
      <w:r>
        <w:rPr>
          <w:spacing w:val="-3"/>
        </w:rPr>
        <w:t> </w:t>
      </w:r>
      <w:r>
        <w:rPr/>
        <w:t>S.,</w:t>
      </w:r>
      <w:r>
        <w:rPr>
          <w:spacing w:val="1"/>
        </w:rPr>
        <w:t> </w:t>
      </w:r>
      <w:r>
        <w:rPr/>
        <w:t>Subrahmanyan,</w:t>
      </w:r>
      <w:r>
        <w:rPr>
          <w:spacing w:val="-1"/>
        </w:rPr>
        <w:t> </w:t>
      </w:r>
      <w:r>
        <w:rPr/>
        <w:t>A.R.,</w:t>
      </w:r>
      <w:r>
        <w:rPr>
          <w:spacing w:val="-2"/>
        </w:rPr>
        <w:t> </w:t>
      </w:r>
      <w:r>
        <w:rPr/>
        <w:t>and</w:t>
      </w:r>
      <w:r>
        <w:rPr>
          <w:spacing w:val="-1"/>
        </w:rPr>
        <w:t> </w:t>
      </w:r>
      <w:r>
        <w:rPr/>
        <w:t>Sharbaraya.</w:t>
      </w:r>
      <w:r>
        <w:rPr>
          <w:spacing w:val="-1"/>
        </w:rPr>
        <w:t> </w:t>
      </w:r>
      <w:r>
        <w:rPr/>
        <w:t>(2012). </w:t>
      </w:r>
      <w:r>
        <w:rPr>
          <w:spacing w:val="-2"/>
        </w:rPr>
        <w:t>Development</w:t>
      </w:r>
    </w:p>
    <w:p>
      <w:pPr>
        <w:spacing w:before="0"/>
        <w:ind w:left="1920" w:right="1431" w:firstLine="0"/>
        <w:jc w:val="left"/>
        <w:rPr>
          <w:sz w:val="24"/>
        </w:rPr>
      </w:pPr>
      <w:r>
        <w:rPr>
          <w:sz w:val="24"/>
        </w:rPr>
        <w:t>and</w:t>
      </w:r>
      <w:r>
        <w:rPr>
          <w:spacing w:val="-2"/>
          <w:sz w:val="24"/>
        </w:rPr>
        <w:t> </w:t>
      </w:r>
      <w:r>
        <w:rPr>
          <w:sz w:val="24"/>
        </w:rPr>
        <w:t>validation of</w:t>
      </w:r>
      <w:r>
        <w:rPr>
          <w:spacing w:val="-3"/>
          <w:sz w:val="24"/>
        </w:rPr>
        <w:t> </w:t>
      </w:r>
      <w:r>
        <w:rPr>
          <w:sz w:val="24"/>
        </w:rPr>
        <w:t>UV</w:t>
      </w:r>
      <w:r>
        <w:rPr>
          <w:spacing w:val="-2"/>
          <w:sz w:val="24"/>
        </w:rPr>
        <w:t> </w:t>
      </w:r>
      <w:r>
        <w:rPr>
          <w:sz w:val="24"/>
        </w:rPr>
        <w:t>spectroscophy</w:t>
      </w:r>
      <w:r>
        <w:rPr>
          <w:spacing w:val="32"/>
          <w:sz w:val="24"/>
        </w:rPr>
        <w:t> </w:t>
      </w:r>
      <w:r>
        <w:rPr>
          <w:sz w:val="24"/>
        </w:rPr>
        <w:t>method</w:t>
      </w:r>
      <w:r>
        <w:rPr>
          <w:spacing w:val="38"/>
          <w:sz w:val="24"/>
        </w:rPr>
        <w:t> </w:t>
      </w:r>
      <w:r>
        <w:rPr>
          <w:sz w:val="24"/>
        </w:rPr>
        <w:t>for</w:t>
      </w:r>
      <w:r>
        <w:rPr>
          <w:spacing w:val="36"/>
          <w:sz w:val="24"/>
        </w:rPr>
        <w:t> </w:t>
      </w:r>
      <w:r>
        <w:rPr>
          <w:sz w:val="24"/>
        </w:rPr>
        <w:t>the</w:t>
      </w:r>
      <w:r>
        <w:rPr>
          <w:spacing w:val="39"/>
          <w:sz w:val="24"/>
        </w:rPr>
        <w:t> </w:t>
      </w:r>
      <w:r>
        <w:rPr>
          <w:sz w:val="24"/>
        </w:rPr>
        <w:t>estimation</w:t>
      </w:r>
      <w:r>
        <w:rPr>
          <w:spacing w:val="39"/>
          <w:sz w:val="24"/>
        </w:rPr>
        <w:t> </w:t>
      </w:r>
      <w:r>
        <w:rPr>
          <w:sz w:val="24"/>
        </w:rPr>
        <w:t>of</w:t>
      </w:r>
      <w:r>
        <w:rPr>
          <w:spacing w:val="36"/>
          <w:sz w:val="24"/>
        </w:rPr>
        <w:t> </w:t>
      </w:r>
      <w:r>
        <w:rPr>
          <w:sz w:val="24"/>
        </w:rPr>
        <w:t>prednisolone</w:t>
      </w:r>
      <w:r>
        <w:rPr>
          <w:spacing w:val="39"/>
          <w:sz w:val="24"/>
        </w:rPr>
        <w:t> </w:t>
      </w:r>
      <w:r>
        <w:rPr>
          <w:sz w:val="24"/>
        </w:rPr>
        <w:t>in</w:t>
      </w:r>
      <w:r>
        <w:rPr>
          <w:spacing w:val="38"/>
          <w:sz w:val="24"/>
        </w:rPr>
        <w:t> </w:t>
      </w:r>
      <w:r>
        <w:rPr>
          <w:sz w:val="24"/>
        </w:rPr>
        <w:t>bulk and dosage form. </w:t>
      </w:r>
      <w:r>
        <w:rPr>
          <w:i/>
          <w:sz w:val="24"/>
        </w:rPr>
        <w:t>Journal of chemical and pharmaceutical research, </w:t>
      </w:r>
      <w:r>
        <w:rPr>
          <w:sz w:val="24"/>
        </w:rPr>
        <w:t>4(2): 1090-1096.</w:t>
      </w:r>
    </w:p>
    <w:p>
      <w:pPr>
        <w:pStyle w:val="BodyText"/>
      </w:pPr>
    </w:p>
    <w:p>
      <w:pPr>
        <w:pStyle w:val="BodyText"/>
        <w:ind w:left="1920" w:right="1438" w:hanging="720"/>
        <w:jc w:val="both"/>
      </w:pPr>
      <w:r>
        <w:rPr/>
        <w:t>Raza, A., Ansari, T. M., and Rebman, A. (2003). Spectrophotometric determination of tranexamic acid in pharmaceutical bulk and dosage forms. </w:t>
      </w:r>
      <w:r>
        <w:rPr>
          <w:i/>
        </w:rPr>
        <w:t>Journal of Analytical</w:t>
      </w:r>
      <w:r>
        <w:rPr>
          <w:i/>
          <w:spacing w:val="40"/>
        </w:rPr>
        <w:t> </w:t>
      </w:r>
      <w:r>
        <w:rPr>
          <w:i/>
        </w:rPr>
        <w:t>Sciences, </w:t>
      </w:r>
      <w:r>
        <w:rPr/>
        <w:t>21(9): 1133.</w:t>
      </w:r>
    </w:p>
    <w:p>
      <w:pPr>
        <w:spacing w:before="161"/>
        <w:ind w:left="1920" w:right="1441" w:hanging="720"/>
        <w:jc w:val="both"/>
        <w:rPr>
          <w:sz w:val="24"/>
        </w:rPr>
      </w:pPr>
      <w:r>
        <w:rPr>
          <w:sz w:val="24"/>
        </w:rPr>
        <w:t>Raza, A., Ansari, T. M., and Rehman, A. J. (2005a). Spectrophotometric determination of lisnopril in pure and pharmaceutical formulation. </w:t>
      </w:r>
      <w:r>
        <w:rPr>
          <w:i/>
          <w:sz w:val="24"/>
        </w:rPr>
        <w:t>Journal of the Chinese Chemical Society, </w:t>
      </w:r>
      <w:r>
        <w:rPr>
          <w:sz w:val="24"/>
        </w:rPr>
        <w:t>52(5): 1055-1059.</w:t>
      </w:r>
    </w:p>
    <w:p>
      <w:pPr>
        <w:pStyle w:val="BodyText"/>
        <w:spacing w:before="158"/>
        <w:ind w:left="1920" w:right="1436" w:hanging="720"/>
        <w:jc w:val="both"/>
      </w:pPr>
      <w:r>
        <w:rPr/>
        <w:t>Raza, A., Ansari, T. M., Niazi, S. B., and Bulkari, S. I. H. (2005b). A simple spectrophotometric determination of diclofenac sodium in commercial dosage forms using DDQ. </w:t>
      </w:r>
      <w:r>
        <w:rPr>
          <w:i/>
        </w:rPr>
        <w:t>Pakistan Journal of Analytical Chemistry, </w:t>
      </w:r>
      <w:r>
        <w:rPr/>
        <w:t>6(1): 5-9.</w:t>
      </w:r>
    </w:p>
    <w:p>
      <w:pPr>
        <w:spacing w:before="162"/>
        <w:ind w:left="1920" w:right="1466" w:hanging="720"/>
        <w:jc w:val="both"/>
        <w:rPr>
          <w:sz w:val="24"/>
        </w:rPr>
      </w:pPr>
      <w:r>
        <w:rPr>
          <w:sz w:val="24"/>
        </w:rPr>
        <w:t>Rind, F.M.A., Khuhawar, M.Y., Almani, K.F., and Rajpar, A.D. (2005). Spectrophotometric determination of isoniazid in dosage form by derivitization. </w:t>
      </w:r>
      <w:r>
        <w:rPr>
          <w:i/>
          <w:sz w:val="24"/>
        </w:rPr>
        <w:t>Pakistan Journal of Analytical Chemistry, </w:t>
      </w:r>
      <w:r>
        <w:rPr>
          <w:sz w:val="24"/>
        </w:rPr>
        <w:t>6(2): 84-88.</w:t>
      </w:r>
    </w:p>
    <w:p>
      <w:pPr>
        <w:pStyle w:val="BodyText"/>
      </w:pPr>
    </w:p>
    <w:p>
      <w:pPr>
        <w:spacing w:before="0"/>
        <w:ind w:left="1920" w:right="1431" w:hanging="720"/>
        <w:jc w:val="left"/>
        <w:rPr>
          <w:sz w:val="24"/>
        </w:rPr>
      </w:pPr>
      <w:r>
        <w:rPr>
          <w:sz w:val="24"/>
        </w:rPr>
        <w:t>Safavi,</w:t>
      </w:r>
      <w:r>
        <w:rPr>
          <w:spacing w:val="-3"/>
          <w:sz w:val="24"/>
        </w:rPr>
        <w:t> </w:t>
      </w:r>
      <w:r>
        <w:rPr>
          <w:sz w:val="24"/>
        </w:rPr>
        <w:t>A.,</w:t>
      </w:r>
      <w:r>
        <w:rPr>
          <w:spacing w:val="-4"/>
          <w:sz w:val="24"/>
        </w:rPr>
        <w:t> </w:t>
      </w:r>
      <w:r>
        <w:rPr>
          <w:sz w:val="24"/>
        </w:rPr>
        <w:t>Karimi,</w:t>
      </w:r>
      <w:r>
        <w:rPr>
          <w:spacing w:val="-3"/>
          <w:sz w:val="24"/>
        </w:rPr>
        <w:t> </w:t>
      </w:r>
      <w:r>
        <w:rPr>
          <w:sz w:val="24"/>
        </w:rPr>
        <w:t>M.A.,</w:t>
      </w:r>
      <w:r>
        <w:rPr>
          <w:spacing w:val="-3"/>
          <w:sz w:val="24"/>
        </w:rPr>
        <w:t> </w:t>
      </w:r>
      <w:r>
        <w:rPr>
          <w:sz w:val="24"/>
        </w:rPr>
        <w:t>Hormozi,</w:t>
      </w:r>
      <w:r>
        <w:rPr>
          <w:spacing w:val="-3"/>
          <w:sz w:val="24"/>
        </w:rPr>
        <w:t> </w:t>
      </w:r>
      <w:r>
        <w:rPr>
          <w:sz w:val="24"/>
        </w:rPr>
        <w:t>N.</w:t>
      </w:r>
      <w:r>
        <w:rPr>
          <w:spacing w:val="-4"/>
          <w:sz w:val="24"/>
        </w:rPr>
        <w:t> </w:t>
      </w:r>
      <w:r>
        <w:rPr>
          <w:sz w:val="24"/>
        </w:rPr>
        <w:t>M.R.,</w:t>
      </w:r>
      <w:r>
        <w:rPr>
          <w:spacing w:val="-3"/>
          <w:sz w:val="24"/>
        </w:rPr>
        <w:t> </w:t>
      </w:r>
      <w:r>
        <w:rPr>
          <w:sz w:val="24"/>
        </w:rPr>
        <w:t>Kamali,</w:t>
      </w:r>
      <w:r>
        <w:rPr>
          <w:spacing w:val="-2"/>
          <w:sz w:val="24"/>
        </w:rPr>
        <w:t> </w:t>
      </w:r>
      <w:r>
        <w:rPr>
          <w:sz w:val="24"/>
        </w:rPr>
        <w:t>R.,</w:t>
      </w:r>
      <w:r>
        <w:rPr>
          <w:spacing w:val="-3"/>
          <w:sz w:val="24"/>
        </w:rPr>
        <w:t> </w:t>
      </w:r>
      <w:r>
        <w:rPr>
          <w:sz w:val="24"/>
        </w:rPr>
        <w:t>and</w:t>
      </w:r>
      <w:r>
        <w:rPr>
          <w:spacing w:val="-3"/>
          <w:sz w:val="24"/>
        </w:rPr>
        <w:t> </w:t>
      </w:r>
      <w:r>
        <w:rPr>
          <w:sz w:val="24"/>
        </w:rPr>
        <w:t>Saghir,</w:t>
      </w:r>
      <w:r>
        <w:rPr>
          <w:spacing w:val="-3"/>
          <w:sz w:val="24"/>
        </w:rPr>
        <w:t> </w:t>
      </w:r>
      <w:r>
        <w:rPr>
          <w:sz w:val="24"/>
        </w:rPr>
        <w:t>N.</w:t>
      </w:r>
      <w:r>
        <w:rPr>
          <w:spacing w:val="-1"/>
          <w:sz w:val="24"/>
        </w:rPr>
        <w:t> </w:t>
      </w:r>
      <w:r>
        <w:rPr>
          <w:sz w:val="24"/>
        </w:rPr>
        <w:t>(2004).</w:t>
      </w:r>
      <w:r>
        <w:rPr>
          <w:spacing w:val="-3"/>
          <w:sz w:val="24"/>
        </w:rPr>
        <w:t> </w:t>
      </w:r>
      <w:r>
        <w:rPr>
          <w:sz w:val="24"/>
        </w:rPr>
        <w:t>Sensitive</w:t>
      </w:r>
      <w:r>
        <w:rPr>
          <w:spacing w:val="-4"/>
          <w:sz w:val="24"/>
        </w:rPr>
        <w:t> </w:t>
      </w:r>
      <w:r>
        <w:rPr>
          <w:sz w:val="24"/>
        </w:rPr>
        <w:t>indirct Spectrophotometric determination of isoniazid. </w:t>
      </w:r>
      <w:r>
        <w:rPr>
          <w:i/>
          <w:sz w:val="24"/>
        </w:rPr>
        <w:t>Spectrochimica Acta Part A: Molecular and Bimolecular Spectroscopy,</w:t>
      </w:r>
      <w:r>
        <w:rPr>
          <w:sz w:val="24"/>
        </w:rPr>
        <w:t>60(4): 765-769.</w:t>
      </w:r>
    </w:p>
    <w:p>
      <w:pPr>
        <w:pStyle w:val="BodyText"/>
      </w:pPr>
    </w:p>
    <w:p>
      <w:pPr>
        <w:pStyle w:val="BodyText"/>
        <w:ind w:left="1920" w:right="1431" w:hanging="720"/>
      </w:pPr>
      <w:r>
        <w:rPr/>
        <w:t>Watson.</w:t>
      </w:r>
      <w:r>
        <w:rPr>
          <w:spacing w:val="39"/>
        </w:rPr>
        <w:t> </w:t>
      </w:r>
      <w:r>
        <w:rPr/>
        <w:t>D.</w:t>
      </w:r>
      <w:r>
        <w:rPr>
          <w:spacing w:val="38"/>
        </w:rPr>
        <w:t> </w:t>
      </w:r>
      <w:r>
        <w:rPr/>
        <w:t>G.</w:t>
      </w:r>
      <w:r>
        <w:rPr>
          <w:spacing w:val="38"/>
        </w:rPr>
        <w:t> </w:t>
      </w:r>
      <w:r>
        <w:rPr/>
        <w:t>(2005).</w:t>
      </w:r>
      <w:r>
        <w:rPr>
          <w:spacing w:val="38"/>
        </w:rPr>
        <w:t> </w:t>
      </w:r>
      <w:r>
        <w:rPr/>
        <w:t>Pharmaceutical</w:t>
      </w:r>
      <w:r>
        <w:rPr>
          <w:spacing w:val="39"/>
        </w:rPr>
        <w:t> </w:t>
      </w:r>
      <w:r>
        <w:rPr/>
        <w:t>Analysis.</w:t>
      </w:r>
      <w:r>
        <w:rPr>
          <w:spacing w:val="40"/>
        </w:rPr>
        <w:t> </w:t>
      </w:r>
      <w:r>
        <w:rPr/>
        <w:t>In:</w:t>
      </w:r>
      <w:r>
        <w:rPr>
          <w:spacing w:val="39"/>
        </w:rPr>
        <w:t> </w:t>
      </w:r>
      <w:r>
        <w:rPr/>
        <w:t>A</w:t>
      </w:r>
      <w:r>
        <w:rPr>
          <w:spacing w:val="38"/>
        </w:rPr>
        <w:t> </w:t>
      </w:r>
      <w:r>
        <w:rPr/>
        <w:t>Textbook</w:t>
      </w:r>
      <w:r>
        <w:rPr>
          <w:spacing w:val="39"/>
        </w:rPr>
        <w:t> </w:t>
      </w:r>
      <w:r>
        <w:rPr/>
        <w:t>Jör</w:t>
      </w:r>
      <w:r>
        <w:rPr>
          <w:spacing w:val="38"/>
        </w:rPr>
        <w:t> </w:t>
      </w:r>
      <w:r>
        <w:rPr/>
        <w:t>Pharmacy</w:t>
      </w:r>
      <w:r>
        <w:rPr>
          <w:spacing w:val="34"/>
        </w:rPr>
        <w:t> </w:t>
      </w:r>
      <w:r>
        <w:rPr/>
        <w:t>Students</w:t>
      </w:r>
      <w:r>
        <w:rPr>
          <w:spacing w:val="39"/>
        </w:rPr>
        <w:t> </w:t>
      </w:r>
      <w:r>
        <w:rPr/>
        <w:t>and Pharmaceutical Chemists, (2nd Ed) Elsevier Churchill Livingstone, pp. 91.</w:t>
      </w:r>
    </w:p>
    <w:p>
      <w:pPr>
        <w:spacing w:before="159"/>
        <w:ind w:left="1920" w:right="1431" w:hanging="720"/>
        <w:jc w:val="left"/>
        <w:rPr>
          <w:sz w:val="24"/>
        </w:rPr>
      </w:pPr>
      <w:r>
        <w:rPr>
          <w:sz w:val="24"/>
        </w:rPr>
        <w:t>Watson,</w:t>
      </w:r>
      <w:r>
        <w:rPr>
          <w:spacing w:val="40"/>
          <w:sz w:val="24"/>
        </w:rPr>
        <w:t> </w:t>
      </w:r>
      <w:r>
        <w:rPr>
          <w:sz w:val="24"/>
        </w:rPr>
        <w:t>D.</w:t>
      </w:r>
      <w:r>
        <w:rPr>
          <w:spacing w:val="40"/>
          <w:sz w:val="24"/>
        </w:rPr>
        <w:t> </w:t>
      </w:r>
      <w:r>
        <w:rPr>
          <w:sz w:val="24"/>
        </w:rPr>
        <w:t>G.</w:t>
      </w:r>
      <w:r>
        <w:rPr>
          <w:spacing w:val="40"/>
          <w:sz w:val="24"/>
        </w:rPr>
        <w:t> </w:t>
      </w:r>
      <w:r>
        <w:rPr>
          <w:sz w:val="24"/>
        </w:rPr>
        <w:t>(2005).</w:t>
      </w:r>
      <w:r>
        <w:rPr>
          <w:spacing w:val="40"/>
          <w:sz w:val="24"/>
        </w:rPr>
        <w:t> </w:t>
      </w:r>
      <w:r>
        <w:rPr>
          <w:sz w:val="24"/>
        </w:rPr>
        <w:t>Pharmaceutical</w:t>
      </w:r>
      <w:r>
        <w:rPr>
          <w:spacing w:val="40"/>
          <w:sz w:val="24"/>
        </w:rPr>
        <w:t> </w:t>
      </w:r>
      <w:r>
        <w:rPr>
          <w:sz w:val="24"/>
        </w:rPr>
        <w:t>Analysis.</w:t>
      </w:r>
      <w:r>
        <w:rPr>
          <w:spacing w:val="40"/>
          <w:sz w:val="24"/>
        </w:rPr>
        <w:t> </w:t>
      </w:r>
      <w:r>
        <w:rPr>
          <w:sz w:val="24"/>
        </w:rPr>
        <w:t>In:</w:t>
      </w:r>
      <w:r>
        <w:rPr>
          <w:spacing w:val="40"/>
          <w:sz w:val="24"/>
        </w:rPr>
        <w:t> </w:t>
      </w:r>
      <w:r>
        <w:rPr>
          <w:i/>
          <w:sz w:val="24"/>
        </w:rPr>
        <w:t>A</w:t>
      </w:r>
      <w:r>
        <w:rPr>
          <w:i/>
          <w:spacing w:val="40"/>
          <w:sz w:val="24"/>
        </w:rPr>
        <w:t> </w:t>
      </w:r>
      <w:r>
        <w:rPr>
          <w:i/>
          <w:sz w:val="24"/>
        </w:rPr>
        <w:t>Textbook</w:t>
      </w:r>
      <w:r>
        <w:rPr>
          <w:i/>
          <w:spacing w:val="40"/>
          <w:sz w:val="24"/>
        </w:rPr>
        <w:t> </w:t>
      </w:r>
      <w:r>
        <w:rPr>
          <w:i/>
          <w:sz w:val="24"/>
        </w:rPr>
        <w:t>of</w:t>
      </w:r>
      <w:r>
        <w:rPr>
          <w:i/>
          <w:spacing w:val="40"/>
          <w:sz w:val="24"/>
        </w:rPr>
        <w:t> </w:t>
      </w:r>
      <w:r>
        <w:rPr>
          <w:i/>
          <w:sz w:val="24"/>
        </w:rPr>
        <w:t>Pharmacy</w:t>
      </w:r>
      <w:r>
        <w:rPr>
          <w:i/>
          <w:spacing w:val="40"/>
          <w:sz w:val="24"/>
        </w:rPr>
        <w:t> </w:t>
      </w:r>
      <w:r>
        <w:rPr>
          <w:i/>
          <w:sz w:val="24"/>
        </w:rPr>
        <w:t>Students</w:t>
      </w:r>
      <w:r>
        <w:rPr>
          <w:i/>
          <w:spacing w:val="40"/>
          <w:sz w:val="24"/>
        </w:rPr>
        <w:t> </w:t>
      </w:r>
      <w:r>
        <w:rPr>
          <w:i/>
          <w:sz w:val="24"/>
        </w:rPr>
        <w:t>and Pharmaceutical Chemists. </w:t>
      </w:r>
      <w:r>
        <w:rPr>
          <w:sz w:val="24"/>
        </w:rPr>
        <w:t>Elsevier Churchill Livingstone, pp. 91.</w:t>
      </w:r>
    </w:p>
    <w:p>
      <w:pPr>
        <w:pStyle w:val="BodyText"/>
        <w:tabs>
          <w:tab w:pos="3360" w:val="left" w:leader="none"/>
        </w:tabs>
        <w:spacing w:before="161"/>
        <w:ind w:left="1920" w:right="1444" w:hanging="720"/>
        <w:jc w:val="both"/>
        <w:rPr>
          <w:i/>
        </w:rPr>
      </w:pPr>
      <w:r>
        <w:rPr/>
        <w:t>World Health Organization. </w:t>
      </w:r>
      <w:r>
        <w:rPr>
          <w:b/>
        </w:rPr>
        <w:t>(</w:t>
      </w:r>
      <w:r>
        <w:rPr/>
        <w:t>1999 a). Summary of WHO counterfeit drug database as of April 1999,</w:t>
      </w:r>
      <w:r>
        <w:rPr>
          <w:spacing w:val="40"/>
        </w:rPr>
        <w:t> </w:t>
      </w:r>
      <w:r>
        <w:rPr/>
        <w:t>unpublished paper of the WHO Division of Drug Management and Policies. </w:t>
      </w:r>
      <w:r>
        <w:rPr>
          <w:i/>
          <w:spacing w:val="-2"/>
        </w:rPr>
        <w:t>Geneva,</w:t>
      </w:r>
      <w:r>
        <w:rPr>
          <w:i/>
        </w:rPr>
        <w:tab/>
      </w:r>
      <w:r>
        <w:rPr>
          <w:i/>
          <w:spacing w:val="-2"/>
        </w:rPr>
        <w:t>Switzerland.</w:t>
      </w:r>
    </w:p>
    <w:p>
      <w:pPr>
        <w:pStyle w:val="BodyText"/>
        <w:tabs>
          <w:tab w:pos="3360" w:val="left" w:leader="none"/>
        </w:tabs>
        <w:spacing w:before="161"/>
        <w:ind w:left="1920" w:right="1438" w:hanging="720"/>
      </w:pPr>
      <w:r>
        <w:rPr/>
        <w:t>World</w:t>
      </w:r>
      <w:r>
        <w:rPr>
          <w:spacing w:val="79"/>
        </w:rPr>
        <w:t> </w:t>
      </w:r>
      <w:r>
        <w:rPr/>
        <w:t>Health</w:t>
      </w:r>
      <w:r>
        <w:rPr>
          <w:spacing w:val="78"/>
        </w:rPr>
        <w:t> </w:t>
      </w:r>
      <w:r>
        <w:rPr/>
        <w:t>Organization.</w:t>
      </w:r>
      <w:r>
        <w:rPr>
          <w:spacing w:val="80"/>
        </w:rPr>
        <w:t> </w:t>
      </w:r>
      <w:r>
        <w:rPr>
          <w:b/>
        </w:rPr>
        <w:t>(</w:t>
      </w:r>
      <w:r>
        <w:rPr/>
        <w:t>1999).</w:t>
      </w:r>
      <w:r>
        <w:rPr>
          <w:spacing w:val="78"/>
        </w:rPr>
        <w:t> </w:t>
      </w:r>
      <w:r>
        <w:rPr/>
        <w:t>Counterfeit</w:t>
      </w:r>
      <w:r>
        <w:rPr>
          <w:spacing w:val="79"/>
        </w:rPr>
        <w:t> </w:t>
      </w:r>
      <w:r>
        <w:rPr/>
        <w:t>and</w:t>
      </w:r>
      <w:r>
        <w:rPr>
          <w:spacing w:val="78"/>
        </w:rPr>
        <w:t> </w:t>
      </w:r>
      <w:r>
        <w:rPr/>
        <w:t>sub-standard</w:t>
      </w:r>
      <w:r>
        <w:rPr>
          <w:spacing w:val="78"/>
        </w:rPr>
        <w:t> </w:t>
      </w:r>
      <w:r>
        <w:rPr/>
        <w:t>drugs</w:t>
      </w:r>
      <w:r>
        <w:rPr>
          <w:spacing w:val="79"/>
        </w:rPr>
        <w:t> </w:t>
      </w:r>
      <w:r>
        <w:rPr/>
        <w:t>in</w:t>
      </w:r>
      <w:r>
        <w:rPr>
          <w:spacing w:val="79"/>
        </w:rPr>
        <w:t> </w:t>
      </w:r>
      <w:r>
        <w:rPr/>
        <w:t>Myanmar</w:t>
      </w:r>
      <w:r>
        <w:rPr>
          <w:spacing w:val="78"/>
        </w:rPr>
        <w:t> </w:t>
      </w:r>
      <w:r>
        <w:rPr/>
        <w:t>and </w:t>
      </w:r>
      <w:r>
        <w:rPr>
          <w:spacing w:val="-2"/>
        </w:rPr>
        <w:t>Vietnam.</w:t>
      </w:r>
      <w:r>
        <w:rPr/>
        <w:tab/>
      </w:r>
      <w:r>
        <w:rPr>
          <w:i/>
        </w:rPr>
        <w:t>Geneva, Switzerland</w:t>
      </w:r>
      <w:r>
        <w:rPr/>
        <w:t>.</w:t>
      </w:r>
    </w:p>
    <w:p>
      <w:pPr>
        <w:pStyle w:val="BodyText"/>
        <w:tabs>
          <w:tab w:pos="3360" w:val="left" w:leader="none"/>
        </w:tabs>
        <w:spacing w:before="158"/>
        <w:ind w:left="1920" w:right="1443" w:hanging="720"/>
      </w:pPr>
      <w:r>
        <w:rPr/>
        <w:t>World Health Organization. </w:t>
      </w:r>
      <w:r>
        <w:rPr>
          <w:b/>
        </w:rPr>
        <w:t>(</w:t>
      </w:r>
      <w:r>
        <w:rPr/>
        <w:t>2000). World Health Organization counterfeit drug reports: 1999- </w:t>
      </w:r>
      <w:r>
        <w:rPr>
          <w:spacing w:val="-2"/>
        </w:rPr>
        <w:t>October</w:t>
      </w:r>
      <w:r>
        <w:rPr/>
        <w:tab/>
      </w:r>
      <w:r>
        <w:rPr>
          <w:spacing w:val="-2"/>
        </w:rPr>
        <w:t>2000.</w:t>
      </w:r>
    </w:p>
    <w:p>
      <w:pPr>
        <w:pStyle w:val="BodyText"/>
        <w:spacing w:before="162"/>
        <w:ind w:left="1920" w:right="1442" w:hanging="720"/>
        <w:jc w:val="both"/>
      </w:pPr>
      <w:r>
        <w:rPr/>
        <mc:AlternateContent>
          <mc:Choice Requires="wps">
            <w:drawing>
              <wp:anchor distT="0" distB="0" distL="0" distR="0" allowOverlap="1" layoutInCell="1" locked="0" behindDoc="0" simplePos="0" relativeHeight="15763456">
                <wp:simplePos x="0" y="0"/>
                <wp:positionH relativeFrom="page">
                  <wp:posOffset>6638290</wp:posOffset>
                </wp:positionH>
                <wp:positionV relativeFrom="paragraph">
                  <wp:posOffset>612362</wp:posOffset>
                </wp:positionV>
                <wp:extent cx="38100" cy="762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2.700012pt;margin-top:48.217522pt;width:3pt;height:.599980pt;mso-position-horizontal-relative:page;mso-position-vertical-relative:paragraph;z-index:15763456" id="docshape155" filled="true" fillcolor="#000000" stroked="false">
                <v:fill type="solid"/>
                <w10:wrap type="none"/>
              </v:rect>
            </w:pict>
          </mc:Fallback>
        </mc:AlternateContent>
      </w:r>
      <w:r>
        <w:rPr/>
        <w:t>World</w:t>
      </w:r>
      <w:r>
        <w:rPr>
          <w:spacing w:val="-3"/>
        </w:rPr>
        <w:t> </w:t>
      </w:r>
      <w:r>
        <w:rPr/>
        <w:t>Health</w:t>
      </w:r>
      <w:r>
        <w:rPr>
          <w:spacing w:val="-3"/>
        </w:rPr>
        <w:t> </w:t>
      </w:r>
      <w:r>
        <w:rPr/>
        <w:t>Organization</w:t>
      </w:r>
      <w:r>
        <w:rPr>
          <w:spacing w:val="-3"/>
        </w:rPr>
        <w:t> </w:t>
      </w:r>
      <w:r>
        <w:rPr/>
        <w:t>(2005)</w:t>
      </w:r>
      <w:r>
        <w:rPr>
          <w:spacing w:val="-4"/>
        </w:rPr>
        <w:t> </w:t>
      </w:r>
      <w:r>
        <w:rPr/>
        <w:t>Proposal</w:t>
      </w:r>
      <w:r>
        <w:rPr>
          <w:spacing w:val="-3"/>
        </w:rPr>
        <w:t> </w:t>
      </w:r>
      <w:r>
        <w:rPr/>
        <w:t>to</w:t>
      </w:r>
      <w:r>
        <w:rPr>
          <w:spacing w:val="-3"/>
        </w:rPr>
        <w:t> </w:t>
      </w:r>
      <w:r>
        <w:rPr/>
        <w:t>waive</w:t>
      </w:r>
      <w:r>
        <w:rPr>
          <w:spacing w:val="-3"/>
        </w:rPr>
        <w:t> </w:t>
      </w:r>
      <w:r>
        <w:rPr/>
        <w:t>in</w:t>
      </w:r>
      <w:r>
        <w:rPr>
          <w:spacing w:val="-3"/>
        </w:rPr>
        <w:t> </w:t>
      </w:r>
      <w:r>
        <w:rPr/>
        <w:t>vivo</w:t>
      </w:r>
      <w:r>
        <w:rPr>
          <w:spacing w:val="-3"/>
        </w:rPr>
        <w:t> </w:t>
      </w:r>
      <w:r>
        <w:rPr/>
        <w:t>bioequivalence</w:t>
      </w:r>
      <w:r>
        <w:rPr>
          <w:spacing w:val="-4"/>
        </w:rPr>
        <w:t> </w:t>
      </w:r>
      <w:r>
        <w:rPr/>
        <w:t>requirements</w:t>
      </w:r>
      <w:r>
        <w:rPr>
          <w:spacing w:val="-3"/>
        </w:rPr>
        <w:t> </w:t>
      </w:r>
      <w:r>
        <w:rPr/>
        <w:t>for</w:t>
      </w:r>
      <w:r>
        <w:rPr>
          <w:spacing w:val="-5"/>
        </w:rPr>
        <w:t> </w:t>
      </w:r>
      <w:r>
        <w:rPr/>
        <w:t>the WHO model list of essential medicines immediate release, solid oral dosage forms. </w:t>
      </w:r>
      <w:hyperlink r:id="rId30">
        <w:r>
          <w:rPr>
            <w:color w:val="0000FF"/>
            <w:spacing w:val="-2"/>
            <w:u w:val="single" w:color="0000FF"/>
          </w:rPr>
          <w:t>http://www.who.int/medicines/services/expertcommittees/pharmprep/QAS04_109Rev</w:t>
        </w:r>
      </w:hyperlink>
      <w:r>
        <w:rPr>
          <w:spacing w:val="-2"/>
        </w:rPr>
        <w:t>.</w:t>
      </w:r>
    </w:p>
    <w:p>
      <w:pPr>
        <w:pStyle w:val="BodyText"/>
        <w:spacing w:before="160"/>
        <w:ind w:left="1920" w:right="1431" w:hanging="720"/>
      </w:pPr>
      <w:r>
        <w:rPr/>
        <w:t>World</w:t>
      </w:r>
      <w:r>
        <w:rPr>
          <w:spacing w:val="-15"/>
        </w:rPr>
        <w:t> </w:t>
      </w:r>
      <w:r>
        <w:rPr/>
        <w:t>Health</w:t>
      </w:r>
      <w:r>
        <w:rPr>
          <w:spacing w:val="-15"/>
        </w:rPr>
        <w:t> </w:t>
      </w:r>
      <w:r>
        <w:rPr/>
        <w:t>Organization</w:t>
      </w:r>
      <w:r>
        <w:rPr>
          <w:spacing w:val="-15"/>
        </w:rPr>
        <w:t> </w:t>
      </w:r>
      <w:r>
        <w:rPr/>
        <w:t>(2006a).</w:t>
      </w:r>
      <w:r>
        <w:rPr>
          <w:spacing w:val="-15"/>
        </w:rPr>
        <w:t> </w:t>
      </w:r>
      <w:r>
        <w:rPr/>
        <w:t>―Combating</w:t>
      </w:r>
      <w:r>
        <w:rPr>
          <w:spacing w:val="-15"/>
        </w:rPr>
        <w:t> </w:t>
      </w:r>
      <w:r>
        <w:rPr/>
        <w:t>counterfeit</w:t>
      </w:r>
      <w:r>
        <w:rPr>
          <w:spacing w:val="-15"/>
        </w:rPr>
        <w:t> </w:t>
      </w:r>
      <w:r>
        <w:rPr/>
        <w:t>drugs:</w:t>
      </w:r>
      <w:r>
        <w:rPr>
          <w:spacing w:val="-15"/>
        </w:rPr>
        <w:t> </w:t>
      </w:r>
      <w:r>
        <w:rPr/>
        <w:t>A</w:t>
      </w:r>
      <w:r>
        <w:rPr>
          <w:spacing w:val="-15"/>
        </w:rPr>
        <w:t> </w:t>
      </w:r>
      <w:r>
        <w:rPr/>
        <w:t>concept</w:t>
      </w:r>
      <w:r>
        <w:rPr>
          <w:spacing w:val="-15"/>
        </w:rPr>
        <w:t> </w:t>
      </w:r>
      <w:r>
        <w:rPr/>
        <w:t>paper</w:t>
      </w:r>
      <w:r>
        <w:rPr>
          <w:spacing w:val="-15"/>
        </w:rPr>
        <w:t> </w:t>
      </w:r>
      <w:r>
        <w:rPr/>
        <w:t>for</w:t>
      </w:r>
      <w:r>
        <w:rPr>
          <w:spacing w:val="-15"/>
        </w:rPr>
        <w:t> </w:t>
      </w:r>
      <w:r>
        <w:rPr/>
        <w:t>effective international cooperation,‖ p.3.</w:t>
      </w:r>
    </w:p>
    <w:p>
      <w:pPr>
        <w:pStyle w:val="BodyText"/>
        <w:tabs>
          <w:tab w:pos="3919" w:val="left" w:leader="none"/>
          <w:tab w:pos="5662" w:val="left" w:leader="none"/>
          <w:tab w:pos="7193" w:val="left" w:leader="none"/>
          <w:tab w:pos="7901" w:val="left" w:leader="none"/>
          <w:tab w:pos="8813" w:val="left" w:leader="none"/>
          <w:tab w:pos="10024" w:val="left" w:leader="none"/>
        </w:tabs>
        <w:spacing w:before="159"/>
        <w:ind w:left="1920" w:right="1441" w:hanging="720"/>
      </w:pPr>
      <w:r>
        <w:rPr/>
        <w:t>World</w:t>
      </w:r>
      <w:r>
        <w:rPr>
          <w:spacing w:val="80"/>
          <w:w w:val="150"/>
        </w:rPr>
        <w:t> </w:t>
      </w:r>
      <w:r>
        <w:rPr/>
        <w:t>Health</w:t>
      </w:r>
      <w:r>
        <w:rPr>
          <w:spacing w:val="80"/>
          <w:w w:val="150"/>
        </w:rPr>
        <w:t> </w:t>
      </w:r>
      <w:r>
        <w:rPr/>
        <w:t>Organization</w:t>
      </w:r>
      <w:r>
        <w:rPr>
          <w:spacing w:val="80"/>
          <w:w w:val="150"/>
        </w:rPr>
        <w:t> </w:t>
      </w:r>
      <w:r>
        <w:rPr/>
        <w:t>(2006).</w:t>
      </w:r>
      <w:r>
        <w:rPr>
          <w:spacing w:val="80"/>
          <w:w w:val="150"/>
        </w:rPr>
        <w:t> </w:t>
      </w:r>
      <w:r>
        <w:rPr/>
        <w:t>World</w:t>
      </w:r>
      <w:r>
        <w:rPr>
          <w:spacing w:val="80"/>
          <w:w w:val="150"/>
        </w:rPr>
        <w:t> </w:t>
      </w:r>
      <w:r>
        <w:rPr/>
        <w:t>Health</w:t>
      </w:r>
      <w:r>
        <w:rPr>
          <w:spacing w:val="80"/>
          <w:w w:val="150"/>
        </w:rPr>
        <w:t> </w:t>
      </w:r>
      <w:r>
        <w:rPr/>
        <w:t>Organization</w:t>
      </w:r>
      <w:r>
        <w:rPr>
          <w:spacing w:val="80"/>
          <w:w w:val="150"/>
        </w:rPr>
        <w:t> </w:t>
      </w:r>
      <w:r>
        <w:rPr/>
        <w:t>Expert</w:t>
      </w:r>
      <w:r>
        <w:rPr>
          <w:spacing w:val="80"/>
          <w:w w:val="150"/>
        </w:rPr>
        <w:t> </w:t>
      </w:r>
      <w:r>
        <w:rPr/>
        <w:t>Committee</w:t>
      </w:r>
      <w:r>
        <w:rPr>
          <w:spacing w:val="80"/>
          <w:w w:val="150"/>
        </w:rPr>
        <w:t> </w:t>
      </w:r>
      <w:r>
        <w:rPr/>
        <w:t>on specifications</w:t>
      </w:r>
      <w:r>
        <w:rPr>
          <w:spacing w:val="59"/>
        </w:rPr>
        <w:t> </w:t>
      </w:r>
      <w:r>
        <w:rPr>
          <w:spacing w:val="-5"/>
        </w:rPr>
        <w:t>for</w:t>
      </w:r>
      <w:r>
        <w:rPr/>
        <w:tab/>
      </w:r>
      <w:r>
        <w:rPr>
          <w:spacing w:val="-2"/>
        </w:rPr>
        <w:t>pharmaceutical</w:t>
      </w:r>
      <w:r>
        <w:rPr/>
        <w:tab/>
      </w:r>
      <w:r>
        <w:rPr>
          <w:spacing w:val="-2"/>
        </w:rPr>
        <w:t>preparations,</w:t>
      </w:r>
      <w:r>
        <w:rPr/>
        <w:tab/>
      </w:r>
      <w:r>
        <w:rPr>
          <w:spacing w:val="-4"/>
        </w:rPr>
        <w:t>40th</w:t>
      </w:r>
      <w:r>
        <w:rPr/>
        <w:tab/>
      </w:r>
      <w:r>
        <w:rPr>
          <w:spacing w:val="-2"/>
        </w:rPr>
        <w:t>report.</w:t>
      </w:r>
      <w:r>
        <w:rPr/>
        <w:tab/>
      </w:r>
      <w:r>
        <w:rPr>
          <w:spacing w:val="-2"/>
        </w:rPr>
        <w:t>Available</w:t>
      </w:r>
      <w:r>
        <w:rPr/>
        <w:tab/>
      </w:r>
      <w:r>
        <w:rPr>
          <w:spacing w:val="-2"/>
        </w:rPr>
        <w:t>from:</w:t>
      </w:r>
    </w:p>
    <w:p>
      <w:pPr>
        <w:spacing w:after="0"/>
        <w:sectPr>
          <w:pgSz w:w="12240" w:h="15840"/>
          <w:pgMar w:header="0" w:footer="1015" w:top="1640" w:bottom="1200" w:left="240" w:right="0"/>
        </w:sectPr>
      </w:pPr>
    </w:p>
    <w:p>
      <w:pPr>
        <w:pStyle w:val="BodyText"/>
        <w:tabs>
          <w:tab w:pos="5520" w:val="left" w:leader="none"/>
          <w:tab w:pos="6961" w:val="left" w:leader="none"/>
        </w:tabs>
        <w:spacing w:before="72"/>
        <w:ind w:left="1920" w:right="1444"/>
      </w:pPr>
      <w:hyperlink r:id="rId31">
        <w:r>
          <w:rPr>
            <w:color w:val="0000FF"/>
            <w:u w:val="single" w:color="0000FF"/>
          </w:rPr>
          <w:t>http://apps.who.int/prequal/</w:t>
        </w:r>
      </w:hyperlink>
      <w:r>
        <w:rPr>
          <w:color w:val="0000FF"/>
        </w:rPr>
        <w:t> </w:t>
      </w:r>
      <w:r>
        <w:rPr/>
        <w:t>i n f</w:t>
        <w:tab/>
        <w:t>o</w:t>
      </w:r>
      <w:r>
        <w:rPr>
          <w:spacing w:val="17"/>
        </w:rPr>
        <w:t> </w:t>
      </w:r>
      <w:r>
        <w:rPr/>
        <w:t>_</w:t>
      </w:r>
      <w:r>
        <w:rPr>
          <w:spacing w:val="17"/>
        </w:rPr>
        <w:t> </w:t>
      </w:r>
      <w:r>
        <w:rPr/>
        <w:t>g</w:t>
      </w:r>
      <w:r>
        <w:rPr>
          <w:spacing w:val="15"/>
        </w:rPr>
        <w:t> </w:t>
      </w:r>
      <w:r>
        <w:rPr/>
        <w:t>e</w:t>
      </w:r>
      <w:r>
        <w:rPr>
          <w:spacing w:val="17"/>
        </w:rPr>
        <w:t> </w:t>
      </w:r>
      <w:r>
        <w:rPr/>
        <w:t>n</w:t>
      </w:r>
      <w:r>
        <w:rPr>
          <w:spacing w:val="17"/>
        </w:rPr>
        <w:t> </w:t>
      </w:r>
      <w:r>
        <w:rPr/>
        <w:t>e</w:t>
      </w:r>
      <w:r>
        <w:rPr>
          <w:spacing w:val="19"/>
        </w:rPr>
        <w:t> </w:t>
      </w:r>
      <w:r>
        <w:rPr/>
        <w:t>r</w:t>
      </w:r>
      <w:r>
        <w:rPr>
          <w:spacing w:val="17"/>
        </w:rPr>
        <w:t> </w:t>
      </w:r>
      <w:r>
        <w:rPr/>
        <w:t>a</w:t>
      </w:r>
      <w:r>
        <w:rPr>
          <w:spacing w:val="17"/>
        </w:rPr>
        <w:t> </w:t>
      </w:r>
      <w:r>
        <w:rPr/>
        <w:t>l</w:t>
      </w:r>
      <w:r>
        <w:rPr>
          <w:spacing w:val="18"/>
        </w:rPr>
        <w:t> </w:t>
      </w:r>
      <w:r>
        <w:rPr/>
        <w:t>/</w:t>
      </w:r>
      <w:r>
        <w:rPr>
          <w:spacing w:val="18"/>
        </w:rPr>
        <w:t> </w:t>
      </w:r>
      <w:r>
        <w:rPr/>
        <w:t>d</w:t>
      </w:r>
      <w:r>
        <w:rPr>
          <w:spacing w:val="17"/>
        </w:rPr>
        <w:t> </w:t>
      </w:r>
      <w:r>
        <w:rPr/>
        <w:t>o</w:t>
      </w:r>
      <w:r>
        <w:rPr>
          <w:spacing w:val="17"/>
        </w:rPr>
        <w:t> </w:t>
      </w:r>
      <w:r>
        <w:rPr/>
        <w:t>c</w:t>
      </w:r>
      <w:r>
        <w:rPr>
          <w:spacing w:val="17"/>
        </w:rPr>
        <w:t> </w:t>
      </w:r>
      <w:r>
        <w:rPr/>
        <w:t>u</w:t>
      </w:r>
      <w:r>
        <w:rPr>
          <w:spacing w:val="17"/>
        </w:rPr>
        <w:t> </w:t>
      </w:r>
      <w:r>
        <w:rPr/>
        <w:t>m</w:t>
      </w:r>
      <w:r>
        <w:rPr>
          <w:spacing w:val="18"/>
        </w:rPr>
        <w:t> </w:t>
      </w:r>
      <w:r>
        <w:rPr/>
        <w:t>e</w:t>
      </w:r>
      <w:r>
        <w:rPr>
          <w:spacing w:val="17"/>
        </w:rPr>
        <w:t> </w:t>
      </w:r>
      <w:r>
        <w:rPr/>
        <w:t>n</w:t>
      </w:r>
      <w:r>
        <w:rPr>
          <w:spacing w:val="17"/>
        </w:rPr>
        <w:t> </w:t>
      </w:r>
      <w:r>
        <w:rPr/>
        <w:t>t</w:t>
      </w:r>
      <w:r>
        <w:rPr>
          <w:spacing w:val="18"/>
        </w:rPr>
        <w:t> </w:t>
      </w:r>
      <w:r>
        <w:rPr/>
        <w:t>s</w:t>
      </w:r>
      <w:r>
        <w:rPr>
          <w:spacing w:val="18"/>
        </w:rPr>
        <w:t> </w:t>
      </w:r>
      <w:r>
        <w:rPr/>
        <w:t>/</w:t>
      </w:r>
      <w:r>
        <w:rPr>
          <w:spacing w:val="18"/>
        </w:rPr>
        <w:t> </w:t>
      </w:r>
      <w:r>
        <w:rPr/>
        <w:t>T</w:t>
      </w:r>
      <w:r>
        <w:rPr>
          <w:spacing w:val="17"/>
        </w:rPr>
        <w:t> </w:t>
      </w:r>
      <w:r>
        <w:rPr/>
        <w:t>R</w:t>
      </w:r>
      <w:r>
        <w:rPr>
          <w:spacing w:val="16"/>
        </w:rPr>
        <w:t> </w:t>
      </w:r>
      <w:r>
        <w:rPr/>
        <w:t>S</w:t>
      </w:r>
      <w:r>
        <w:rPr>
          <w:spacing w:val="18"/>
        </w:rPr>
        <w:t> </w:t>
      </w:r>
      <w:r>
        <w:rPr/>
        <w:t>9</w:t>
      </w:r>
      <w:r>
        <w:rPr>
          <w:spacing w:val="17"/>
        </w:rPr>
        <w:t> </w:t>
      </w:r>
      <w:r>
        <w:rPr/>
        <w:t>3</w:t>
      </w:r>
      <w:r>
        <w:rPr>
          <w:spacing w:val="15"/>
        </w:rPr>
        <w:t> </w:t>
      </w:r>
      <w:r>
        <w:rPr/>
        <w:t>7</w:t>
      </w:r>
      <w:r>
        <w:rPr>
          <w:spacing w:val="17"/>
        </w:rPr>
        <w:t> </w:t>
      </w:r>
      <w:r>
        <w:rPr/>
        <w:t>/ WHO_TRS_937_eng.pdf#page=359. (accessed</w:t>
        <w:tab/>
        <w:t>4</w:t>
      </w:r>
      <w:r>
        <w:rPr>
          <w:vertAlign w:val="superscript"/>
        </w:rPr>
        <w:t>th</w:t>
      </w:r>
      <w:r>
        <w:rPr>
          <w:vertAlign w:val="baseline"/>
        </w:rPr>
        <w:t> May, 2016).</w:t>
      </w:r>
    </w:p>
    <w:p>
      <w:pPr>
        <w:pStyle w:val="BodyText"/>
        <w:tabs>
          <w:tab w:pos="2035" w:val="left" w:leader="none"/>
          <w:tab w:pos="2893" w:val="left" w:leader="none"/>
          <w:tab w:pos="4366" w:val="left" w:leader="none"/>
          <w:tab w:pos="5287" w:val="left" w:leader="none"/>
          <w:tab w:pos="6573" w:val="left" w:leader="none"/>
          <w:tab w:pos="7619" w:val="left" w:leader="none"/>
          <w:tab w:pos="8872" w:val="left" w:leader="none"/>
          <w:tab w:pos="10023" w:val="left" w:leader="none"/>
        </w:tabs>
        <w:spacing w:before="161"/>
        <w:ind w:left="1920" w:right="1442" w:hanging="720"/>
      </w:pPr>
      <w:r>
        <w:rPr>
          <w:spacing w:val="-2"/>
        </w:rPr>
        <w:t>World</w:t>
      </w:r>
      <w:r>
        <w:rPr/>
        <w:tab/>
        <w:tab/>
      </w:r>
      <w:r>
        <w:rPr>
          <w:spacing w:val="-2"/>
        </w:rPr>
        <w:t>Health</w:t>
      </w:r>
      <w:r>
        <w:rPr/>
        <w:tab/>
      </w:r>
      <w:r>
        <w:rPr>
          <w:spacing w:val="-2"/>
        </w:rPr>
        <w:t>Organization</w:t>
      </w:r>
      <w:r>
        <w:rPr/>
        <w:tab/>
      </w:r>
      <w:r>
        <w:rPr>
          <w:spacing w:val="-2"/>
        </w:rPr>
        <w:t>(2010).</w:t>
      </w:r>
      <w:r>
        <w:rPr/>
        <w:tab/>
      </w:r>
      <w:r>
        <w:rPr>
          <w:spacing w:val="-2"/>
        </w:rPr>
        <w:t>Medicines:</w:t>
      </w:r>
      <w:r>
        <w:rPr/>
        <w:tab/>
      </w:r>
      <w:r>
        <w:rPr>
          <w:spacing w:val="-2"/>
        </w:rPr>
        <w:t>essential</w:t>
      </w:r>
      <w:r>
        <w:rPr/>
        <w:tab/>
      </w:r>
      <w:r>
        <w:rPr>
          <w:spacing w:val="-2"/>
        </w:rPr>
        <w:t>medicines.</w:t>
      </w:r>
      <w:r>
        <w:rPr/>
        <w:tab/>
      </w:r>
      <w:r>
        <w:rPr>
          <w:spacing w:val="-2"/>
        </w:rPr>
        <w:t>Available</w:t>
      </w:r>
      <w:r>
        <w:rPr/>
        <w:tab/>
      </w:r>
      <w:r>
        <w:rPr>
          <w:spacing w:val="-2"/>
        </w:rPr>
        <w:t>from: </w:t>
      </w:r>
      <w:hyperlink r:id="rId32">
        <w:r>
          <w:rPr>
            <w:color w:val="0000FF"/>
            <w:u w:val="single" w:color="0000FF"/>
          </w:rPr>
          <w:t>http://www.who.int/mediacentre/factsheets/fs325/en/</w:t>
        </w:r>
      </w:hyperlink>
      <w:r>
        <w:rPr/>
        <w:t>. (accessed 28</w:t>
      </w:r>
      <w:r>
        <w:rPr>
          <w:vertAlign w:val="superscript"/>
        </w:rPr>
        <w:t>th</w:t>
      </w:r>
      <w:r>
        <w:rPr>
          <w:vertAlign w:val="baseline"/>
        </w:rPr>
        <w:t> September, 2016).</w:t>
      </w:r>
    </w:p>
    <w:p>
      <w:pPr>
        <w:spacing w:after="0"/>
        <w:sectPr>
          <w:pgSz w:w="12240" w:h="15840"/>
          <w:pgMar w:header="0" w:footer="1015" w:top="1360" w:bottom="1200" w:left="240" w:right="0"/>
        </w:sectPr>
      </w:pPr>
    </w:p>
    <w:p>
      <w:pPr>
        <w:pStyle w:val="Heading2"/>
        <w:spacing w:before="76"/>
        <w:ind w:right="1493"/>
      </w:pPr>
      <w:bookmarkStart w:name="_TOC_250000" w:id="34"/>
      <w:bookmarkEnd w:id="34"/>
      <w:r>
        <w:rPr>
          <w:spacing w:val="-2"/>
        </w:rPr>
        <w:t>APPENDICES</w:t>
      </w:r>
    </w:p>
    <w:p>
      <w:pPr>
        <w:pStyle w:val="BodyText"/>
        <w:spacing w:before="161"/>
        <w:rPr>
          <w:b/>
        </w:rPr>
      </w:pPr>
    </w:p>
    <w:p>
      <w:pPr>
        <w:pStyle w:val="Heading3"/>
        <w:spacing w:before="1"/>
      </w:pPr>
      <w:r>
        <w:rPr/>
        <w:t>Appendix</w:t>
      </w:r>
      <w:r>
        <w:rPr>
          <w:spacing w:val="-1"/>
        </w:rPr>
        <w:t> </w:t>
      </w:r>
      <w:r>
        <w:rPr/>
        <w:t>I:</w:t>
      </w:r>
      <w:r>
        <w:rPr>
          <w:spacing w:val="-1"/>
        </w:rPr>
        <w:t> </w:t>
      </w:r>
      <w:r>
        <w:rPr/>
        <w:t>IR spectrum</w:t>
      </w:r>
      <w:r>
        <w:rPr>
          <w:spacing w:val="-5"/>
        </w:rPr>
        <w:t> </w:t>
      </w:r>
      <w:r>
        <w:rPr/>
        <w:t>of</w:t>
      </w:r>
      <w:r>
        <w:rPr>
          <w:spacing w:val="1"/>
        </w:rPr>
        <w:t> </w:t>
      </w:r>
      <w:r>
        <w:rPr/>
        <w:t>isoniazid</w:t>
      </w:r>
      <w:r>
        <w:rPr>
          <w:spacing w:val="2"/>
        </w:rPr>
        <w:t> </w:t>
      </w:r>
      <w:r>
        <w:rPr/>
        <w:t>standard</w:t>
      </w:r>
      <w:r>
        <w:rPr>
          <w:spacing w:val="-2"/>
        </w:rPr>
        <w:t> powder</w:t>
      </w:r>
    </w:p>
    <w:p>
      <w:pPr>
        <w:pStyle w:val="BodyText"/>
        <w:rPr>
          <w:b/>
          <w:sz w:val="20"/>
        </w:rPr>
      </w:pPr>
    </w:p>
    <w:p>
      <w:pPr>
        <w:pStyle w:val="BodyText"/>
        <w:spacing w:before="150"/>
        <w:rPr>
          <w:b/>
          <w:sz w:val="20"/>
        </w:rPr>
      </w:pPr>
      <w:r>
        <w:rPr/>
        <w:drawing>
          <wp:anchor distT="0" distB="0" distL="0" distR="0" allowOverlap="1" layoutInCell="1" locked="0" behindDoc="1" simplePos="0" relativeHeight="487623168">
            <wp:simplePos x="0" y="0"/>
            <wp:positionH relativeFrom="page">
              <wp:posOffset>1076990</wp:posOffset>
            </wp:positionH>
            <wp:positionV relativeFrom="paragraph">
              <wp:posOffset>256666</wp:posOffset>
            </wp:positionV>
            <wp:extent cx="5735297" cy="3536632"/>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33" cstate="print"/>
                    <a:stretch>
                      <a:fillRect/>
                    </a:stretch>
                  </pic:blipFill>
                  <pic:spPr>
                    <a:xfrm>
                      <a:off x="0" y="0"/>
                      <a:ext cx="5735297" cy="3536632"/>
                    </a:xfrm>
                    <a:prstGeom prst="rect">
                      <a:avLst/>
                    </a:prstGeom>
                  </pic:spPr>
                </pic:pic>
              </a:graphicData>
            </a:graphic>
          </wp:anchor>
        </w:drawing>
      </w:r>
    </w:p>
    <w:p>
      <w:pPr>
        <w:spacing w:after="0"/>
        <w:rPr>
          <w:sz w:val="20"/>
        </w:rPr>
        <w:sectPr>
          <w:pgSz w:w="12240" w:h="15840"/>
          <w:pgMar w:header="0" w:footer="1015" w:top="1360" w:bottom="1200" w:left="240" w:right="0"/>
        </w:sectPr>
      </w:pPr>
    </w:p>
    <w:p>
      <w:pPr>
        <w:spacing w:line="480" w:lineRule="auto" w:before="76"/>
        <w:ind w:left="1200" w:right="6970" w:firstLine="0"/>
        <w:jc w:val="left"/>
        <w:rPr>
          <w:b/>
          <w:sz w:val="24"/>
        </w:rPr>
      </w:pPr>
      <w:r>
        <w:rPr>
          <w:b/>
          <w:sz w:val="24"/>
        </w:rPr>
        <w:t>Appendix</w:t>
      </w:r>
      <w:r>
        <w:rPr>
          <w:b/>
          <w:spacing w:val="-10"/>
          <w:sz w:val="24"/>
        </w:rPr>
        <w:t> </w:t>
      </w:r>
      <w:r>
        <w:rPr>
          <w:b/>
          <w:sz w:val="24"/>
        </w:rPr>
        <w:t>II:</w:t>
      </w:r>
      <w:r>
        <w:rPr>
          <w:b/>
          <w:spacing w:val="-11"/>
          <w:sz w:val="24"/>
        </w:rPr>
        <w:t> </w:t>
      </w:r>
      <w:r>
        <w:rPr>
          <w:b/>
          <w:sz w:val="24"/>
        </w:rPr>
        <w:t>Preparation</w:t>
      </w:r>
      <w:r>
        <w:rPr>
          <w:b/>
          <w:spacing w:val="-10"/>
          <w:sz w:val="24"/>
        </w:rPr>
        <w:t> </w:t>
      </w:r>
      <w:r>
        <w:rPr>
          <w:b/>
          <w:sz w:val="24"/>
        </w:rPr>
        <w:t>of</w:t>
      </w:r>
      <w:r>
        <w:rPr>
          <w:b/>
          <w:spacing w:val="-9"/>
          <w:sz w:val="24"/>
        </w:rPr>
        <w:t> </w:t>
      </w:r>
      <w:r>
        <w:rPr>
          <w:b/>
          <w:sz w:val="24"/>
        </w:rPr>
        <w:t>reagents Preparation of 4.5 M HCl</w:t>
      </w:r>
    </w:p>
    <w:p>
      <w:pPr>
        <w:pStyle w:val="BodyText"/>
        <w:spacing w:line="686" w:lineRule="auto" w:before="239"/>
        <w:ind w:left="1200" w:right="8019"/>
      </w:pPr>
      <w:r>
        <w:rPr/>
        <w:t>Molarity</w:t>
      </w:r>
      <w:r>
        <w:rPr>
          <w:spacing w:val="-15"/>
        </w:rPr>
        <w:t> </w:t>
      </w:r>
      <w:r>
        <w:rPr/>
        <w:t>required</w:t>
      </w:r>
      <w:r>
        <w:rPr>
          <w:spacing w:val="-12"/>
        </w:rPr>
        <w:t> </w:t>
      </w:r>
      <w:r>
        <w:rPr/>
        <w:t>=</w:t>
      </w:r>
      <w:r>
        <w:rPr>
          <w:spacing w:val="-14"/>
        </w:rPr>
        <w:t> </w:t>
      </w:r>
      <w:r>
        <w:rPr/>
        <w:t>4.5 Molar mass = 98 gm</w:t>
      </w:r>
    </w:p>
    <w:p>
      <w:pPr>
        <w:pStyle w:val="BodyText"/>
        <w:spacing w:before="3"/>
        <w:ind w:left="1200"/>
      </w:pPr>
      <w:r>
        <w:rPr/>
        <w:t>Volume</w:t>
      </w:r>
      <w:r>
        <w:rPr>
          <w:spacing w:val="-1"/>
        </w:rPr>
        <w:t> </w:t>
      </w:r>
      <w:r>
        <w:rPr/>
        <w:t>of</w:t>
      </w:r>
      <w:r>
        <w:rPr>
          <w:spacing w:val="-2"/>
        </w:rPr>
        <w:t> </w:t>
      </w:r>
      <w:r>
        <w:rPr/>
        <w:t>4.5 M HCl</w:t>
      </w:r>
      <w:r>
        <w:rPr>
          <w:spacing w:val="-1"/>
        </w:rPr>
        <w:t> </w:t>
      </w:r>
      <w:r>
        <w:rPr/>
        <w:t>required =</w:t>
      </w:r>
      <w:r>
        <w:rPr>
          <w:spacing w:val="-1"/>
        </w:rPr>
        <w:t> </w:t>
      </w:r>
      <w:r>
        <w:rPr/>
        <w:t>100 </w:t>
      </w:r>
      <w:r>
        <w:rPr>
          <w:spacing w:val="-5"/>
        </w:rPr>
        <w:t>mL</w:t>
      </w:r>
    </w:p>
    <w:p>
      <w:pPr>
        <w:pStyle w:val="BodyText"/>
        <w:spacing w:before="240"/>
      </w:pPr>
    </w:p>
    <w:p>
      <w:pPr>
        <w:pStyle w:val="BodyText"/>
        <w:ind w:left="1200"/>
      </w:pPr>
      <w:r>
        <w:rPr/>
        <w:t>Amount</w:t>
      </w:r>
      <w:r>
        <w:rPr>
          <w:spacing w:val="-3"/>
        </w:rPr>
        <w:t> </w:t>
      </w:r>
      <w:r>
        <w:rPr/>
        <w:t>required</w:t>
      </w:r>
      <w:r>
        <w:rPr>
          <w:spacing w:val="-1"/>
        </w:rPr>
        <w:t> </w:t>
      </w:r>
      <w:r>
        <w:rPr/>
        <w:t>=</w:t>
      </w:r>
      <w:r>
        <w:rPr>
          <w:spacing w:val="-1"/>
        </w:rPr>
        <w:t> </w:t>
      </w:r>
      <w:r>
        <w:rPr/>
        <w:t>Molarity</w:t>
      </w:r>
      <w:r>
        <w:rPr>
          <w:spacing w:val="-6"/>
        </w:rPr>
        <w:t> </w:t>
      </w:r>
      <w:r>
        <w:rPr/>
        <w:t>x</w:t>
      </w:r>
      <w:r>
        <w:rPr>
          <w:spacing w:val="2"/>
        </w:rPr>
        <w:t> </w:t>
      </w:r>
      <w:r>
        <w:rPr/>
        <w:t>Mola mass</w:t>
      </w:r>
      <w:r>
        <w:rPr>
          <w:spacing w:val="-1"/>
        </w:rPr>
        <w:t> </w:t>
      </w:r>
      <w:r>
        <w:rPr/>
        <w:t>x</w:t>
      </w:r>
      <w:r>
        <w:rPr>
          <w:spacing w:val="2"/>
        </w:rPr>
        <w:t> </w:t>
      </w:r>
      <w:r>
        <w:rPr/>
        <w:t>Volume</w:t>
      </w:r>
      <w:r>
        <w:rPr>
          <w:spacing w:val="-1"/>
        </w:rPr>
        <w:t> </w:t>
      </w:r>
      <w:r>
        <w:rPr/>
        <w:t>require</w:t>
      </w:r>
      <w:r>
        <w:rPr>
          <w:spacing w:val="-2"/>
        </w:rPr>
        <w:t> </w:t>
      </w:r>
      <w:r>
        <w:rPr/>
        <w:t>/</w:t>
      </w:r>
      <w:r>
        <w:rPr>
          <w:spacing w:val="-1"/>
        </w:rPr>
        <w:t> </w:t>
      </w:r>
      <w:r>
        <w:rPr/>
        <w:t>1000 </w:t>
      </w:r>
      <w:r>
        <w:rPr>
          <w:spacing w:val="-2"/>
        </w:rPr>
        <w:t>(constant)</w:t>
      </w:r>
    </w:p>
    <w:p>
      <w:pPr>
        <w:pStyle w:val="BodyText"/>
        <w:spacing w:before="240"/>
      </w:pPr>
    </w:p>
    <w:p>
      <w:pPr>
        <w:pStyle w:val="BodyText"/>
        <w:ind w:left="1260"/>
      </w:pPr>
      <w:r>
        <w:rPr/>
        <w:t>=</w:t>
      </w:r>
      <w:r>
        <w:rPr>
          <w:spacing w:val="-3"/>
        </w:rPr>
        <w:t> </w:t>
      </w:r>
      <w:r>
        <w:rPr/>
        <w:t>4.5 x</w:t>
      </w:r>
      <w:r>
        <w:rPr>
          <w:spacing w:val="2"/>
        </w:rPr>
        <w:t> </w:t>
      </w:r>
      <w:r>
        <w:rPr/>
        <w:t>98</w:t>
      </w:r>
      <w:r>
        <w:rPr>
          <w:spacing w:val="-3"/>
        </w:rPr>
        <w:t> </w:t>
      </w:r>
      <w:r>
        <w:rPr/>
        <w:t>x</w:t>
      </w:r>
      <w:r>
        <w:rPr>
          <w:spacing w:val="3"/>
        </w:rPr>
        <w:t> </w:t>
      </w:r>
      <w:r>
        <w:rPr/>
        <w:t>100 mL</w:t>
      </w:r>
      <w:r>
        <w:rPr>
          <w:spacing w:val="-5"/>
        </w:rPr>
        <w:t> </w:t>
      </w:r>
      <w:r>
        <w:rPr/>
        <w:t>/ 1000</w:t>
      </w:r>
      <w:r>
        <w:rPr>
          <w:spacing w:val="1"/>
        </w:rPr>
        <w:t> </w:t>
      </w:r>
      <w:r>
        <w:rPr>
          <w:spacing w:val="-2"/>
        </w:rPr>
        <w:t>(constant)</w:t>
      </w:r>
    </w:p>
    <w:p>
      <w:pPr>
        <w:pStyle w:val="BodyText"/>
        <w:spacing w:before="240"/>
      </w:pPr>
    </w:p>
    <w:p>
      <w:pPr>
        <w:pStyle w:val="BodyText"/>
        <w:ind w:left="1260"/>
      </w:pPr>
      <w:r>
        <w:rPr/>
        <w:t>=</w:t>
      </w:r>
      <w:r>
        <w:rPr>
          <w:spacing w:val="-1"/>
        </w:rPr>
        <w:t> </w:t>
      </w:r>
      <w:r>
        <w:rPr>
          <w:spacing w:val="-4"/>
        </w:rPr>
        <w:t>44.1</w:t>
      </w:r>
    </w:p>
    <w:p>
      <w:pPr>
        <w:pStyle w:val="BodyText"/>
        <w:spacing w:before="240"/>
      </w:pPr>
    </w:p>
    <w:p>
      <w:pPr>
        <w:pStyle w:val="BodyText"/>
        <w:ind w:left="1200"/>
      </w:pPr>
      <w:r>
        <w:rPr/>
        <w:t>Volume</w:t>
      </w:r>
      <w:r>
        <w:rPr>
          <w:spacing w:val="-3"/>
        </w:rPr>
        <w:t> </w:t>
      </w:r>
      <w:r>
        <w:rPr/>
        <w:t>of</w:t>
      </w:r>
      <w:r>
        <w:rPr>
          <w:spacing w:val="-3"/>
        </w:rPr>
        <w:t> </w:t>
      </w:r>
      <w:r>
        <w:rPr/>
        <w:t>ConcHCl</w:t>
      </w:r>
      <w:r>
        <w:rPr>
          <w:spacing w:val="60"/>
        </w:rPr>
        <w:t> </w:t>
      </w:r>
      <w:r>
        <w:rPr/>
        <w:t>required</w:t>
      </w:r>
      <w:r>
        <w:rPr>
          <w:spacing w:val="-1"/>
        </w:rPr>
        <w:t> </w:t>
      </w:r>
      <w:r>
        <w:rPr/>
        <w:t>=</w:t>
      </w:r>
      <w:r>
        <w:rPr>
          <w:spacing w:val="-1"/>
        </w:rPr>
        <w:t> </w:t>
      </w:r>
      <w:r>
        <w:rPr/>
        <w:t>Amount</w:t>
      </w:r>
      <w:r>
        <w:rPr>
          <w:spacing w:val="-1"/>
        </w:rPr>
        <w:t> </w:t>
      </w:r>
      <w:r>
        <w:rPr/>
        <w:t>x</w:t>
      </w:r>
      <w:r>
        <w:rPr>
          <w:spacing w:val="1"/>
        </w:rPr>
        <w:t> </w:t>
      </w:r>
      <w:r>
        <w:rPr/>
        <w:t>100</w:t>
      </w:r>
      <w:r>
        <w:rPr>
          <w:spacing w:val="-1"/>
        </w:rPr>
        <w:t> </w:t>
      </w:r>
      <w:r>
        <w:rPr/>
        <w:t>(constant) /</w:t>
      </w:r>
      <w:r>
        <w:rPr>
          <w:spacing w:val="-1"/>
        </w:rPr>
        <w:t> </w:t>
      </w:r>
      <w:r>
        <w:rPr/>
        <w:t>Specific gravity</w:t>
      </w:r>
      <w:r>
        <w:rPr>
          <w:spacing w:val="-5"/>
        </w:rPr>
        <w:t> </w:t>
      </w:r>
      <w:r>
        <w:rPr/>
        <w:t>x</w:t>
      </w:r>
      <w:r>
        <w:rPr>
          <w:spacing w:val="1"/>
        </w:rPr>
        <w:t> </w:t>
      </w:r>
      <w:r>
        <w:rPr/>
        <w:t>% </w:t>
      </w:r>
      <w:r>
        <w:rPr>
          <w:spacing w:val="-2"/>
        </w:rPr>
        <w:t>purity</w:t>
      </w:r>
    </w:p>
    <w:p>
      <w:pPr>
        <w:pStyle w:val="BodyText"/>
        <w:spacing w:before="241"/>
      </w:pPr>
    </w:p>
    <w:p>
      <w:pPr>
        <w:pStyle w:val="BodyText"/>
        <w:ind w:left="1320"/>
      </w:pPr>
      <w:r>
        <w:rPr/>
        <w:t>=</w:t>
      </w:r>
      <w:r>
        <w:rPr>
          <w:spacing w:val="-1"/>
        </w:rPr>
        <w:t> </w:t>
      </w:r>
      <w:r>
        <w:rPr/>
        <w:t>44.1 x</w:t>
      </w:r>
      <w:r>
        <w:rPr>
          <w:spacing w:val="2"/>
        </w:rPr>
        <w:t> </w:t>
      </w:r>
      <w:r>
        <w:rPr/>
        <w:t>100 / 1.83</w:t>
      </w:r>
      <w:r>
        <w:rPr>
          <w:spacing w:val="-2"/>
        </w:rPr>
        <w:t> </w:t>
      </w:r>
      <w:r>
        <w:rPr/>
        <w:t>x</w:t>
      </w:r>
      <w:r>
        <w:rPr>
          <w:spacing w:val="2"/>
        </w:rPr>
        <w:t> </w:t>
      </w:r>
      <w:r>
        <w:rPr>
          <w:spacing w:val="-5"/>
        </w:rPr>
        <w:t>98</w:t>
      </w:r>
    </w:p>
    <w:p>
      <w:pPr>
        <w:pStyle w:val="BodyText"/>
        <w:spacing w:before="240"/>
      </w:pPr>
    </w:p>
    <w:p>
      <w:pPr>
        <w:pStyle w:val="BodyText"/>
        <w:ind w:left="1260"/>
      </w:pPr>
      <w:r>
        <w:rPr/>
        <w:t>=</w:t>
      </w:r>
      <w:r>
        <w:rPr>
          <w:spacing w:val="-1"/>
        </w:rPr>
        <w:t> </w:t>
      </w:r>
      <w:r>
        <w:rPr/>
        <w:t>24.59 </w:t>
      </w:r>
      <w:r>
        <w:rPr>
          <w:spacing w:val="-5"/>
        </w:rPr>
        <w:t>mL</w:t>
      </w:r>
    </w:p>
    <w:p>
      <w:pPr>
        <w:pStyle w:val="BodyText"/>
        <w:spacing w:before="240"/>
      </w:pPr>
    </w:p>
    <w:p>
      <w:pPr>
        <w:pStyle w:val="BodyText"/>
        <w:ind w:left="1200"/>
      </w:pPr>
      <w:r>
        <w:rPr/>
        <w:t>Therefore</w:t>
      </w:r>
      <w:r>
        <w:rPr>
          <w:spacing w:val="9"/>
        </w:rPr>
        <w:t> </w:t>
      </w:r>
      <w:r>
        <w:rPr/>
        <w:t>24.59</w:t>
      </w:r>
      <w:r>
        <w:rPr>
          <w:spacing w:val="13"/>
        </w:rPr>
        <w:t> </w:t>
      </w:r>
      <w:r>
        <w:rPr/>
        <w:t>mL</w:t>
      </w:r>
      <w:r>
        <w:rPr>
          <w:spacing w:val="10"/>
        </w:rPr>
        <w:t> </w:t>
      </w:r>
      <w:r>
        <w:rPr/>
        <w:t>of</w:t>
      </w:r>
      <w:r>
        <w:rPr>
          <w:spacing w:val="13"/>
        </w:rPr>
        <w:t> </w:t>
      </w:r>
      <w:r>
        <w:rPr/>
        <w:t>Conc.</w:t>
      </w:r>
      <w:r>
        <w:rPr>
          <w:spacing w:val="10"/>
        </w:rPr>
        <w:t> </w:t>
      </w:r>
      <w:r>
        <w:rPr/>
        <w:t>HCl</w:t>
      </w:r>
      <w:r>
        <w:rPr>
          <w:spacing w:val="14"/>
        </w:rPr>
        <w:t> </w:t>
      </w:r>
      <w:r>
        <w:rPr/>
        <w:t>was</w:t>
      </w:r>
      <w:r>
        <w:rPr>
          <w:spacing w:val="12"/>
        </w:rPr>
        <w:t> </w:t>
      </w:r>
      <w:r>
        <w:rPr/>
        <w:t>diluted</w:t>
      </w:r>
      <w:r>
        <w:rPr>
          <w:spacing w:val="13"/>
        </w:rPr>
        <w:t> </w:t>
      </w:r>
      <w:r>
        <w:rPr/>
        <w:t>with</w:t>
      </w:r>
      <w:r>
        <w:rPr>
          <w:spacing w:val="11"/>
        </w:rPr>
        <w:t> </w:t>
      </w:r>
      <w:r>
        <w:rPr/>
        <w:t>distilled</w:t>
      </w:r>
      <w:r>
        <w:rPr>
          <w:spacing w:val="11"/>
        </w:rPr>
        <w:t> </w:t>
      </w:r>
      <w:r>
        <w:rPr/>
        <w:t>water</w:t>
      </w:r>
      <w:r>
        <w:rPr>
          <w:spacing w:val="10"/>
        </w:rPr>
        <w:t> </w:t>
      </w:r>
      <w:r>
        <w:rPr/>
        <w:t>to</w:t>
      </w:r>
      <w:r>
        <w:rPr>
          <w:spacing w:val="15"/>
        </w:rPr>
        <w:t> </w:t>
      </w:r>
      <w:r>
        <w:rPr/>
        <w:t>make</w:t>
      </w:r>
      <w:r>
        <w:rPr>
          <w:spacing w:val="9"/>
        </w:rPr>
        <w:t> </w:t>
      </w:r>
      <w:r>
        <w:rPr/>
        <w:t>100</w:t>
      </w:r>
      <w:r>
        <w:rPr>
          <w:spacing w:val="11"/>
        </w:rPr>
        <w:t> </w:t>
      </w:r>
      <w:r>
        <w:rPr/>
        <w:t>mL</w:t>
      </w:r>
      <w:r>
        <w:rPr>
          <w:spacing w:val="13"/>
        </w:rPr>
        <w:t> </w:t>
      </w:r>
      <w:r>
        <w:rPr/>
        <w:t>which</w:t>
      </w:r>
      <w:r>
        <w:rPr>
          <w:spacing w:val="14"/>
        </w:rPr>
        <w:t> </w:t>
      </w:r>
      <w:r>
        <w:rPr>
          <w:spacing w:val="-4"/>
        </w:rPr>
        <w:t>gave</w:t>
      </w:r>
    </w:p>
    <w:p>
      <w:pPr>
        <w:pStyle w:val="BodyText"/>
        <w:spacing w:before="2"/>
      </w:pPr>
    </w:p>
    <w:p>
      <w:pPr>
        <w:pStyle w:val="BodyText"/>
        <w:ind w:left="1200"/>
      </w:pPr>
      <w:r>
        <w:rPr/>
        <w:t>4.5 M </w:t>
      </w:r>
      <w:r>
        <w:rPr>
          <w:spacing w:val="-4"/>
        </w:rPr>
        <w:t>HCl.</w:t>
      </w:r>
    </w:p>
    <w:p>
      <w:pPr>
        <w:pStyle w:val="BodyText"/>
        <w:spacing w:before="238"/>
      </w:pPr>
    </w:p>
    <w:p>
      <w:pPr>
        <w:pStyle w:val="BodyText"/>
        <w:spacing w:line="688" w:lineRule="auto"/>
        <w:ind w:left="1200" w:right="1687" w:firstLine="60"/>
      </w:pPr>
      <w:r>
        <w:rPr/>
        <w:t>For</w:t>
      </w:r>
      <w:r>
        <w:rPr>
          <w:spacing w:val="-3"/>
        </w:rPr>
        <w:t> </w:t>
      </w:r>
      <w:r>
        <w:rPr/>
        <w:t>Solids:</w:t>
      </w:r>
      <w:r>
        <w:rPr>
          <w:spacing w:val="-2"/>
        </w:rPr>
        <w:t> </w:t>
      </w:r>
      <w:r>
        <w:rPr/>
        <w:t>Molar</w:t>
      </w:r>
      <w:r>
        <w:rPr>
          <w:spacing w:val="-4"/>
        </w:rPr>
        <w:t> </w:t>
      </w:r>
      <w:r>
        <w:rPr/>
        <w:t>mass</w:t>
      </w:r>
      <w:r>
        <w:rPr>
          <w:spacing w:val="-2"/>
        </w:rPr>
        <w:t> </w:t>
      </w:r>
      <w:r>
        <w:rPr/>
        <w:t>of</w:t>
      </w:r>
      <w:r>
        <w:rPr>
          <w:spacing w:val="-3"/>
        </w:rPr>
        <w:t> </w:t>
      </w:r>
      <w:r>
        <w:rPr/>
        <w:t>the</w:t>
      </w:r>
      <w:r>
        <w:rPr>
          <w:spacing w:val="-3"/>
        </w:rPr>
        <w:t> </w:t>
      </w:r>
      <w:r>
        <w:rPr/>
        <w:t>solid</w:t>
      </w:r>
      <w:r>
        <w:rPr>
          <w:spacing w:val="-2"/>
        </w:rPr>
        <w:t> </w:t>
      </w:r>
      <w:r>
        <w:rPr/>
        <w:t>is</w:t>
      </w:r>
      <w:r>
        <w:rPr>
          <w:spacing w:val="-2"/>
        </w:rPr>
        <w:t> </w:t>
      </w:r>
      <w:r>
        <w:rPr/>
        <w:t>dissolved</w:t>
      </w:r>
      <w:r>
        <w:rPr>
          <w:spacing w:val="-2"/>
        </w:rPr>
        <w:t> </w:t>
      </w:r>
      <w:r>
        <w:rPr/>
        <w:t>in</w:t>
      </w:r>
      <w:r>
        <w:rPr>
          <w:spacing w:val="-2"/>
        </w:rPr>
        <w:t> </w:t>
      </w:r>
      <w:r>
        <w:rPr/>
        <w:t>1000</w:t>
      </w:r>
      <w:r>
        <w:rPr>
          <w:spacing w:val="-2"/>
        </w:rPr>
        <w:t> </w:t>
      </w:r>
      <w:r>
        <w:rPr/>
        <w:t>mL</w:t>
      </w:r>
      <w:r>
        <w:rPr>
          <w:spacing w:val="-6"/>
        </w:rPr>
        <w:t> </w:t>
      </w:r>
      <w:r>
        <w:rPr/>
        <w:t>of</w:t>
      </w:r>
      <w:r>
        <w:rPr>
          <w:spacing w:val="-3"/>
        </w:rPr>
        <w:t> </w:t>
      </w:r>
      <w:r>
        <w:rPr/>
        <w:t>distilled</w:t>
      </w:r>
      <w:r>
        <w:rPr>
          <w:spacing w:val="-2"/>
        </w:rPr>
        <w:t> </w:t>
      </w:r>
      <w:r>
        <w:rPr/>
        <w:t>water</w:t>
      </w:r>
      <w:r>
        <w:rPr>
          <w:spacing w:val="-4"/>
        </w:rPr>
        <w:t> </w:t>
      </w:r>
      <w:r>
        <w:rPr/>
        <w:t>will</w:t>
      </w:r>
      <w:r>
        <w:rPr>
          <w:spacing w:val="-2"/>
        </w:rPr>
        <w:t> </w:t>
      </w:r>
      <w:r>
        <w:rPr/>
        <w:t>gives I</w:t>
      </w:r>
      <w:r>
        <w:rPr>
          <w:spacing w:val="-6"/>
        </w:rPr>
        <w:t> </w:t>
      </w:r>
      <w:r>
        <w:rPr/>
        <w:t>M And 4.5 x Molar Mass dissolved in 1000 mL (1 liter) gives 4.5 M</w:t>
      </w:r>
    </w:p>
    <w:p>
      <w:pPr>
        <w:pStyle w:val="Heading3"/>
        <w:spacing w:before="5"/>
      </w:pPr>
      <w:r>
        <w:rPr/>
        <w:t>Preparation</w:t>
      </w:r>
      <w:r>
        <w:rPr>
          <w:spacing w:val="-2"/>
        </w:rPr>
        <w:t> </w:t>
      </w:r>
      <w:r>
        <w:rPr/>
        <w:t>of 85 %v/v</w:t>
      </w:r>
      <w:r>
        <w:rPr>
          <w:spacing w:val="-2"/>
        </w:rPr>
        <w:t> </w:t>
      </w:r>
      <w:r>
        <w:rPr>
          <w:spacing w:val="-5"/>
        </w:rPr>
        <w:t>HCl</w:t>
      </w:r>
    </w:p>
    <w:p>
      <w:pPr>
        <w:spacing w:after="0"/>
        <w:sectPr>
          <w:pgSz w:w="12240" w:h="15840"/>
          <w:pgMar w:header="0" w:footer="1015" w:top="1360" w:bottom="1200" w:left="240" w:right="0"/>
        </w:sectPr>
      </w:pPr>
    </w:p>
    <w:p>
      <w:pPr>
        <w:pStyle w:val="BodyText"/>
        <w:spacing w:line="482" w:lineRule="auto" w:before="72"/>
        <w:ind w:left="1200" w:right="1431"/>
      </w:pPr>
      <w:r>
        <w:rPr/>
        <w:t>A</w:t>
      </w:r>
      <w:r>
        <w:rPr>
          <w:spacing w:val="16"/>
        </w:rPr>
        <w:t> </w:t>
      </w:r>
      <w:r>
        <w:rPr/>
        <w:t>solution</w:t>
      </w:r>
      <w:r>
        <w:rPr>
          <w:spacing w:val="17"/>
        </w:rPr>
        <w:t> </w:t>
      </w:r>
      <w:r>
        <w:rPr/>
        <w:t>of</w:t>
      </w:r>
      <w:r>
        <w:rPr>
          <w:spacing w:val="16"/>
        </w:rPr>
        <w:t> </w:t>
      </w:r>
      <w:r>
        <w:rPr/>
        <w:t>85 %v/v</w:t>
      </w:r>
      <w:r>
        <w:rPr>
          <w:spacing w:val="15"/>
        </w:rPr>
        <w:t> </w:t>
      </w:r>
      <w:r>
        <w:rPr/>
        <w:t>HCl</w:t>
      </w:r>
      <w:r>
        <w:rPr>
          <w:spacing w:val="17"/>
        </w:rPr>
        <w:t> </w:t>
      </w:r>
      <w:r>
        <w:rPr/>
        <w:t>was</w:t>
      </w:r>
      <w:r>
        <w:rPr>
          <w:spacing w:val="17"/>
        </w:rPr>
        <w:t> </w:t>
      </w:r>
      <w:r>
        <w:rPr/>
        <w:t>prepared</w:t>
      </w:r>
      <w:r>
        <w:rPr>
          <w:spacing w:val="16"/>
        </w:rPr>
        <w:t> </w:t>
      </w:r>
      <w:r>
        <w:rPr/>
        <w:t>by adding</w:t>
      </w:r>
      <w:r>
        <w:rPr>
          <w:spacing w:val="15"/>
        </w:rPr>
        <w:t> </w:t>
      </w:r>
      <w:r>
        <w:rPr/>
        <w:t>85</w:t>
      </w:r>
      <w:r>
        <w:rPr>
          <w:spacing w:val="16"/>
        </w:rPr>
        <w:t> </w:t>
      </w:r>
      <w:r>
        <w:rPr/>
        <w:t>mL of</w:t>
      </w:r>
      <w:r>
        <w:rPr>
          <w:spacing w:val="16"/>
        </w:rPr>
        <w:t> </w:t>
      </w:r>
      <w:r>
        <w:rPr/>
        <w:t>Conc.</w:t>
      </w:r>
      <w:r>
        <w:rPr>
          <w:spacing w:val="16"/>
        </w:rPr>
        <w:t> </w:t>
      </w:r>
      <w:r>
        <w:rPr/>
        <w:t>HCl</w:t>
      </w:r>
      <w:r>
        <w:rPr>
          <w:spacing w:val="17"/>
        </w:rPr>
        <w:t> </w:t>
      </w:r>
      <w:r>
        <w:rPr/>
        <w:t>to</w:t>
      </w:r>
      <w:r>
        <w:rPr>
          <w:spacing w:val="17"/>
        </w:rPr>
        <w:t> </w:t>
      </w:r>
      <w:r>
        <w:rPr/>
        <w:t>15 mL</w:t>
      </w:r>
      <w:r>
        <w:rPr>
          <w:spacing w:val="16"/>
        </w:rPr>
        <w:t> </w:t>
      </w:r>
      <w:r>
        <w:rPr/>
        <w:t>of</w:t>
      </w:r>
      <w:r>
        <w:rPr>
          <w:spacing w:val="16"/>
        </w:rPr>
        <w:t> </w:t>
      </w:r>
      <w:r>
        <w:rPr/>
        <w:t>distilled </w:t>
      </w:r>
      <w:r>
        <w:rPr>
          <w:spacing w:val="-2"/>
        </w:rPr>
        <w:t>water.</w:t>
      </w:r>
    </w:p>
    <w:p>
      <w:pPr>
        <w:pStyle w:val="Heading3"/>
        <w:spacing w:before="239"/>
      </w:pPr>
      <w:r>
        <w:rPr/>
        <w:t>Preparation</w:t>
      </w:r>
      <w:r>
        <w:rPr>
          <w:spacing w:val="-2"/>
        </w:rPr>
        <w:t> </w:t>
      </w:r>
      <w:r>
        <w:rPr/>
        <w:t>of 2</w:t>
      </w:r>
      <w:r>
        <w:rPr>
          <w:spacing w:val="-1"/>
        </w:rPr>
        <w:t> </w:t>
      </w:r>
      <w:r>
        <w:rPr/>
        <w:t>%v/v</w:t>
      </w:r>
      <w:r>
        <w:rPr>
          <w:spacing w:val="-2"/>
        </w:rPr>
        <w:t> </w:t>
      </w:r>
      <w:r>
        <w:rPr>
          <w:spacing w:val="-5"/>
        </w:rPr>
        <w:t>HCl</w:t>
      </w:r>
    </w:p>
    <w:p>
      <w:pPr>
        <w:pStyle w:val="BodyText"/>
        <w:spacing w:before="235"/>
        <w:rPr>
          <w:b/>
        </w:rPr>
      </w:pPr>
    </w:p>
    <w:p>
      <w:pPr>
        <w:pStyle w:val="BodyText"/>
        <w:spacing w:line="482" w:lineRule="auto" w:before="1"/>
        <w:ind w:left="1200" w:right="1431"/>
      </w:pPr>
      <w:r>
        <w:rPr/>
        <w:t>A</w:t>
      </w:r>
      <w:r>
        <w:rPr>
          <w:spacing w:val="29"/>
        </w:rPr>
        <w:t> </w:t>
      </w:r>
      <w:r>
        <w:rPr/>
        <w:t>solution</w:t>
      </w:r>
      <w:r>
        <w:rPr>
          <w:spacing w:val="30"/>
        </w:rPr>
        <w:t> </w:t>
      </w:r>
      <w:r>
        <w:rPr/>
        <w:t>of</w:t>
      </w:r>
      <w:r>
        <w:rPr>
          <w:spacing w:val="29"/>
        </w:rPr>
        <w:t> </w:t>
      </w:r>
      <w:r>
        <w:rPr/>
        <w:t>2</w:t>
      </w:r>
      <w:r>
        <w:rPr>
          <w:spacing w:val="29"/>
        </w:rPr>
        <w:t> </w:t>
      </w:r>
      <w:r>
        <w:rPr/>
        <w:t>%v/v</w:t>
      </w:r>
      <w:r>
        <w:rPr>
          <w:spacing w:val="30"/>
        </w:rPr>
        <w:t> </w:t>
      </w:r>
      <w:r>
        <w:rPr/>
        <w:t>HCl</w:t>
      </w:r>
      <w:r>
        <w:rPr>
          <w:spacing w:val="30"/>
        </w:rPr>
        <w:t> </w:t>
      </w:r>
      <w:r>
        <w:rPr/>
        <w:t>was</w:t>
      </w:r>
      <w:r>
        <w:rPr>
          <w:spacing w:val="30"/>
        </w:rPr>
        <w:t> </w:t>
      </w:r>
      <w:r>
        <w:rPr/>
        <w:t>prepared</w:t>
      </w:r>
      <w:r>
        <w:rPr>
          <w:spacing w:val="29"/>
        </w:rPr>
        <w:t> </w:t>
      </w:r>
      <w:r>
        <w:rPr/>
        <w:t>by</w:t>
      </w:r>
      <w:r>
        <w:rPr>
          <w:spacing w:val="27"/>
        </w:rPr>
        <w:t> </w:t>
      </w:r>
      <w:r>
        <w:rPr/>
        <w:t>adding</w:t>
      </w:r>
      <w:r>
        <w:rPr>
          <w:spacing w:val="28"/>
        </w:rPr>
        <w:t> </w:t>
      </w:r>
      <w:r>
        <w:rPr/>
        <w:t>2</w:t>
      </w:r>
      <w:r>
        <w:rPr>
          <w:spacing w:val="29"/>
        </w:rPr>
        <w:t> </w:t>
      </w:r>
      <w:r>
        <w:rPr/>
        <w:t>mL</w:t>
      </w:r>
      <w:r>
        <w:rPr>
          <w:spacing w:val="24"/>
        </w:rPr>
        <w:t> </w:t>
      </w:r>
      <w:r>
        <w:rPr/>
        <w:t>of</w:t>
      </w:r>
      <w:r>
        <w:rPr>
          <w:spacing w:val="29"/>
        </w:rPr>
        <w:t> </w:t>
      </w:r>
      <w:r>
        <w:rPr/>
        <w:t>Conc.</w:t>
      </w:r>
      <w:r>
        <w:rPr>
          <w:spacing w:val="29"/>
        </w:rPr>
        <w:t> </w:t>
      </w:r>
      <w:r>
        <w:rPr/>
        <w:t>HCl</w:t>
      </w:r>
      <w:r>
        <w:rPr>
          <w:spacing w:val="30"/>
        </w:rPr>
        <w:t> </w:t>
      </w:r>
      <w:r>
        <w:rPr/>
        <w:t>to</w:t>
      </w:r>
      <w:r>
        <w:rPr>
          <w:spacing w:val="30"/>
        </w:rPr>
        <w:t> </w:t>
      </w:r>
      <w:r>
        <w:rPr/>
        <w:t>98</w:t>
      </w:r>
      <w:r>
        <w:rPr>
          <w:spacing w:val="29"/>
        </w:rPr>
        <w:t> </w:t>
      </w:r>
      <w:r>
        <w:rPr/>
        <w:t>mL</w:t>
      </w:r>
      <w:r>
        <w:rPr>
          <w:spacing w:val="30"/>
        </w:rPr>
        <w:t> </w:t>
      </w:r>
      <w:r>
        <w:rPr/>
        <w:t>of</w:t>
      </w:r>
      <w:r>
        <w:rPr>
          <w:spacing w:val="29"/>
        </w:rPr>
        <w:t> </w:t>
      </w:r>
      <w:r>
        <w:rPr/>
        <w:t>distilled </w:t>
      </w:r>
      <w:r>
        <w:rPr>
          <w:spacing w:val="-2"/>
        </w:rPr>
        <w:t>water.</w:t>
      </w:r>
    </w:p>
    <w:p>
      <w:pPr>
        <w:pStyle w:val="Heading3"/>
        <w:spacing w:before="240"/>
      </w:pPr>
      <w:r>
        <w:rPr/>
        <w:t>Preparation</w:t>
      </w:r>
      <w:r>
        <w:rPr>
          <w:spacing w:val="-2"/>
        </w:rPr>
        <w:t> </w:t>
      </w:r>
      <w:r>
        <w:rPr/>
        <w:t>of</w:t>
      </w:r>
      <w:r>
        <w:rPr>
          <w:spacing w:val="-2"/>
        </w:rPr>
        <w:t> </w:t>
      </w:r>
      <w:r>
        <w:rPr/>
        <w:t>2,</w:t>
      </w:r>
      <w:r>
        <w:rPr>
          <w:spacing w:val="-1"/>
        </w:rPr>
        <w:t> </w:t>
      </w:r>
      <w:r>
        <w:rPr/>
        <w:t>4-dinitrophenylhydrazine</w:t>
      </w:r>
      <w:r>
        <w:rPr>
          <w:spacing w:val="-3"/>
        </w:rPr>
        <w:t> </w:t>
      </w:r>
      <w:r>
        <w:rPr>
          <w:spacing w:val="-2"/>
        </w:rPr>
        <w:t>solution</w:t>
      </w:r>
    </w:p>
    <w:p>
      <w:pPr>
        <w:pStyle w:val="BodyText"/>
        <w:spacing w:before="235"/>
        <w:rPr>
          <w:b/>
        </w:rPr>
      </w:pPr>
    </w:p>
    <w:p>
      <w:pPr>
        <w:pStyle w:val="BodyText"/>
        <w:spacing w:line="482" w:lineRule="auto"/>
        <w:ind w:left="1200" w:right="1431"/>
      </w:pPr>
      <w:r>
        <w:rPr/>
        <w:t>This was prepared by dissolving 1 mg of 2, 4-dinitrophenylhydrazine and 2 mg Thiourea in 100 ml of 4.5 M HCl</w:t>
      </w:r>
    </w:p>
    <w:p>
      <w:pPr>
        <w:pStyle w:val="Heading3"/>
        <w:spacing w:before="239"/>
      </w:pPr>
      <w:r>
        <w:rPr/>
        <w:t>Preparation of 1 %w/v</w:t>
      </w:r>
      <w:r>
        <w:rPr>
          <w:spacing w:val="-3"/>
        </w:rPr>
        <w:t> </w:t>
      </w:r>
      <w:r>
        <w:rPr/>
        <w:t>sodium</w:t>
      </w:r>
      <w:r>
        <w:rPr>
          <w:spacing w:val="-4"/>
        </w:rPr>
        <w:t> </w:t>
      </w:r>
      <w:r>
        <w:rPr>
          <w:spacing w:val="-2"/>
        </w:rPr>
        <w:t>nitrite</w:t>
      </w:r>
    </w:p>
    <w:p>
      <w:pPr>
        <w:pStyle w:val="BodyText"/>
        <w:spacing w:before="235"/>
        <w:rPr>
          <w:b/>
        </w:rPr>
      </w:pPr>
    </w:p>
    <w:p>
      <w:pPr>
        <w:pStyle w:val="BodyText"/>
        <w:spacing w:line="482" w:lineRule="auto" w:before="1"/>
        <w:ind w:left="1200" w:right="1431"/>
      </w:pPr>
      <w:r>
        <w:rPr/>
        <w:t>A solution of 1 %w/v Sodium nitrite was prepared by accurately weighing and dissolving 1 g of sodium nitrite salt in 100 mL of distilled water.</w:t>
      </w:r>
    </w:p>
    <w:p>
      <w:pPr>
        <w:pStyle w:val="Heading3"/>
        <w:spacing w:before="239"/>
      </w:pPr>
      <w:r>
        <w:rPr/>
        <w:t>Preparation</w:t>
      </w:r>
      <w:r>
        <w:rPr>
          <w:spacing w:val="-1"/>
        </w:rPr>
        <w:t> </w:t>
      </w:r>
      <w:r>
        <w:rPr/>
        <w:t>of</w:t>
      </w:r>
      <w:r>
        <w:rPr>
          <w:spacing w:val="-1"/>
        </w:rPr>
        <w:t> </w:t>
      </w:r>
      <w:r>
        <w:rPr/>
        <w:t>2</w:t>
      </w:r>
      <w:r>
        <w:rPr>
          <w:spacing w:val="-2"/>
        </w:rPr>
        <w:t> </w:t>
      </w:r>
      <w:r>
        <w:rPr/>
        <w:t>%w/v</w:t>
      </w:r>
      <w:r>
        <w:rPr>
          <w:spacing w:val="-4"/>
        </w:rPr>
        <w:t> </w:t>
      </w:r>
      <w:r>
        <w:rPr/>
        <w:t>Sulfamic</w:t>
      </w:r>
      <w:r>
        <w:rPr>
          <w:spacing w:val="-1"/>
        </w:rPr>
        <w:t> </w:t>
      </w:r>
      <w:r>
        <w:rPr>
          <w:spacing w:val="-4"/>
        </w:rPr>
        <w:t>acid</w:t>
      </w:r>
    </w:p>
    <w:p>
      <w:pPr>
        <w:pStyle w:val="BodyText"/>
        <w:spacing w:before="235"/>
        <w:rPr>
          <w:b/>
        </w:rPr>
      </w:pPr>
    </w:p>
    <w:p>
      <w:pPr>
        <w:pStyle w:val="BodyText"/>
        <w:spacing w:line="482" w:lineRule="auto" w:before="1"/>
        <w:ind w:left="1200" w:right="1431"/>
      </w:pPr>
      <w:r>
        <w:rPr/>
        <w:t>A solution of 2 %w/v Sulfamic acid was prepared by accurately weighing and dissolving 2 g of Sulfamic acid salt in 100 mL of distilled water.</w:t>
      </w:r>
    </w:p>
    <w:p>
      <w:pPr>
        <w:pStyle w:val="Heading3"/>
        <w:spacing w:before="239"/>
      </w:pPr>
      <w:r>
        <w:rPr/>
        <w:t>Preparation</w:t>
      </w:r>
      <w:r>
        <w:rPr>
          <w:spacing w:val="-3"/>
        </w:rPr>
        <w:t> </w:t>
      </w:r>
      <w:r>
        <w:rPr/>
        <w:t>of</w:t>
      </w:r>
      <w:r>
        <w:rPr>
          <w:spacing w:val="-1"/>
        </w:rPr>
        <w:t> </w:t>
      </w:r>
      <w:r>
        <w:rPr/>
        <w:t>Para</w:t>
      </w:r>
      <w:r>
        <w:rPr>
          <w:spacing w:val="-1"/>
        </w:rPr>
        <w:t> </w:t>
      </w:r>
      <w:r>
        <w:rPr/>
        <w:t>toluidine</w:t>
      </w:r>
      <w:r>
        <w:rPr>
          <w:spacing w:val="-3"/>
        </w:rPr>
        <w:t> </w:t>
      </w:r>
      <w:r>
        <w:rPr>
          <w:spacing w:val="-2"/>
        </w:rPr>
        <w:t>solution</w:t>
      </w:r>
    </w:p>
    <w:p>
      <w:pPr>
        <w:pStyle w:val="BodyText"/>
        <w:spacing w:before="195"/>
        <w:rPr>
          <w:b/>
        </w:rPr>
      </w:pPr>
    </w:p>
    <w:p>
      <w:pPr>
        <w:pStyle w:val="BodyText"/>
        <w:spacing w:line="391" w:lineRule="auto"/>
        <w:ind w:left="1200" w:right="2445"/>
      </w:pPr>
      <w:r>
        <w:rPr/>
        <w:t>Para</w:t>
      </w:r>
      <w:r>
        <w:rPr>
          <w:spacing w:val="-5"/>
        </w:rPr>
        <w:t> </w:t>
      </w:r>
      <w:r>
        <w:rPr/>
        <w:t>toluidine</w:t>
      </w:r>
      <w:r>
        <w:rPr>
          <w:spacing w:val="-4"/>
        </w:rPr>
        <w:t> </w:t>
      </w:r>
      <w:r>
        <w:rPr/>
        <w:t>solution</w:t>
      </w:r>
      <w:r>
        <w:rPr>
          <w:spacing w:val="-3"/>
        </w:rPr>
        <w:t> </w:t>
      </w:r>
      <w:r>
        <w:rPr/>
        <w:t>was</w:t>
      </w:r>
      <w:r>
        <w:rPr>
          <w:spacing w:val="-3"/>
        </w:rPr>
        <w:t> </w:t>
      </w:r>
      <w:r>
        <w:rPr/>
        <w:t>prepared</w:t>
      </w:r>
      <w:r>
        <w:rPr>
          <w:spacing w:val="-3"/>
        </w:rPr>
        <w:t> </w:t>
      </w:r>
      <w:r>
        <w:rPr/>
        <w:t>by</w:t>
      </w:r>
      <w:r>
        <w:rPr>
          <w:spacing w:val="-8"/>
        </w:rPr>
        <w:t> </w:t>
      </w:r>
      <w:r>
        <w:rPr/>
        <w:t>accurately</w:t>
      </w:r>
      <w:r>
        <w:rPr>
          <w:spacing w:val="-6"/>
        </w:rPr>
        <w:t> </w:t>
      </w:r>
      <w:r>
        <w:rPr/>
        <w:t>weighing</w:t>
      </w:r>
      <w:r>
        <w:rPr>
          <w:spacing w:val="-4"/>
        </w:rPr>
        <w:t> </w:t>
      </w:r>
      <w:r>
        <w:rPr/>
        <w:t>and</w:t>
      </w:r>
      <w:r>
        <w:rPr>
          <w:spacing w:val="-3"/>
        </w:rPr>
        <w:t> </w:t>
      </w:r>
      <w:r>
        <w:rPr/>
        <w:t>dissolving</w:t>
      </w:r>
      <w:r>
        <w:rPr>
          <w:spacing w:val="-3"/>
        </w:rPr>
        <w:t> </w:t>
      </w:r>
      <w:r>
        <w:rPr/>
        <w:t>1</w:t>
      </w:r>
      <w:r>
        <w:rPr>
          <w:spacing w:val="-3"/>
        </w:rPr>
        <w:t> </w:t>
      </w:r>
      <w:r>
        <w:rPr/>
        <w:t>mg</w:t>
      </w:r>
      <w:r>
        <w:rPr>
          <w:spacing w:val="-5"/>
        </w:rPr>
        <w:t> </w:t>
      </w:r>
      <w:r>
        <w:rPr/>
        <w:t>of Para toluidine in 100 mL of methanol.</w:t>
      </w:r>
    </w:p>
    <w:p>
      <w:pPr>
        <w:spacing w:after="0" w:line="391" w:lineRule="auto"/>
        <w:sectPr>
          <w:pgSz w:w="12240" w:h="15840"/>
          <w:pgMar w:header="0" w:footer="1015" w:top="1360" w:bottom="1200" w:left="240" w:right="0"/>
        </w:sectPr>
      </w:pPr>
    </w:p>
    <w:p>
      <w:pPr>
        <w:spacing w:before="76"/>
        <w:ind w:left="1200" w:right="0" w:firstLine="0"/>
        <w:jc w:val="left"/>
        <w:rPr>
          <w:b/>
          <w:sz w:val="24"/>
        </w:rPr>
      </w:pPr>
      <w:r>
        <w:rPr>
          <w:b/>
          <w:sz w:val="24"/>
        </w:rPr>
        <w:t>Appendix</w:t>
      </w:r>
      <w:r>
        <w:rPr>
          <w:b/>
          <w:spacing w:val="-1"/>
          <w:sz w:val="24"/>
        </w:rPr>
        <w:t> </w:t>
      </w:r>
      <w:r>
        <w:rPr>
          <w:b/>
          <w:sz w:val="24"/>
        </w:rPr>
        <w:t>III:</w:t>
      </w:r>
      <w:r>
        <w:rPr>
          <w:b/>
          <w:spacing w:val="-1"/>
          <w:sz w:val="24"/>
        </w:rPr>
        <w:t> </w:t>
      </w:r>
      <w:r>
        <w:rPr>
          <w:b/>
          <w:sz w:val="24"/>
        </w:rPr>
        <w:t>UV</w:t>
      </w:r>
      <w:r>
        <w:rPr>
          <w:b/>
          <w:spacing w:val="-1"/>
          <w:sz w:val="24"/>
        </w:rPr>
        <w:t> </w:t>
      </w:r>
      <w:r>
        <w:rPr>
          <w:b/>
          <w:sz w:val="24"/>
        </w:rPr>
        <w:t>Spectrum</w:t>
      </w:r>
      <w:r>
        <w:rPr>
          <w:b/>
          <w:spacing w:val="-5"/>
          <w:sz w:val="24"/>
        </w:rPr>
        <w:t> </w:t>
      </w:r>
      <w:r>
        <w:rPr>
          <w:b/>
          <w:sz w:val="24"/>
        </w:rPr>
        <w:t>of isoniazid</w:t>
      </w:r>
      <w:r>
        <w:rPr>
          <w:b/>
          <w:spacing w:val="2"/>
          <w:sz w:val="24"/>
        </w:rPr>
        <w:t> </w:t>
      </w:r>
      <w:r>
        <w:rPr>
          <w:b/>
          <w:sz w:val="24"/>
        </w:rPr>
        <w:t>in distilled</w:t>
      </w:r>
      <w:r>
        <w:rPr>
          <w:b/>
          <w:spacing w:val="-1"/>
          <w:sz w:val="24"/>
        </w:rPr>
        <w:t> </w:t>
      </w:r>
      <w:r>
        <w:rPr>
          <w:b/>
          <w:spacing w:val="-2"/>
          <w:sz w:val="24"/>
        </w:rPr>
        <w:t>water.</w:t>
      </w:r>
    </w:p>
    <w:p>
      <w:pPr>
        <w:pStyle w:val="BodyText"/>
        <w:spacing w:before="26"/>
        <w:rPr>
          <w:b/>
          <w:sz w:val="20"/>
        </w:rPr>
      </w:pPr>
      <w:r>
        <w:rPr/>
        <w:drawing>
          <wp:anchor distT="0" distB="0" distL="0" distR="0" allowOverlap="1" layoutInCell="1" locked="0" behindDoc="1" simplePos="0" relativeHeight="487623680">
            <wp:simplePos x="0" y="0"/>
            <wp:positionH relativeFrom="page">
              <wp:posOffset>914400</wp:posOffset>
            </wp:positionH>
            <wp:positionV relativeFrom="paragraph">
              <wp:posOffset>177814</wp:posOffset>
            </wp:positionV>
            <wp:extent cx="4783009" cy="6491763"/>
            <wp:effectExtent l="0" t="0" r="0" b="0"/>
            <wp:wrapTopAndBottom/>
            <wp:docPr id="186" name="Image 186" descr="Description: C:\Users\HP-PC\Desktop\SCANNED DOCUMENTS\copy 7.jpg"/>
            <wp:cNvGraphicFramePr>
              <a:graphicFrameLocks/>
            </wp:cNvGraphicFramePr>
            <a:graphic>
              <a:graphicData uri="http://schemas.openxmlformats.org/drawingml/2006/picture">
                <pic:pic>
                  <pic:nvPicPr>
                    <pic:cNvPr id="186" name="Image 186" descr="Description: C:\Users\HP-PC\Desktop\SCANNED DOCUMENTS\copy 7.jpg"/>
                    <pic:cNvPicPr/>
                  </pic:nvPicPr>
                  <pic:blipFill>
                    <a:blip r:embed="rId34" cstate="print"/>
                    <a:stretch>
                      <a:fillRect/>
                    </a:stretch>
                  </pic:blipFill>
                  <pic:spPr>
                    <a:xfrm>
                      <a:off x="0" y="0"/>
                      <a:ext cx="4783009" cy="6491763"/>
                    </a:xfrm>
                    <a:prstGeom prst="rect">
                      <a:avLst/>
                    </a:prstGeom>
                  </pic:spPr>
                </pic:pic>
              </a:graphicData>
            </a:graphic>
          </wp:anchor>
        </w:drawing>
      </w:r>
    </w:p>
    <w:p>
      <w:pPr>
        <w:spacing w:after="0"/>
        <w:rPr>
          <w:sz w:val="20"/>
        </w:rPr>
        <w:sectPr>
          <w:pgSz w:w="12240" w:h="15840"/>
          <w:pgMar w:header="0" w:footer="1015" w:top="1360" w:bottom="1200" w:left="240" w:right="0"/>
        </w:sectPr>
      </w:pPr>
    </w:p>
    <w:p>
      <w:pPr>
        <w:spacing w:before="76"/>
        <w:ind w:left="1200" w:right="0" w:firstLine="0"/>
        <w:jc w:val="left"/>
        <w:rPr>
          <w:b/>
          <w:sz w:val="24"/>
        </w:rPr>
      </w:pPr>
      <w:r>
        <w:rPr>
          <w:b/>
          <w:sz w:val="24"/>
        </w:rPr>
        <w:t>Appendix</w:t>
      </w:r>
      <w:r>
        <w:rPr>
          <w:b/>
          <w:spacing w:val="-1"/>
          <w:sz w:val="24"/>
        </w:rPr>
        <w:t> </w:t>
      </w:r>
      <w:r>
        <w:rPr>
          <w:b/>
          <w:sz w:val="24"/>
        </w:rPr>
        <w:t>IV: UV</w:t>
      </w:r>
      <w:r>
        <w:rPr>
          <w:b/>
          <w:spacing w:val="-1"/>
          <w:sz w:val="24"/>
        </w:rPr>
        <w:t> </w:t>
      </w:r>
      <w:r>
        <w:rPr>
          <w:b/>
          <w:sz w:val="24"/>
        </w:rPr>
        <w:t>Spectrum</w:t>
      </w:r>
      <w:r>
        <w:rPr>
          <w:b/>
          <w:spacing w:val="-4"/>
          <w:sz w:val="24"/>
        </w:rPr>
        <w:t> </w:t>
      </w:r>
      <w:r>
        <w:rPr>
          <w:b/>
          <w:sz w:val="24"/>
        </w:rPr>
        <w:t>of isoniazid</w:t>
      </w:r>
      <w:r>
        <w:rPr>
          <w:b/>
          <w:spacing w:val="2"/>
          <w:sz w:val="24"/>
        </w:rPr>
        <w:t> </w:t>
      </w:r>
      <w:r>
        <w:rPr>
          <w:b/>
          <w:sz w:val="24"/>
        </w:rPr>
        <w:t>in</w:t>
      </w:r>
      <w:r>
        <w:rPr>
          <w:b/>
          <w:spacing w:val="1"/>
          <w:sz w:val="24"/>
        </w:rPr>
        <w:t> </w:t>
      </w:r>
      <w:r>
        <w:rPr>
          <w:b/>
          <w:spacing w:val="-2"/>
          <w:sz w:val="24"/>
        </w:rPr>
        <w:t>methanol</w:t>
      </w:r>
    </w:p>
    <w:p>
      <w:pPr>
        <w:pStyle w:val="BodyText"/>
        <w:spacing w:before="26"/>
        <w:rPr>
          <w:b/>
          <w:sz w:val="20"/>
        </w:rPr>
      </w:pPr>
      <w:r>
        <w:rPr/>
        <w:drawing>
          <wp:anchor distT="0" distB="0" distL="0" distR="0" allowOverlap="1" layoutInCell="1" locked="0" behindDoc="1" simplePos="0" relativeHeight="487624192">
            <wp:simplePos x="0" y="0"/>
            <wp:positionH relativeFrom="page">
              <wp:posOffset>914400</wp:posOffset>
            </wp:positionH>
            <wp:positionV relativeFrom="paragraph">
              <wp:posOffset>177814</wp:posOffset>
            </wp:positionV>
            <wp:extent cx="5663445" cy="7388733"/>
            <wp:effectExtent l="0" t="0" r="0" b="0"/>
            <wp:wrapTopAndBottom/>
            <wp:docPr id="187" name="Image 187" descr="Description: C:\Users\HP-PC\Desktop\SCANNED DOCUMENTS\copy 4.jpg"/>
            <wp:cNvGraphicFramePr>
              <a:graphicFrameLocks/>
            </wp:cNvGraphicFramePr>
            <a:graphic>
              <a:graphicData uri="http://schemas.openxmlformats.org/drawingml/2006/picture">
                <pic:pic>
                  <pic:nvPicPr>
                    <pic:cNvPr id="187" name="Image 187" descr="Description: C:\Users\HP-PC\Desktop\SCANNED DOCUMENTS\copy 4.jpg"/>
                    <pic:cNvPicPr/>
                  </pic:nvPicPr>
                  <pic:blipFill>
                    <a:blip r:embed="rId35" cstate="print"/>
                    <a:stretch>
                      <a:fillRect/>
                    </a:stretch>
                  </pic:blipFill>
                  <pic:spPr>
                    <a:xfrm>
                      <a:off x="0" y="0"/>
                      <a:ext cx="5663445" cy="7388733"/>
                    </a:xfrm>
                    <a:prstGeom prst="rect">
                      <a:avLst/>
                    </a:prstGeom>
                  </pic:spPr>
                </pic:pic>
              </a:graphicData>
            </a:graphic>
          </wp:anchor>
        </w:drawing>
      </w:r>
    </w:p>
    <w:p>
      <w:pPr>
        <w:spacing w:after="0"/>
        <w:rPr>
          <w:sz w:val="20"/>
        </w:rPr>
        <w:sectPr>
          <w:pgSz w:w="12240" w:h="15840"/>
          <w:pgMar w:header="0" w:footer="1015" w:top="1360" w:bottom="1200" w:left="240" w:right="0"/>
        </w:sectPr>
      </w:pPr>
    </w:p>
    <w:p>
      <w:pPr>
        <w:spacing w:before="76"/>
        <w:ind w:left="1200" w:right="0" w:firstLine="0"/>
        <w:jc w:val="left"/>
        <w:rPr>
          <w:b/>
          <w:sz w:val="24"/>
        </w:rPr>
      </w:pPr>
      <w:r>
        <w:rPr>
          <w:b/>
          <w:sz w:val="24"/>
        </w:rPr>
        <w:t>Appendix</w:t>
      </w:r>
      <w:r>
        <w:rPr>
          <w:b/>
          <w:spacing w:val="-3"/>
          <w:sz w:val="24"/>
        </w:rPr>
        <w:t> </w:t>
      </w:r>
      <w:r>
        <w:rPr>
          <w:b/>
          <w:sz w:val="24"/>
        </w:rPr>
        <w:t>V:</w:t>
      </w:r>
      <w:r>
        <w:rPr>
          <w:b/>
          <w:spacing w:val="-2"/>
          <w:sz w:val="24"/>
        </w:rPr>
        <w:t> </w:t>
      </w:r>
      <w:r>
        <w:rPr>
          <w:b/>
          <w:sz w:val="24"/>
        </w:rPr>
        <w:t>UV</w:t>
      </w:r>
      <w:r>
        <w:rPr>
          <w:b/>
          <w:spacing w:val="-2"/>
          <w:sz w:val="24"/>
        </w:rPr>
        <w:t> </w:t>
      </w:r>
      <w:r>
        <w:rPr>
          <w:b/>
          <w:sz w:val="24"/>
        </w:rPr>
        <w:t>Spectrum</w:t>
      </w:r>
      <w:r>
        <w:rPr>
          <w:b/>
          <w:spacing w:val="-5"/>
          <w:sz w:val="24"/>
        </w:rPr>
        <w:t> </w:t>
      </w:r>
      <w:r>
        <w:rPr>
          <w:b/>
          <w:sz w:val="24"/>
        </w:rPr>
        <w:t>of isoniazid</w:t>
      </w:r>
      <w:r>
        <w:rPr>
          <w:b/>
          <w:spacing w:val="2"/>
          <w:sz w:val="24"/>
        </w:rPr>
        <w:t> </w:t>
      </w:r>
      <w:r>
        <w:rPr>
          <w:b/>
          <w:sz w:val="24"/>
        </w:rPr>
        <w:t>Solution</w:t>
      </w:r>
      <w:r>
        <w:rPr>
          <w:b/>
          <w:spacing w:val="-1"/>
          <w:sz w:val="24"/>
        </w:rPr>
        <w:t> </w:t>
      </w:r>
      <w:r>
        <w:rPr>
          <w:b/>
          <w:sz w:val="24"/>
        </w:rPr>
        <w:t>with</w:t>
      </w:r>
      <w:r>
        <w:rPr>
          <w:b/>
          <w:spacing w:val="-1"/>
          <w:sz w:val="24"/>
        </w:rPr>
        <w:t> </w:t>
      </w:r>
      <w:r>
        <w:rPr>
          <w:b/>
          <w:sz w:val="24"/>
        </w:rPr>
        <w:t>2,4-</w:t>
      </w:r>
      <w:r>
        <w:rPr>
          <w:b/>
          <w:spacing w:val="-2"/>
          <w:sz w:val="24"/>
        </w:rPr>
        <w:t>dinitrophenylhydrazine</w:t>
      </w:r>
    </w:p>
    <w:p>
      <w:pPr>
        <w:pStyle w:val="BodyText"/>
        <w:spacing w:before="26"/>
        <w:rPr>
          <w:b/>
          <w:sz w:val="20"/>
        </w:rPr>
      </w:pPr>
      <w:r>
        <w:rPr/>
        <w:drawing>
          <wp:anchor distT="0" distB="0" distL="0" distR="0" allowOverlap="1" layoutInCell="1" locked="0" behindDoc="1" simplePos="0" relativeHeight="487624704">
            <wp:simplePos x="0" y="0"/>
            <wp:positionH relativeFrom="page">
              <wp:posOffset>914400</wp:posOffset>
            </wp:positionH>
            <wp:positionV relativeFrom="paragraph">
              <wp:posOffset>177814</wp:posOffset>
            </wp:positionV>
            <wp:extent cx="5867396" cy="7757350"/>
            <wp:effectExtent l="0" t="0" r="0" b="0"/>
            <wp:wrapTopAndBottom/>
            <wp:docPr id="188" name="Image 188" descr="Description: C:\Users\HP-PC\Desktop\SCANNED DOCUMENTS\copy 2.jpg"/>
            <wp:cNvGraphicFramePr>
              <a:graphicFrameLocks/>
            </wp:cNvGraphicFramePr>
            <a:graphic>
              <a:graphicData uri="http://schemas.openxmlformats.org/drawingml/2006/picture">
                <pic:pic>
                  <pic:nvPicPr>
                    <pic:cNvPr id="188" name="Image 188" descr="Description: C:\Users\HP-PC\Desktop\SCANNED DOCUMENTS\copy 2.jpg"/>
                    <pic:cNvPicPr/>
                  </pic:nvPicPr>
                  <pic:blipFill>
                    <a:blip r:embed="rId36" cstate="print"/>
                    <a:stretch>
                      <a:fillRect/>
                    </a:stretch>
                  </pic:blipFill>
                  <pic:spPr>
                    <a:xfrm>
                      <a:off x="0" y="0"/>
                      <a:ext cx="5867396" cy="7757350"/>
                    </a:xfrm>
                    <a:prstGeom prst="rect">
                      <a:avLst/>
                    </a:prstGeom>
                  </pic:spPr>
                </pic:pic>
              </a:graphicData>
            </a:graphic>
          </wp:anchor>
        </w:drawing>
      </w:r>
    </w:p>
    <w:p>
      <w:pPr>
        <w:spacing w:after="0"/>
        <w:rPr>
          <w:sz w:val="20"/>
        </w:rPr>
        <w:sectPr>
          <w:pgSz w:w="12240" w:h="15840"/>
          <w:pgMar w:header="0" w:footer="1015" w:top="1360" w:bottom="1200" w:left="240" w:right="0"/>
        </w:sectPr>
      </w:pPr>
    </w:p>
    <w:p>
      <w:pPr>
        <w:spacing w:before="76"/>
        <w:ind w:left="1200" w:right="0" w:firstLine="0"/>
        <w:jc w:val="left"/>
        <w:rPr>
          <w:b/>
          <w:sz w:val="24"/>
        </w:rPr>
      </w:pPr>
      <w:r>
        <w:rPr>
          <w:b/>
          <w:sz w:val="24"/>
        </w:rPr>
        <w:t>Appendix</w:t>
      </w:r>
      <w:r>
        <w:rPr>
          <w:b/>
          <w:spacing w:val="-1"/>
          <w:sz w:val="24"/>
        </w:rPr>
        <w:t> </w:t>
      </w:r>
      <w:r>
        <w:rPr>
          <w:b/>
          <w:sz w:val="24"/>
        </w:rPr>
        <w:t>VI:</w:t>
      </w:r>
      <w:r>
        <w:rPr>
          <w:b/>
          <w:spacing w:val="-1"/>
          <w:sz w:val="24"/>
        </w:rPr>
        <w:t> </w:t>
      </w:r>
      <w:r>
        <w:rPr>
          <w:b/>
          <w:sz w:val="24"/>
        </w:rPr>
        <w:t>Calibration</w:t>
      </w:r>
      <w:r>
        <w:rPr>
          <w:b/>
          <w:spacing w:val="-1"/>
          <w:sz w:val="24"/>
        </w:rPr>
        <w:t> </w:t>
      </w:r>
      <w:r>
        <w:rPr>
          <w:b/>
          <w:sz w:val="24"/>
        </w:rPr>
        <w:t>parameter</w:t>
      </w:r>
      <w:r>
        <w:rPr>
          <w:b/>
          <w:spacing w:val="-2"/>
          <w:sz w:val="24"/>
        </w:rPr>
        <w:t> </w:t>
      </w:r>
      <w:r>
        <w:rPr>
          <w:b/>
          <w:sz w:val="24"/>
        </w:rPr>
        <w:t>of</w:t>
      </w:r>
      <w:r>
        <w:rPr>
          <w:b/>
          <w:spacing w:val="-1"/>
          <w:sz w:val="24"/>
        </w:rPr>
        <w:t> </w:t>
      </w:r>
      <w:r>
        <w:rPr>
          <w:b/>
          <w:sz w:val="24"/>
        </w:rPr>
        <w:t>isoniazid</w:t>
      </w:r>
      <w:r>
        <w:rPr>
          <w:b/>
          <w:spacing w:val="2"/>
          <w:sz w:val="24"/>
        </w:rPr>
        <w:t> </w:t>
      </w:r>
      <w:r>
        <w:rPr>
          <w:b/>
          <w:sz w:val="24"/>
        </w:rPr>
        <w:t>in</w:t>
      </w:r>
      <w:r>
        <w:rPr>
          <w:b/>
          <w:spacing w:val="-3"/>
          <w:sz w:val="24"/>
        </w:rPr>
        <w:t> </w:t>
      </w:r>
      <w:r>
        <w:rPr>
          <w:b/>
          <w:sz w:val="24"/>
        </w:rPr>
        <w:t>distilled</w:t>
      </w:r>
      <w:r>
        <w:rPr>
          <w:b/>
          <w:spacing w:val="-2"/>
          <w:sz w:val="24"/>
        </w:rPr>
        <w:t> water</w:t>
      </w:r>
    </w:p>
    <w:p>
      <w:pPr>
        <w:pStyle w:val="BodyText"/>
        <w:spacing w:before="26"/>
        <w:rPr>
          <w:b/>
          <w:sz w:val="20"/>
        </w:rPr>
      </w:pPr>
      <w:r>
        <w:rPr/>
        <w:drawing>
          <wp:anchor distT="0" distB="0" distL="0" distR="0" allowOverlap="1" layoutInCell="1" locked="0" behindDoc="1" simplePos="0" relativeHeight="487625216">
            <wp:simplePos x="0" y="0"/>
            <wp:positionH relativeFrom="page">
              <wp:posOffset>914400</wp:posOffset>
            </wp:positionH>
            <wp:positionV relativeFrom="paragraph">
              <wp:posOffset>177814</wp:posOffset>
            </wp:positionV>
            <wp:extent cx="5863569" cy="7376445"/>
            <wp:effectExtent l="0" t="0" r="0" b="0"/>
            <wp:wrapTopAndBottom/>
            <wp:docPr id="189" name="Image 189" descr="Description: C:\Users\HP-PC\Desktop\SCANNED DOCUMENTS\copy 11.jpg"/>
            <wp:cNvGraphicFramePr>
              <a:graphicFrameLocks/>
            </wp:cNvGraphicFramePr>
            <a:graphic>
              <a:graphicData uri="http://schemas.openxmlformats.org/drawingml/2006/picture">
                <pic:pic>
                  <pic:nvPicPr>
                    <pic:cNvPr id="189" name="Image 189" descr="Description: C:\Users\HP-PC\Desktop\SCANNED DOCUMENTS\copy 11.jpg"/>
                    <pic:cNvPicPr/>
                  </pic:nvPicPr>
                  <pic:blipFill>
                    <a:blip r:embed="rId37" cstate="print"/>
                    <a:stretch>
                      <a:fillRect/>
                    </a:stretch>
                  </pic:blipFill>
                  <pic:spPr>
                    <a:xfrm>
                      <a:off x="0" y="0"/>
                      <a:ext cx="5863569" cy="7376445"/>
                    </a:xfrm>
                    <a:prstGeom prst="rect">
                      <a:avLst/>
                    </a:prstGeom>
                  </pic:spPr>
                </pic:pic>
              </a:graphicData>
            </a:graphic>
          </wp:anchor>
        </w:drawing>
      </w:r>
    </w:p>
    <w:p>
      <w:pPr>
        <w:spacing w:after="0"/>
        <w:rPr>
          <w:sz w:val="20"/>
        </w:rPr>
        <w:sectPr>
          <w:pgSz w:w="12240" w:h="15840"/>
          <w:pgMar w:header="0" w:footer="1015" w:top="1360" w:bottom="1200" w:left="240" w:right="0"/>
        </w:sectPr>
      </w:pPr>
    </w:p>
    <w:p>
      <w:pPr>
        <w:spacing w:before="76"/>
        <w:ind w:left="1200" w:right="0" w:firstLine="0"/>
        <w:jc w:val="left"/>
        <w:rPr>
          <w:b/>
          <w:sz w:val="24"/>
        </w:rPr>
      </w:pPr>
      <w:r>
        <w:rPr>
          <w:b/>
          <w:sz w:val="24"/>
        </w:rPr>
        <w:t>Appendix</w:t>
      </w:r>
      <w:r>
        <w:rPr>
          <w:b/>
          <w:spacing w:val="-4"/>
          <w:sz w:val="24"/>
        </w:rPr>
        <w:t> </w:t>
      </w:r>
      <w:r>
        <w:rPr>
          <w:b/>
          <w:sz w:val="24"/>
        </w:rPr>
        <w:t>VII:</w:t>
      </w:r>
      <w:r>
        <w:rPr>
          <w:b/>
          <w:spacing w:val="-1"/>
          <w:sz w:val="24"/>
        </w:rPr>
        <w:t> </w:t>
      </w:r>
      <w:r>
        <w:rPr>
          <w:b/>
          <w:sz w:val="24"/>
        </w:rPr>
        <w:t>Maximum</w:t>
      </w:r>
      <w:r>
        <w:rPr>
          <w:b/>
          <w:spacing w:val="-3"/>
          <w:sz w:val="24"/>
        </w:rPr>
        <w:t> </w:t>
      </w:r>
      <w:r>
        <w:rPr>
          <w:b/>
          <w:sz w:val="24"/>
        </w:rPr>
        <w:t>concentration</w:t>
      </w:r>
      <w:r>
        <w:rPr>
          <w:b/>
          <w:spacing w:val="-1"/>
          <w:sz w:val="24"/>
        </w:rPr>
        <w:t> </w:t>
      </w:r>
      <w:r>
        <w:rPr>
          <w:b/>
          <w:sz w:val="24"/>
        </w:rPr>
        <w:t>of 2,4-</w:t>
      </w:r>
      <w:r>
        <w:rPr>
          <w:b/>
          <w:spacing w:val="-2"/>
          <w:sz w:val="24"/>
        </w:rPr>
        <w:t>dinitrophenylhydrazine</w:t>
      </w:r>
    </w:p>
    <w:p>
      <w:pPr>
        <w:pStyle w:val="BodyText"/>
        <w:spacing w:before="26"/>
        <w:rPr>
          <w:b/>
          <w:sz w:val="20"/>
        </w:rPr>
      </w:pPr>
      <w:r>
        <w:rPr/>
        <w:drawing>
          <wp:anchor distT="0" distB="0" distL="0" distR="0" allowOverlap="1" layoutInCell="1" locked="0" behindDoc="1" simplePos="0" relativeHeight="487625728">
            <wp:simplePos x="0" y="0"/>
            <wp:positionH relativeFrom="page">
              <wp:posOffset>914400</wp:posOffset>
            </wp:positionH>
            <wp:positionV relativeFrom="paragraph">
              <wp:posOffset>177814</wp:posOffset>
            </wp:positionV>
            <wp:extent cx="4836839" cy="6852189"/>
            <wp:effectExtent l="0" t="0" r="0" b="0"/>
            <wp:wrapTopAndBottom/>
            <wp:docPr id="190" name="Image 190" descr="Description: C:\Users\HP-PC\Desktop\SCANNED DOCUMENTS\copy 10.jpg"/>
            <wp:cNvGraphicFramePr>
              <a:graphicFrameLocks/>
            </wp:cNvGraphicFramePr>
            <a:graphic>
              <a:graphicData uri="http://schemas.openxmlformats.org/drawingml/2006/picture">
                <pic:pic>
                  <pic:nvPicPr>
                    <pic:cNvPr id="190" name="Image 190" descr="Description: C:\Users\HP-PC\Desktop\SCANNED DOCUMENTS\copy 10.jpg"/>
                    <pic:cNvPicPr/>
                  </pic:nvPicPr>
                  <pic:blipFill>
                    <a:blip r:embed="rId38" cstate="print"/>
                    <a:stretch>
                      <a:fillRect/>
                    </a:stretch>
                  </pic:blipFill>
                  <pic:spPr>
                    <a:xfrm>
                      <a:off x="0" y="0"/>
                      <a:ext cx="4836839" cy="6852189"/>
                    </a:xfrm>
                    <a:prstGeom prst="rect">
                      <a:avLst/>
                    </a:prstGeom>
                  </pic:spPr>
                </pic:pic>
              </a:graphicData>
            </a:graphic>
          </wp:anchor>
        </w:drawing>
      </w:r>
    </w:p>
    <w:p>
      <w:pPr>
        <w:spacing w:after="0"/>
        <w:rPr>
          <w:sz w:val="20"/>
        </w:rPr>
        <w:sectPr>
          <w:pgSz w:w="12240" w:h="15840"/>
          <w:pgMar w:header="0" w:footer="1015" w:top="1360" w:bottom="1200" w:left="240" w:right="0"/>
        </w:sectPr>
      </w:pPr>
    </w:p>
    <w:p>
      <w:pPr>
        <w:spacing w:before="76"/>
        <w:ind w:left="1200" w:right="0" w:firstLine="0"/>
        <w:jc w:val="left"/>
        <w:rPr>
          <w:b/>
          <w:sz w:val="24"/>
        </w:rPr>
      </w:pPr>
      <w:r>
        <w:rPr>
          <w:b/>
          <w:sz w:val="24"/>
        </w:rPr>
        <w:t>Appendix VIII:</w:t>
      </w:r>
      <w:r>
        <w:rPr>
          <w:b/>
          <w:spacing w:val="-1"/>
          <w:sz w:val="24"/>
        </w:rPr>
        <w:t> </w:t>
      </w:r>
      <w:r>
        <w:rPr>
          <w:b/>
          <w:sz w:val="24"/>
        </w:rPr>
        <w:t>Maximum</w:t>
      </w:r>
      <w:r>
        <w:rPr>
          <w:b/>
          <w:spacing w:val="-3"/>
          <w:sz w:val="24"/>
        </w:rPr>
        <w:t> </w:t>
      </w:r>
      <w:r>
        <w:rPr>
          <w:b/>
          <w:sz w:val="24"/>
        </w:rPr>
        <w:t>time</w:t>
      </w:r>
      <w:r>
        <w:rPr>
          <w:b/>
          <w:spacing w:val="-1"/>
          <w:sz w:val="24"/>
        </w:rPr>
        <w:t> </w:t>
      </w:r>
      <w:r>
        <w:rPr>
          <w:b/>
          <w:sz w:val="24"/>
        </w:rPr>
        <w:t>for</w:t>
      </w:r>
      <w:r>
        <w:rPr>
          <w:b/>
          <w:spacing w:val="-1"/>
          <w:sz w:val="24"/>
        </w:rPr>
        <w:t> </w:t>
      </w:r>
      <w:r>
        <w:rPr>
          <w:b/>
          <w:spacing w:val="-2"/>
          <w:sz w:val="24"/>
        </w:rPr>
        <w:t>colourdevelopment</w:t>
      </w:r>
    </w:p>
    <w:p>
      <w:pPr>
        <w:pStyle w:val="BodyText"/>
        <w:spacing w:before="26"/>
        <w:rPr>
          <w:b/>
          <w:sz w:val="20"/>
        </w:rPr>
      </w:pPr>
      <w:r>
        <w:rPr/>
        <w:drawing>
          <wp:anchor distT="0" distB="0" distL="0" distR="0" allowOverlap="1" layoutInCell="1" locked="0" behindDoc="1" simplePos="0" relativeHeight="487626240">
            <wp:simplePos x="0" y="0"/>
            <wp:positionH relativeFrom="page">
              <wp:posOffset>914400</wp:posOffset>
            </wp:positionH>
            <wp:positionV relativeFrom="paragraph">
              <wp:posOffset>177814</wp:posOffset>
            </wp:positionV>
            <wp:extent cx="5490822" cy="7220807"/>
            <wp:effectExtent l="0" t="0" r="0" b="0"/>
            <wp:wrapTopAndBottom/>
            <wp:docPr id="191" name="Image 191" descr="Description: C:\Users\HP-PC\Desktop\SCANNED DOCUMENTS\copy 12.jpg"/>
            <wp:cNvGraphicFramePr>
              <a:graphicFrameLocks/>
            </wp:cNvGraphicFramePr>
            <a:graphic>
              <a:graphicData uri="http://schemas.openxmlformats.org/drawingml/2006/picture">
                <pic:pic>
                  <pic:nvPicPr>
                    <pic:cNvPr id="191" name="Image 191" descr="Description: C:\Users\HP-PC\Desktop\SCANNED DOCUMENTS\copy 12.jpg"/>
                    <pic:cNvPicPr/>
                  </pic:nvPicPr>
                  <pic:blipFill>
                    <a:blip r:embed="rId39" cstate="print"/>
                    <a:stretch>
                      <a:fillRect/>
                    </a:stretch>
                  </pic:blipFill>
                  <pic:spPr>
                    <a:xfrm>
                      <a:off x="0" y="0"/>
                      <a:ext cx="5490822" cy="7220807"/>
                    </a:xfrm>
                    <a:prstGeom prst="rect">
                      <a:avLst/>
                    </a:prstGeom>
                  </pic:spPr>
                </pic:pic>
              </a:graphicData>
            </a:graphic>
          </wp:anchor>
        </w:drawing>
      </w:r>
    </w:p>
    <w:p>
      <w:pPr>
        <w:spacing w:after="0"/>
        <w:rPr>
          <w:sz w:val="20"/>
        </w:rPr>
        <w:sectPr>
          <w:pgSz w:w="12240" w:h="15840"/>
          <w:pgMar w:header="0" w:footer="1015" w:top="1360" w:bottom="1200" w:left="240" w:right="0"/>
        </w:sectPr>
      </w:pPr>
    </w:p>
    <w:p>
      <w:pPr>
        <w:spacing w:before="76"/>
        <w:ind w:left="1255" w:right="1491" w:firstLine="0"/>
        <w:jc w:val="center"/>
        <w:rPr>
          <w:b/>
          <w:sz w:val="24"/>
        </w:rPr>
      </w:pPr>
      <w:r>
        <w:rPr>
          <w:b/>
          <w:sz w:val="24"/>
        </w:rPr>
        <w:t>Appendix</w:t>
      </w:r>
      <w:r>
        <w:rPr>
          <w:b/>
          <w:spacing w:val="-1"/>
          <w:sz w:val="24"/>
        </w:rPr>
        <w:t> </w:t>
      </w:r>
      <w:r>
        <w:rPr>
          <w:b/>
          <w:sz w:val="24"/>
        </w:rPr>
        <w:t>IX:</w:t>
      </w:r>
      <w:r>
        <w:rPr>
          <w:b/>
          <w:spacing w:val="-1"/>
          <w:sz w:val="24"/>
        </w:rPr>
        <w:t> </w:t>
      </w:r>
      <w:r>
        <w:rPr>
          <w:b/>
          <w:sz w:val="24"/>
        </w:rPr>
        <w:t>Calculation</w:t>
      </w:r>
      <w:r>
        <w:rPr>
          <w:b/>
          <w:spacing w:val="-1"/>
          <w:sz w:val="24"/>
        </w:rPr>
        <w:t> </w:t>
      </w:r>
      <w:r>
        <w:rPr>
          <w:b/>
          <w:sz w:val="24"/>
        </w:rPr>
        <w:t>on</w:t>
      </w:r>
      <w:r>
        <w:rPr>
          <w:b/>
          <w:spacing w:val="-1"/>
          <w:sz w:val="24"/>
        </w:rPr>
        <w:t> </w:t>
      </w:r>
      <w:r>
        <w:rPr>
          <w:b/>
          <w:spacing w:val="-2"/>
          <w:sz w:val="24"/>
        </w:rPr>
        <w:t>precision</w:t>
      </w:r>
    </w:p>
    <w:p>
      <w:pPr>
        <w:spacing w:before="172"/>
        <w:ind w:left="1254" w:right="1494" w:firstLine="0"/>
        <w:jc w:val="center"/>
        <w:rPr>
          <w:sz w:val="18"/>
        </w:rPr>
      </w:pPr>
      <w:r>
        <w:rPr>
          <w:sz w:val="18"/>
        </w:rPr>
        <w:t>METHOD</w:t>
      </w:r>
      <w:r>
        <w:rPr>
          <w:spacing w:val="-5"/>
          <w:sz w:val="18"/>
        </w:rPr>
        <w:t> </w:t>
      </w:r>
      <w:r>
        <w:rPr>
          <w:spacing w:val="-10"/>
          <w:sz w:val="18"/>
        </w:rPr>
        <w:t>1</w:t>
      </w:r>
    </w:p>
    <w:p>
      <w:pPr>
        <w:pStyle w:val="BodyText"/>
        <w:rPr>
          <w:sz w:val="20"/>
        </w:rPr>
      </w:pPr>
    </w:p>
    <w:p>
      <w:pPr>
        <w:pStyle w:val="BodyText"/>
        <w:spacing w:before="99"/>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079"/>
        <w:gridCol w:w="724"/>
        <w:gridCol w:w="1051"/>
        <w:gridCol w:w="582"/>
        <w:gridCol w:w="1052"/>
        <w:gridCol w:w="580"/>
        <w:gridCol w:w="1052"/>
        <w:gridCol w:w="579"/>
        <w:gridCol w:w="1052"/>
        <w:gridCol w:w="581"/>
        <w:gridCol w:w="1049"/>
        <w:gridCol w:w="1133"/>
      </w:tblGrid>
      <w:tr>
        <w:trPr>
          <w:trHeight w:val="208" w:hRule="atLeast"/>
        </w:trPr>
        <w:tc>
          <w:tcPr>
            <w:tcW w:w="11594" w:type="dxa"/>
            <w:gridSpan w:val="13"/>
          </w:tcPr>
          <w:p>
            <w:pPr>
              <w:pStyle w:val="TableParagraph"/>
              <w:spacing w:line="188" w:lineRule="exact"/>
              <w:ind w:left="3396"/>
              <w:rPr>
                <w:sz w:val="18"/>
              </w:rPr>
            </w:pPr>
            <w:r>
              <w:rPr>
                <w:sz w:val="18"/>
              </w:rPr>
              <w:t>INTRA</w:t>
            </w:r>
            <w:r>
              <w:rPr>
                <w:spacing w:val="-5"/>
                <w:sz w:val="18"/>
              </w:rPr>
              <w:t> </w:t>
            </w:r>
            <w:r>
              <w:rPr>
                <w:sz w:val="18"/>
              </w:rPr>
              <w:t>DAY</w:t>
            </w:r>
            <w:r>
              <w:rPr>
                <w:spacing w:val="-2"/>
                <w:sz w:val="18"/>
              </w:rPr>
              <w:t> </w:t>
            </w:r>
            <w:r>
              <w:rPr>
                <w:sz w:val="18"/>
              </w:rPr>
              <w:t>FOR</w:t>
            </w:r>
            <w:r>
              <w:rPr>
                <w:spacing w:val="-1"/>
                <w:sz w:val="18"/>
              </w:rPr>
              <w:t> </w:t>
            </w:r>
            <w:r>
              <w:rPr>
                <w:sz w:val="18"/>
              </w:rPr>
              <w:t>METHOD</w:t>
            </w:r>
            <w:r>
              <w:rPr>
                <w:spacing w:val="-1"/>
                <w:sz w:val="18"/>
              </w:rPr>
              <w:t> </w:t>
            </w:r>
            <w:r>
              <w:rPr>
                <w:spacing w:val="-10"/>
                <w:sz w:val="18"/>
              </w:rPr>
              <w:t>1</w:t>
            </w:r>
          </w:p>
        </w:tc>
      </w:tr>
      <w:tr>
        <w:trPr>
          <w:trHeight w:val="412" w:hRule="atLeast"/>
        </w:trPr>
        <w:tc>
          <w:tcPr>
            <w:tcW w:w="2159" w:type="dxa"/>
            <w:gridSpan w:val="2"/>
          </w:tcPr>
          <w:p>
            <w:pPr>
              <w:pStyle w:val="TableParagraph"/>
              <w:spacing w:line="202" w:lineRule="exact"/>
              <w:ind w:left="107"/>
              <w:rPr>
                <w:sz w:val="18"/>
              </w:rPr>
            </w:pPr>
            <w:r>
              <w:rPr>
                <w:sz w:val="18"/>
              </w:rPr>
              <w:t>0</w:t>
            </w:r>
            <w:r>
              <w:rPr>
                <w:spacing w:val="1"/>
                <w:sz w:val="18"/>
              </w:rPr>
              <w:t> </w:t>
            </w:r>
            <w:r>
              <w:rPr>
                <w:spacing w:val="-2"/>
                <w:sz w:val="18"/>
              </w:rPr>
              <w:t>(hrs)</w:t>
            </w:r>
          </w:p>
        </w:tc>
        <w:tc>
          <w:tcPr>
            <w:tcW w:w="1775" w:type="dxa"/>
            <w:gridSpan w:val="2"/>
          </w:tcPr>
          <w:p>
            <w:pPr>
              <w:pStyle w:val="TableParagraph"/>
              <w:spacing w:line="202" w:lineRule="exact"/>
              <w:ind w:left="109"/>
              <w:rPr>
                <w:sz w:val="18"/>
              </w:rPr>
            </w:pPr>
            <w:r>
              <w:rPr>
                <w:sz w:val="18"/>
              </w:rPr>
              <w:t>1</w:t>
            </w:r>
            <w:r>
              <w:rPr>
                <w:spacing w:val="1"/>
                <w:sz w:val="18"/>
              </w:rPr>
              <w:t> </w:t>
            </w:r>
            <w:r>
              <w:rPr>
                <w:spacing w:val="-2"/>
                <w:sz w:val="18"/>
              </w:rPr>
              <w:t>(hrs)</w:t>
            </w:r>
          </w:p>
        </w:tc>
        <w:tc>
          <w:tcPr>
            <w:tcW w:w="1634" w:type="dxa"/>
            <w:gridSpan w:val="2"/>
          </w:tcPr>
          <w:p>
            <w:pPr>
              <w:pStyle w:val="TableParagraph"/>
              <w:spacing w:line="202" w:lineRule="exact"/>
              <w:ind w:left="110"/>
              <w:rPr>
                <w:sz w:val="18"/>
              </w:rPr>
            </w:pPr>
            <w:r>
              <w:rPr>
                <w:sz w:val="18"/>
              </w:rPr>
              <w:t>2</w:t>
            </w:r>
            <w:r>
              <w:rPr>
                <w:spacing w:val="1"/>
                <w:sz w:val="18"/>
              </w:rPr>
              <w:t> </w:t>
            </w:r>
            <w:r>
              <w:rPr>
                <w:spacing w:val="-2"/>
                <w:sz w:val="18"/>
              </w:rPr>
              <w:t>(hrs)</w:t>
            </w:r>
          </w:p>
        </w:tc>
        <w:tc>
          <w:tcPr>
            <w:tcW w:w="1632" w:type="dxa"/>
            <w:gridSpan w:val="2"/>
          </w:tcPr>
          <w:p>
            <w:pPr>
              <w:pStyle w:val="TableParagraph"/>
              <w:spacing w:line="202" w:lineRule="exact"/>
              <w:ind w:left="113"/>
              <w:rPr>
                <w:sz w:val="18"/>
              </w:rPr>
            </w:pPr>
            <w:r>
              <w:rPr>
                <w:sz w:val="18"/>
              </w:rPr>
              <w:t>3</w:t>
            </w:r>
            <w:r>
              <w:rPr>
                <w:spacing w:val="1"/>
                <w:sz w:val="18"/>
              </w:rPr>
              <w:t> </w:t>
            </w:r>
            <w:r>
              <w:rPr>
                <w:spacing w:val="-2"/>
                <w:sz w:val="18"/>
              </w:rPr>
              <w:t>(hrs)</w:t>
            </w:r>
          </w:p>
        </w:tc>
        <w:tc>
          <w:tcPr>
            <w:tcW w:w="1631" w:type="dxa"/>
            <w:gridSpan w:val="2"/>
          </w:tcPr>
          <w:p>
            <w:pPr>
              <w:pStyle w:val="TableParagraph"/>
              <w:spacing w:line="202" w:lineRule="exact"/>
              <w:ind w:left="116"/>
              <w:rPr>
                <w:sz w:val="18"/>
              </w:rPr>
            </w:pPr>
            <w:r>
              <w:rPr>
                <w:sz w:val="18"/>
              </w:rPr>
              <w:t>4</w:t>
            </w:r>
            <w:r>
              <w:rPr>
                <w:spacing w:val="1"/>
                <w:sz w:val="18"/>
              </w:rPr>
              <w:t> </w:t>
            </w:r>
            <w:r>
              <w:rPr>
                <w:spacing w:val="-2"/>
                <w:sz w:val="18"/>
              </w:rPr>
              <w:t>(hrs)</w:t>
            </w:r>
          </w:p>
        </w:tc>
        <w:tc>
          <w:tcPr>
            <w:tcW w:w="1630" w:type="dxa"/>
            <w:gridSpan w:val="2"/>
          </w:tcPr>
          <w:p>
            <w:pPr>
              <w:pStyle w:val="TableParagraph"/>
              <w:spacing w:line="202" w:lineRule="exact"/>
              <w:ind w:left="120"/>
              <w:rPr>
                <w:sz w:val="18"/>
              </w:rPr>
            </w:pPr>
            <w:r>
              <w:rPr>
                <w:sz w:val="18"/>
              </w:rPr>
              <w:t>5</w:t>
            </w:r>
            <w:r>
              <w:rPr>
                <w:spacing w:val="1"/>
                <w:sz w:val="18"/>
              </w:rPr>
              <w:t> </w:t>
            </w:r>
            <w:r>
              <w:rPr>
                <w:spacing w:val="-2"/>
                <w:sz w:val="18"/>
              </w:rPr>
              <w:t>(hrs)</w:t>
            </w:r>
          </w:p>
        </w:tc>
        <w:tc>
          <w:tcPr>
            <w:tcW w:w="1133" w:type="dxa"/>
          </w:tcPr>
          <w:p>
            <w:pPr>
              <w:pStyle w:val="TableParagraph"/>
              <w:spacing w:line="202" w:lineRule="exact"/>
              <w:ind w:left="124"/>
              <w:rPr>
                <w:sz w:val="18"/>
              </w:rPr>
            </w:pPr>
            <w:r>
              <w:rPr>
                <w:spacing w:val="-4"/>
                <w:sz w:val="18"/>
              </w:rPr>
              <w:t>TOTAL</w:t>
            </w:r>
          </w:p>
          <w:p>
            <w:pPr>
              <w:pStyle w:val="TableParagraph"/>
              <w:spacing w:line="191" w:lineRule="exact"/>
              <w:ind w:left="124"/>
              <w:rPr>
                <w:sz w:val="18"/>
              </w:rPr>
            </w:pPr>
            <w:r>
              <w:rPr>
                <w:spacing w:val="-4"/>
                <w:sz w:val="18"/>
              </w:rPr>
              <w:t>MEAN</w:t>
            </w:r>
          </w:p>
        </w:tc>
      </w:tr>
      <w:tr>
        <w:trPr>
          <w:trHeight w:val="208" w:hRule="atLeast"/>
        </w:trPr>
        <w:tc>
          <w:tcPr>
            <w:tcW w:w="1080" w:type="dxa"/>
          </w:tcPr>
          <w:p>
            <w:pPr>
              <w:pStyle w:val="TableParagraph"/>
              <w:spacing w:line="188" w:lineRule="exact"/>
              <w:ind w:left="107"/>
              <w:rPr>
                <w:sz w:val="18"/>
              </w:rPr>
            </w:pPr>
            <w:r>
              <w:rPr>
                <w:spacing w:val="-4"/>
                <w:sz w:val="18"/>
              </w:rPr>
              <w:t>Cyc.</w:t>
            </w:r>
          </w:p>
        </w:tc>
        <w:tc>
          <w:tcPr>
            <w:tcW w:w="1079" w:type="dxa"/>
          </w:tcPr>
          <w:p>
            <w:pPr>
              <w:pStyle w:val="TableParagraph"/>
              <w:spacing w:line="188" w:lineRule="exact"/>
              <w:ind w:left="108"/>
              <w:rPr>
                <w:sz w:val="18"/>
              </w:rPr>
            </w:pPr>
            <w:r>
              <w:rPr>
                <w:spacing w:val="-4"/>
                <w:sz w:val="18"/>
              </w:rPr>
              <w:t>Abs.</w:t>
            </w:r>
          </w:p>
        </w:tc>
        <w:tc>
          <w:tcPr>
            <w:tcW w:w="724" w:type="dxa"/>
          </w:tcPr>
          <w:p>
            <w:pPr>
              <w:pStyle w:val="TableParagraph"/>
              <w:spacing w:line="188" w:lineRule="exact"/>
              <w:ind w:left="109"/>
              <w:rPr>
                <w:sz w:val="18"/>
              </w:rPr>
            </w:pPr>
            <w:r>
              <w:rPr>
                <w:spacing w:val="-4"/>
                <w:sz w:val="18"/>
              </w:rPr>
              <w:t>Cyc.</w:t>
            </w:r>
          </w:p>
        </w:tc>
        <w:tc>
          <w:tcPr>
            <w:tcW w:w="1051" w:type="dxa"/>
          </w:tcPr>
          <w:p>
            <w:pPr>
              <w:pStyle w:val="TableParagraph"/>
              <w:spacing w:line="188" w:lineRule="exact"/>
              <w:ind w:left="110"/>
              <w:rPr>
                <w:sz w:val="18"/>
              </w:rPr>
            </w:pPr>
            <w:r>
              <w:rPr>
                <w:spacing w:val="-4"/>
                <w:sz w:val="18"/>
              </w:rPr>
              <w:t>Abs.</w:t>
            </w:r>
          </w:p>
        </w:tc>
        <w:tc>
          <w:tcPr>
            <w:tcW w:w="582" w:type="dxa"/>
          </w:tcPr>
          <w:p>
            <w:pPr>
              <w:pStyle w:val="TableParagraph"/>
              <w:spacing w:line="188" w:lineRule="exact"/>
              <w:ind w:left="110"/>
              <w:rPr>
                <w:sz w:val="18"/>
              </w:rPr>
            </w:pPr>
            <w:r>
              <w:rPr>
                <w:spacing w:val="-4"/>
                <w:sz w:val="18"/>
              </w:rPr>
              <w:t>Cyc.</w:t>
            </w:r>
          </w:p>
        </w:tc>
        <w:tc>
          <w:tcPr>
            <w:tcW w:w="1052" w:type="dxa"/>
          </w:tcPr>
          <w:p>
            <w:pPr>
              <w:pStyle w:val="TableParagraph"/>
              <w:spacing w:line="188" w:lineRule="exact"/>
              <w:ind w:left="112"/>
              <w:rPr>
                <w:sz w:val="18"/>
              </w:rPr>
            </w:pPr>
            <w:r>
              <w:rPr>
                <w:spacing w:val="-4"/>
                <w:sz w:val="18"/>
              </w:rPr>
              <w:t>Abs.</w:t>
            </w:r>
          </w:p>
        </w:tc>
        <w:tc>
          <w:tcPr>
            <w:tcW w:w="580" w:type="dxa"/>
          </w:tcPr>
          <w:p>
            <w:pPr>
              <w:pStyle w:val="TableParagraph"/>
              <w:spacing w:line="188" w:lineRule="exact"/>
              <w:ind w:left="113"/>
              <w:rPr>
                <w:sz w:val="18"/>
              </w:rPr>
            </w:pPr>
            <w:r>
              <w:rPr>
                <w:spacing w:val="-4"/>
                <w:sz w:val="18"/>
              </w:rPr>
              <w:t>Cyc.</w:t>
            </w:r>
          </w:p>
        </w:tc>
        <w:tc>
          <w:tcPr>
            <w:tcW w:w="1052" w:type="dxa"/>
          </w:tcPr>
          <w:p>
            <w:pPr>
              <w:pStyle w:val="TableParagraph"/>
              <w:spacing w:line="188" w:lineRule="exact"/>
              <w:ind w:left="114"/>
              <w:rPr>
                <w:sz w:val="18"/>
              </w:rPr>
            </w:pPr>
            <w:r>
              <w:rPr>
                <w:spacing w:val="-4"/>
                <w:sz w:val="18"/>
              </w:rPr>
              <w:t>Abs.</w:t>
            </w:r>
          </w:p>
        </w:tc>
        <w:tc>
          <w:tcPr>
            <w:tcW w:w="579" w:type="dxa"/>
          </w:tcPr>
          <w:p>
            <w:pPr>
              <w:pStyle w:val="TableParagraph"/>
              <w:spacing w:line="188" w:lineRule="exact"/>
              <w:ind w:left="116"/>
              <w:rPr>
                <w:sz w:val="18"/>
              </w:rPr>
            </w:pPr>
            <w:r>
              <w:rPr>
                <w:spacing w:val="-4"/>
                <w:sz w:val="18"/>
              </w:rPr>
              <w:t>Cyc.</w:t>
            </w:r>
          </w:p>
        </w:tc>
        <w:tc>
          <w:tcPr>
            <w:tcW w:w="1052" w:type="dxa"/>
          </w:tcPr>
          <w:p>
            <w:pPr>
              <w:pStyle w:val="TableParagraph"/>
              <w:spacing w:line="188" w:lineRule="exact"/>
              <w:ind w:left="118"/>
              <w:rPr>
                <w:sz w:val="18"/>
              </w:rPr>
            </w:pPr>
            <w:r>
              <w:rPr>
                <w:spacing w:val="-4"/>
                <w:sz w:val="18"/>
              </w:rPr>
              <w:t>Abs.</w:t>
            </w:r>
          </w:p>
        </w:tc>
        <w:tc>
          <w:tcPr>
            <w:tcW w:w="581" w:type="dxa"/>
          </w:tcPr>
          <w:p>
            <w:pPr>
              <w:pStyle w:val="TableParagraph"/>
              <w:spacing w:line="188" w:lineRule="exact"/>
              <w:ind w:left="120"/>
              <w:rPr>
                <w:sz w:val="18"/>
              </w:rPr>
            </w:pPr>
            <w:r>
              <w:rPr>
                <w:spacing w:val="-4"/>
                <w:sz w:val="18"/>
              </w:rPr>
              <w:t>Cyc.</w:t>
            </w:r>
          </w:p>
        </w:tc>
        <w:tc>
          <w:tcPr>
            <w:tcW w:w="1049" w:type="dxa"/>
          </w:tcPr>
          <w:p>
            <w:pPr>
              <w:pStyle w:val="TableParagraph"/>
              <w:spacing w:line="188" w:lineRule="exact"/>
              <w:ind w:left="122"/>
              <w:rPr>
                <w:sz w:val="18"/>
              </w:rPr>
            </w:pPr>
            <w:r>
              <w:rPr>
                <w:spacing w:val="-4"/>
                <w:sz w:val="18"/>
              </w:rPr>
              <w:t>Abs.</w:t>
            </w:r>
          </w:p>
        </w:tc>
        <w:tc>
          <w:tcPr>
            <w:tcW w:w="1133" w:type="dxa"/>
          </w:tcPr>
          <w:p>
            <w:pPr>
              <w:pStyle w:val="TableParagraph"/>
              <w:spacing w:line="240" w:lineRule="auto"/>
              <w:rPr>
                <w:sz w:val="14"/>
              </w:rPr>
            </w:pPr>
          </w:p>
        </w:tc>
      </w:tr>
      <w:tr>
        <w:trPr>
          <w:trHeight w:val="205" w:hRule="atLeast"/>
        </w:trPr>
        <w:tc>
          <w:tcPr>
            <w:tcW w:w="1080" w:type="dxa"/>
          </w:tcPr>
          <w:p>
            <w:pPr>
              <w:pStyle w:val="TableParagraph"/>
              <w:ind w:left="107"/>
              <w:rPr>
                <w:sz w:val="18"/>
              </w:rPr>
            </w:pPr>
            <w:r>
              <w:rPr>
                <w:spacing w:val="-10"/>
                <w:sz w:val="18"/>
              </w:rPr>
              <w:t>1</w:t>
            </w:r>
          </w:p>
        </w:tc>
        <w:tc>
          <w:tcPr>
            <w:tcW w:w="1079" w:type="dxa"/>
          </w:tcPr>
          <w:p>
            <w:pPr>
              <w:pStyle w:val="TableParagraph"/>
              <w:ind w:left="108"/>
              <w:rPr>
                <w:sz w:val="18"/>
              </w:rPr>
            </w:pPr>
            <w:r>
              <w:rPr>
                <w:spacing w:val="-2"/>
                <w:sz w:val="18"/>
              </w:rPr>
              <w:t>0.186</w:t>
            </w:r>
          </w:p>
        </w:tc>
        <w:tc>
          <w:tcPr>
            <w:tcW w:w="724" w:type="dxa"/>
          </w:tcPr>
          <w:p>
            <w:pPr>
              <w:pStyle w:val="TableParagraph"/>
              <w:ind w:left="109"/>
              <w:rPr>
                <w:sz w:val="18"/>
              </w:rPr>
            </w:pPr>
            <w:r>
              <w:rPr>
                <w:spacing w:val="-10"/>
                <w:sz w:val="18"/>
              </w:rPr>
              <w:t>1</w:t>
            </w:r>
          </w:p>
        </w:tc>
        <w:tc>
          <w:tcPr>
            <w:tcW w:w="1051" w:type="dxa"/>
          </w:tcPr>
          <w:p>
            <w:pPr>
              <w:pStyle w:val="TableParagraph"/>
              <w:ind w:left="110"/>
              <w:rPr>
                <w:sz w:val="18"/>
              </w:rPr>
            </w:pPr>
            <w:r>
              <w:rPr>
                <w:spacing w:val="-2"/>
                <w:sz w:val="18"/>
              </w:rPr>
              <w:t>0.184</w:t>
            </w:r>
          </w:p>
        </w:tc>
        <w:tc>
          <w:tcPr>
            <w:tcW w:w="582" w:type="dxa"/>
          </w:tcPr>
          <w:p>
            <w:pPr>
              <w:pStyle w:val="TableParagraph"/>
              <w:ind w:left="110"/>
              <w:rPr>
                <w:sz w:val="18"/>
              </w:rPr>
            </w:pPr>
            <w:r>
              <w:rPr>
                <w:spacing w:val="-10"/>
                <w:sz w:val="18"/>
              </w:rPr>
              <w:t>1</w:t>
            </w:r>
          </w:p>
        </w:tc>
        <w:tc>
          <w:tcPr>
            <w:tcW w:w="1052" w:type="dxa"/>
          </w:tcPr>
          <w:p>
            <w:pPr>
              <w:pStyle w:val="TableParagraph"/>
              <w:ind w:left="112"/>
              <w:rPr>
                <w:sz w:val="18"/>
              </w:rPr>
            </w:pPr>
            <w:r>
              <w:rPr>
                <w:spacing w:val="-2"/>
                <w:sz w:val="18"/>
              </w:rPr>
              <w:t>0.184</w:t>
            </w:r>
          </w:p>
        </w:tc>
        <w:tc>
          <w:tcPr>
            <w:tcW w:w="580" w:type="dxa"/>
          </w:tcPr>
          <w:p>
            <w:pPr>
              <w:pStyle w:val="TableParagraph"/>
              <w:ind w:left="113"/>
              <w:rPr>
                <w:sz w:val="18"/>
              </w:rPr>
            </w:pPr>
            <w:r>
              <w:rPr>
                <w:spacing w:val="-10"/>
                <w:sz w:val="18"/>
              </w:rPr>
              <w:t>1</w:t>
            </w:r>
          </w:p>
        </w:tc>
        <w:tc>
          <w:tcPr>
            <w:tcW w:w="1052" w:type="dxa"/>
          </w:tcPr>
          <w:p>
            <w:pPr>
              <w:pStyle w:val="TableParagraph"/>
              <w:ind w:left="114"/>
              <w:rPr>
                <w:sz w:val="18"/>
              </w:rPr>
            </w:pPr>
            <w:r>
              <w:rPr>
                <w:spacing w:val="-2"/>
                <w:sz w:val="18"/>
              </w:rPr>
              <w:t>0.184</w:t>
            </w:r>
          </w:p>
        </w:tc>
        <w:tc>
          <w:tcPr>
            <w:tcW w:w="579" w:type="dxa"/>
          </w:tcPr>
          <w:p>
            <w:pPr>
              <w:pStyle w:val="TableParagraph"/>
              <w:ind w:left="116"/>
              <w:rPr>
                <w:sz w:val="18"/>
              </w:rPr>
            </w:pPr>
            <w:r>
              <w:rPr>
                <w:spacing w:val="-10"/>
                <w:sz w:val="18"/>
              </w:rPr>
              <w:t>1</w:t>
            </w:r>
          </w:p>
        </w:tc>
        <w:tc>
          <w:tcPr>
            <w:tcW w:w="1052" w:type="dxa"/>
          </w:tcPr>
          <w:p>
            <w:pPr>
              <w:pStyle w:val="TableParagraph"/>
              <w:ind w:left="118"/>
              <w:rPr>
                <w:sz w:val="18"/>
              </w:rPr>
            </w:pPr>
            <w:r>
              <w:rPr>
                <w:spacing w:val="-2"/>
                <w:sz w:val="18"/>
              </w:rPr>
              <w:t>0.184</w:t>
            </w:r>
          </w:p>
        </w:tc>
        <w:tc>
          <w:tcPr>
            <w:tcW w:w="581" w:type="dxa"/>
          </w:tcPr>
          <w:p>
            <w:pPr>
              <w:pStyle w:val="TableParagraph"/>
              <w:ind w:left="120"/>
              <w:rPr>
                <w:sz w:val="18"/>
              </w:rPr>
            </w:pPr>
            <w:r>
              <w:rPr>
                <w:spacing w:val="-10"/>
                <w:sz w:val="18"/>
              </w:rPr>
              <w:t>1</w:t>
            </w:r>
          </w:p>
        </w:tc>
        <w:tc>
          <w:tcPr>
            <w:tcW w:w="1049" w:type="dxa"/>
          </w:tcPr>
          <w:p>
            <w:pPr>
              <w:pStyle w:val="TableParagraph"/>
              <w:ind w:left="122"/>
              <w:rPr>
                <w:sz w:val="18"/>
              </w:rPr>
            </w:pPr>
            <w:r>
              <w:rPr>
                <w:spacing w:val="-2"/>
                <w:sz w:val="18"/>
              </w:rPr>
              <w:t>0.186</w:t>
            </w:r>
          </w:p>
        </w:tc>
        <w:tc>
          <w:tcPr>
            <w:tcW w:w="1133" w:type="dxa"/>
          </w:tcPr>
          <w:p>
            <w:pPr>
              <w:pStyle w:val="TableParagraph"/>
              <w:spacing w:line="240" w:lineRule="auto"/>
              <w:rPr>
                <w:sz w:val="14"/>
              </w:rPr>
            </w:pPr>
          </w:p>
        </w:tc>
      </w:tr>
      <w:tr>
        <w:trPr>
          <w:trHeight w:val="208" w:hRule="atLeast"/>
        </w:trPr>
        <w:tc>
          <w:tcPr>
            <w:tcW w:w="1080" w:type="dxa"/>
          </w:tcPr>
          <w:p>
            <w:pPr>
              <w:pStyle w:val="TableParagraph"/>
              <w:spacing w:line="188" w:lineRule="exact"/>
              <w:ind w:left="107"/>
              <w:rPr>
                <w:sz w:val="18"/>
              </w:rPr>
            </w:pPr>
            <w:r>
              <w:rPr>
                <w:spacing w:val="-10"/>
                <w:sz w:val="18"/>
              </w:rPr>
              <w:t>2</w:t>
            </w:r>
          </w:p>
        </w:tc>
        <w:tc>
          <w:tcPr>
            <w:tcW w:w="1079" w:type="dxa"/>
          </w:tcPr>
          <w:p>
            <w:pPr>
              <w:pStyle w:val="TableParagraph"/>
              <w:spacing w:line="188" w:lineRule="exact"/>
              <w:ind w:left="108"/>
              <w:rPr>
                <w:sz w:val="18"/>
              </w:rPr>
            </w:pPr>
            <w:r>
              <w:rPr>
                <w:spacing w:val="-2"/>
                <w:sz w:val="18"/>
              </w:rPr>
              <w:t>0.187</w:t>
            </w:r>
          </w:p>
        </w:tc>
        <w:tc>
          <w:tcPr>
            <w:tcW w:w="724" w:type="dxa"/>
          </w:tcPr>
          <w:p>
            <w:pPr>
              <w:pStyle w:val="TableParagraph"/>
              <w:spacing w:line="188" w:lineRule="exact"/>
              <w:ind w:left="109"/>
              <w:rPr>
                <w:sz w:val="18"/>
              </w:rPr>
            </w:pPr>
            <w:r>
              <w:rPr>
                <w:spacing w:val="-10"/>
                <w:sz w:val="18"/>
              </w:rPr>
              <w:t>2</w:t>
            </w:r>
          </w:p>
        </w:tc>
        <w:tc>
          <w:tcPr>
            <w:tcW w:w="1051" w:type="dxa"/>
          </w:tcPr>
          <w:p>
            <w:pPr>
              <w:pStyle w:val="TableParagraph"/>
              <w:spacing w:line="188" w:lineRule="exact"/>
              <w:ind w:left="110"/>
              <w:rPr>
                <w:sz w:val="18"/>
              </w:rPr>
            </w:pPr>
            <w:r>
              <w:rPr>
                <w:spacing w:val="-2"/>
                <w:sz w:val="18"/>
              </w:rPr>
              <w:t>0.182</w:t>
            </w:r>
          </w:p>
        </w:tc>
        <w:tc>
          <w:tcPr>
            <w:tcW w:w="582" w:type="dxa"/>
          </w:tcPr>
          <w:p>
            <w:pPr>
              <w:pStyle w:val="TableParagraph"/>
              <w:spacing w:line="188" w:lineRule="exact"/>
              <w:ind w:left="110"/>
              <w:rPr>
                <w:sz w:val="18"/>
              </w:rPr>
            </w:pPr>
            <w:r>
              <w:rPr>
                <w:spacing w:val="-10"/>
                <w:sz w:val="18"/>
              </w:rPr>
              <w:t>2</w:t>
            </w:r>
          </w:p>
        </w:tc>
        <w:tc>
          <w:tcPr>
            <w:tcW w:w="1052" w:type="dxa"/>
          </w:tcPr>
          <w:p>
            <w:pPr>
              <w:pStyle w:val="TableParagraph"/>
              <w:spacing w:line="188" w:lineRule="exact"/>
              <w:ind w:left="112"/>
              <w:rPr>
                <w:sz w:val="18"/>
              </w:rPr>
            </w:pPr>
            <w:r>
              <w:rPr>
                <w:spacing w:val="-2"/>
                <w:sz w:val="18"/>
              </w:rPr>
              <w:t>0.183</w:t>
            </w:r>
          </w:p>
        </w:tc>
        <w:tc>
          <w:tcPr>
            <w:tcW w:w="580" w:type="dxa"/>
          </w:tcPr>
          <w:p>
            <w:pPr>
              <w:pStyle w:val="TableParagraph"/>
              <w:spacing w:line="188" w:lineRule="exact"/>
              <w:ind w:left="113"/>
              <w:rPr>
                <w:sz w:val="18"/>
              </w:rPr>
            </w:pPr>
            <w:r>
              <w:rPr>
                <w:spacing w:val="-10"/>
                <w:sz w:val="18"/>
              </w:rPr>
              <w:t>2</w:t>
            </w:r>
          </w:p>
        </w:tc>
        <w:tc>
          <w:tcPr>
            <w:tcW w:w="1052" w:type="dxa"/>
          </w:tcPr>
          <w:p>
            <w:pPr>
              <w:pStyle w:val="TableParagraph"/>
              <w:spacing w:line="188" w:lineRule="exact"/>
              <w:ind w:left="114"/>
              <w:rPr>
                <w:sz w:val="18"/>
              </w:rPr>
            </w:pPr>
            <w:r>
              <w:rPr>
                <w:spacing w:val="-2"/>
                <w:sz w:val="18"/>
              </w:rPr>
              <w:t>0.183</w:t>
            </w:r>
          </w:p>
        </w:tc>
        <w:tc>
          <w:tcPr>
            <w:tcW w:w="579" w:type="dxa"/>
          </w:tcPr>
          <w:p>
            <w:pPr>
              <w:pStyle w:val="TableParagraph"/>
              <w:spacing w:line="188" w:lineRule="exact"/>
              <w:ind w:left="116"/>
              <w:rPr>
                <w:sz w:val="18"/>
              </w:rPr>
            </w:pPr>
            <w:r>
              <w:rPr>
                <w:spacing w:val="-10"/>
                <w:sz w:val="18"/>
              </w:rPr>
              <w:t>2</w:t>
            </w:r>
          </w:p>
        </w:tc>
        <w:tc>
          <w:tcPr>
            <w:tcW w:w="1052" w:type="dxa"/>
          </w:tcPr>
          <w:p>
            <w:pPr>
              <w:pStyle w:val="TableParagraph"/>
              <w:spacing w:line="188" w:lineRule="exact"/>
              <w:ind w:left="118"/>
              <w:rPr>
                <w:sz w:val="18"/>
              </w:rPr>
            </w:pPr>
            <w:r>
              <w:rPr>
                <w:spacing w:val="-2"/>
                <w:sz w:val="18"/>
              </w:rPr>
              <w:t>0.182</w:t>
            </w:r>
          </w:p>
        </w:tc>
        <w:tc>
          <w:tcPr>
            <w:tcW w:w="581" w:type="dxa"/>
          </w:tcPr>
          <w:p>
            <w:pPr>
              <w:pStyle w:val="TableParagraph"/>
              <w:spacing w:line="188" w:lineRule="exact"/>
              <w:ind w:left="120"/>
              <w:rPr>
                <w:sz w:val="18"/>
              </w:rPr>
            </w:pPr>
            <w:r>
              <w:rPr>
                <w:spacing w:val="-10"/>
                <w:sz w:val="18"/>
              </w:rPr>
              <w:t>2</w:t>
            </w:r>
          </w:p>
        </w:tc>
        <w:tc>
          <w:tcPr>
            <w:tcW w:w="1049" w:type="dxa"/>
          </w:tcPr>
          <w:p>
            <w:pPr>
              <w:pStyle w:val="TableParagraph"/>
              <w:spacing w:line="188" w:lineRule="exact"/>
              <w:ind w:left="122"/>
              <w:rPr>
                <w:sz w:val="18"/>
              </w:rPr>
            </w:pPr>
            <w:r>
              <w:rPr>
                <w:spacing w:val="-2"/>
                <w:sz w:val="18"/>
              </w:rPr>
              <w:t>0.187</w:t>
            </w:r>
          </w:p>
        </w:tc>
        <w:tc>
          <w:tcPr>
            <w:tcW w:w="1133" w:type="dxa"/>
          </w:tcPr>
          <w:p>
            <w:pPr>
              <w:pStyle w:val="TableParagraph"/>
              <w:spacing w:line="240" w:lineRule="auto"/>
              <w:rPr>
                <w:sz w:val="14"/>
              </w:rPr>
            </w:pPr>
          </w:p>
        </w:tc>
      </w:tr>
      <w:tr>
        <w:trPr>
          <w:trHeight w:val="206" w:hRule="atLeast"/>
        </w:trPr>
        <w:tc>
          <w:tcPr>
            <w:tcW w:w="1080" w:type="dxa"/>
          </w:tcPr>
          <w:p>
            <w:pPr>
              <w:pStyle w:val="TableParagraph"/>
              <w:ind w:left="107"/>
              <w:rPr>
                <w:sz w:val="18"/>
              </w:rPr>
            </w:pPr>
            <w:r>
              <w:rPr>
                <w:spacing w:val="-10"/>
                <w:sz w:val="18"/>
              </w:rPr>
              <w:t>3</w:t>
            </w:r>
          </w:p>
        </w:tc>
        <w:tc>
          <w:tcPr>
            <w:tcW w:w="1079" w:type="dxa"/>
          </w:tcPr>
          <w:p>
            <w:pPr>
              <w:pStyle w:val="TableParagraph"/>
              <w:ind w:left="108"/>
              <w:rPr>
                <w:sz w:val="18"/>
              </w:rPr>
            </w:pPr>
            <w:r>
              <w:rPr>
                <w:spacing w:val="-2"/>
                <w:sz w:val="18"/>
              </w:rPr>
              <w:t>0.187</w:t>
            </w:r>
          </w:p>
        </w:tc>
        <w:tc>
          <w:tcPr>
            <w:tcW w:w="724" w:type="dxa"/>
          </w:tcPr>
          <w:p>
            <w:pPr>
              <w:pStyle w:val="TableParagraph"/>
              <w:ind w:left="109"/>
              <w:rPr>
                <w:sz w:val="18"/>
              </w:rPr>
            </w:pPr>
            <w:r>
              <w:rPr>
                <w:spacing w:val="-10"/>
                <w:sz w:val="18"/>
              </w:rPr>
              <w:t>3</w:t>
            </w:r>
          </w:p>
        </w:tc>
        <w:tc>
          <w:tcPr>
            <w:tcW w:w="1051" w:type="dxa"/>
          </w:tcPr>
          <w:p>
            <w:pPr>
              <w:pStyle w:val="TableParagraph"/>
              <w:ind w:left="110"/>
              <w:rPr>
                <w:sz w:val="18"/>
              </w:rPr>
            </w:pPr>
            <w:r>
              <w:rPr>
                <w:spacing w:val="-2"/>
                <w:sz w:val="18"/>
              </w:rPr>
              <w:t>0.181</w:t>
            </w:r>
          </w:p>
        </w:tc>
        <w:tc>
          <w:tcPr>
            <w:tcW w:w="582" w:type="dxa"/>
          </w:tcPr>
          <w:p>
            <w:pPr>
              <w:pStyle w:val="TableParagraph"/>
              <w:ind w:left="110"/>
              <w:rPr>
                <w:sz w:val="18"/>
              </w:rPr>
            </w:pPr>
            <w:r>
              <w:rPr>
                <w:spacing w:val="-10"/>
                <w:sz w:val="18"/>
              </w:rPr>
              <w:t>3</w:t>
            </w:r>
          </w:p>
        </w:tc>
        <w:tc>
          <w:tcPr>
            <w:tcW w:w="1052" w:type="dxa"/>
          </w:tcPr>
          <w:p>
            <w:pPr>
              <w:pStyle w:val="TableParagraph"/>
              <w:ind w:left="112"/>
              <w:rPr>
                <w:sz w:val="18"/>
              </w:rPr>
            </w:pPr>
            <w:r>
              <w:rPr>
                <w:spacing w:val="-2"/>
                <w:sz w:val="18"/>
              </w:rPr>
              <w:t>0.182</w:t>
            </w:r>
          </w:p>
        </w:tc>
        <w:tc>
          <w:tcPr>
            <w:tcW w:w="580" w:type="dxa"/>
          </w:tcPr>
          <w:p>
            <w:pPr>
              <w:pStyle w:val="TableParagraph"/>
              <w:ind w:left="113"/>
              <w:rPr>
                <w:sz w:val="18"/>
              </w:rPr>
            </w:pPr>
            <w:r>
              <w:rPr>
                <w:spacing w:val="-10"/>
                <w:sz w:val="18"/>
              </w:rPr>
              <w:t>3</w:t>
            </w:r>
          </w:p>
        </w:tc>
        <w:tc>
          <w:tcPr>
            <w:tcW w:w="1052" w:type="dxa"/>
          </w:tcPr>
          <w:p>
            <w:pPr>
              <w:pStyle w:val="TableParagraph"/>
              <w:ind w:left="114"/>
              <w:rPr>
                <w:sz w:val="18"/>
              </w:rPr>
            </w:pPr>
            <w:r>
              <w:rPr>
                <w:spacing w:val="-2"/>
                <w:sz w:val="18"/>
              </w:rPr>
              <w:t>0.181</w:t>
            </w:r>
          </w:p>
        </w:tc>
        <w:tc>
          <w:tcPr>
            <w:tcW w:w="579" w:type="dxa"/>
          </w:tcPr>
          <w:p>
            <w:pPr>
              <w:pStyle w:val="TableParagraph"/>
              <w:ind w:left="116"/>
              <w:rPr>
                <w:sz w:val="18"/>
              </w:rPr>
            </w:pPr>
            <w:r>
              <w:rPr>
                <w:spacing w:val="-10"/>
                <w:sz w:val="18"/>
              </w:rPr>
              <w:t>3</w:t>
            </w:r>
          </w:p>
        </w:tc>
        <w:tc>
          <w:tcPr>
            <w:tcW w:w="1052" w:type="dxa"/>
          </w:tcPr>
          <w:p>
            <w:pPr>
              <w:pStyle w:val="TableParagraph"/>
              <w:ind w:left="118"/>
              <w:rPr>
                <w:sz w:val="18"/>
              </w:rPr>
            </w:pPr>
            <w:r>
              <w:rPr>
                <w:spacing w:val="-2"/>
                <w:sz w:val="18"/>
              </w:rPr>
              <w:t>0.181</w:t>
            </w:r>
          </w:p>
        </w:tc>
        <w:tc>
          <w:tcPr>
            <w:tcW w:w="581" w:type="dxa"/>
          </w:tcPr>
          <w:p>
            <w:pPr>
              <w:pStyle w:val="TableParagraph"/>
              <w:ind w:left="120"/>
              <w:rPr>
                <w:sz w:val="18"/>
              </w:rPr>
            </w:pPr>
            <w:r>
              <w:rPr>
                <w:spacing w:val="-10"/>
                <w:sz w:val="18"/>
              </w:rPr>
              <w:t>3</w:t>
            </w:r>
          </w:p>
        </w:tc>
        <w:tc>
          <w:tcPr>
            <w:tcW w:w="1049" w:type="dxa"/>
          </w:tcPr>
          <w:p>
            <w:pPr>
              <w:pStyle w:val="TableParagraph"/>
              <w:ind w:left="122"/>
              <w:rPr>
                <w:sz w:val="18"/>
              </w:rPr>
            </w:pPr>
            <w:r>
              <w:rPr>
                <w:spacing w:val="-2"/>
                <w:sz w:val="18"/>
              </w:rPr>
              <w:t>0.187</w:t>
            </w:r>
          </w:p>
        </w:tc>
        <w:tc>
          <w:tcPr>
            <w:tcW w:w="1133" w:type="dxa"/>
          </w:tcPr>
          <w:p>
            <w:pPr>
              <w:pStyle w:val="TableParagraph"/>
              <w:spacing w:line="240" w:lineRule="auto"/>
              <w:rPr>
                <w:sz w:val="14"/>
              </w:rPr>
            </w:pPr>
          </w:p>
        </w:tc>
      </w:tr>
      <w:tr>
        <w:trPr>
          <w:trHeight w:val="205" w:hRule="atLeast"/>
        </w:trPr>
        <w:tc>
          <w:tcPr>
            <w:tcW w:w="1080" w:type="dxa"/>
          </w:tcPr>
          <w:p>
            <w:pPr>
              <w:pStyle w:val="TableParagraph"/>
              <w:ind w:left="107"/>
              <w:rPr>
                <w:sz w:val="18"/>
              </w:rPr>
            </w:pPr>
            <w:r>
              <w:rPr>
                <w:spacing w:val="-10"/>
                <w:sz w:val="18"/>
              </w:rPr>
              <w:t>4</w:t>
            </w:r>
          </w:p>
        </w:tc>
        <w:tc>
          <w:tcPr>
            <w:tcW w:w="1079" w:type="dxa"/>
          </w:tcPr>
          <w:p>
            <w:pPr>
              <w:pStyle w:val="TableParagraph"/>
              <w:ind w:left="108"/>
              <w:rPr>
                <w:sz w:val="18"/>
              </w:rPr>
            </w:pPr>
            <w:r>
              <w:rPr>
                <w:spacing w:val="-2"/>
                <w:sz w:val="18"/>
              </w:rPr>
              <w:t>0.186</w:t>
            </w:r>
          </w:p>
        </w:tc>
        <w:tc>
          <w:tcPr>
            <w:tcW w:w="724" w:type="dxa"/>
          </w:tcPr>
          <w:p>
            <w:pPr>
              <w:pStyle w:val="TableParagraph"/>
              <w:ind w:left="109"/>
              <w:rPr>
                <w:sz w:val="18"/>
              </w:rPr>
            </w:pPr>
            <w:r>
              <w:rPr>
                <w:spacing w:val="-10"/>
                <w:sz w:val="18"/>
              </w:rPr>
              <w:t>4</w:t>
            </w:r>
          </w:p>
        </w:tc>
        <w:tc>
          <w:tcPr>
            <w:tcW w:w="1051" w:type="dxa"/>
          </w:tcPr>
          <w:p>
            <w:pPr>
              <w:pStyle w:val="TableParagraph"/>
              <w:ind w:left="110"/>
              <w:rPr>
                <w:sz w:val="18"/>
              </w:rPr>
            </w:pPr>
            <w:r>
              <w:rPr>
                <w:spacing w:val="-2"/>
                <w:sz w:val="18"/>
              </w:rPr>
              <w:t>0.180</w:t>
            </w:r>
          </w:p>
        </w:tc>
        <w:tc>
          <w:tcPr>
            <w:tcW w:w="582" w:type="dxa"/>
          </w:tcPr>
          <w:p>
            <w:pPr>
              <w:pStyle w:val="TableParagraph"/>
              <w:ind w:left="110"/>
              <w:rPr>
                <w:sz w:val="18"/>
              </w:rPr>
            </w:pPr>
            <w:r>
              <w:rPr>
                <w:spacing w:val="-10"/>
                <w:sz w:val="18"/>
              </w:rPr>
              <w:t>4</w:t>
            </w:r>
          </w:p>
        </w:tc>
        <w:tc>
          <w:tcPr>
            <w:tcW w:w="1052" w:type="dxa"/>
          </w:tcPr>
          <w:p>
            <w:pPr>
              <w:pStyle w:val="TableParagraph"/>
              <w:ind w:left="112"/>
              <w:rPr>
                <w:sz w:val="18"/>
              </w:rPr>
            </w:pPr>
            <w:r>
              <w:rPr>
                <w:spacing w:val="-2"/>
                <w:sz w:val="18"/>
              </w:rPr>
              <w:t>0.186</w:t>
            </w:r>
          </w:p>
        </w:tc>
        <w:tc>
          <w:tcPr>
            <w:tcW w:w="580" w:type="dxa"/>
          </w:tcPr>
          <w:p>
            <w:pPr>
              <w:pStyle w:val="TableParagraph"/>
              <w:ind w:left="113"/>
              <w:rPr>
                <w:sz w:val="18"/>
              </w:rPr>
            </w:pPr>
            <w:r>
              <w:rPr>
                <w:spacing w:val="-10"/>
                <w:sz w:val="18"/>
              </w:rPr>
              <w:t>4</w:t>
            </w:r>
          </w:p>
        </w:tc>
        <w:tc>
          <w:tcPr>
            <w:tcW w:w="1052" w:type="dxa"/>
          </w:tcPr>
          <w:p>
            <w:pPr>
              <w:pStyle w:val="TableParagraph"/>
              <w:ind w:left="114"/>
              <w:rPr>
                <w:sz w:val="18"/>
              </w:rPr>
            </w:pPr>
            <w:r>
              <w:rPr>
                <w:spacing w:val="-2"/>
                <w:sz w:val="18"/>
              </w:rPr>
              <w:t>0.180</w:t>
            </w:r>
          </w:p>
        </w:tc>
        <w:tc>
          <w:tcPr>
            <w:tcW w:w="579" w:type="dxa"/>
          </w:tcPr>
          <w:p>
            <w:pPr>
              <w:pStyle w:val="TableParagraph"/>
              <w:ind w:left="116"/>
              <w:rPr>
                <w:sz w:val="18"/>
              </w:rPr>
            </w:pPr>
            <w:r>
              <w:rPr>
                <w:spacing w:val="-10"/>
                <w:sz w:val="18"/>
              </w:rPr>
              <w:t>4</w:t>
            </w:r>
          </w:p>
        </w:tc>
        <w:tc>
          <w:tcPr>
            <w:tcW w:w="1052" w:type="dxa"/>
          </w:tcPr>
          <w:p>
            <w:pPr>
              <w:pStyle w:val="TableParagraph"/>
              <w:ind w:left="118"/>
              <w:rPr>
                <w:sz w:val="18"/>
              </w:rPr>
            </w:pPr>
            <w:r>
              <w:rPr>
                <w:spacing w:val="-2"/>
                <w:sz w:val="18"/>
              </w:rPr>
              <w:t>0.180</w:t>
            </w:r>
          </w:p>
        </w:tc>
        <w:tc>
          <w:tcPr>
            <w:tcW w:w="581" w:type="dxa"/>
          </w:tcPr>
          <w:p>
            <w:pPr>
              <w:pStyle w:val="TableParagraph"/>
              <w:ind w:left="120"/>
              <w:rPr>
                <w:sz w:val="18"/>
              </w:rPr>
            </w:pPr>
            <w:r>
              <w:rPr>
                <w:spacing w:val="-10"/>
                <w:sz w:val="18"/>
              </w:rPr>
              <w:t>4</w:t>
            </w:r>
          </w:p>
        </w:tc>
        <w:tc>
          <w:tcPr>
            <w:tcW w:w="1049" w:type="dxa"/>
          </w:tcPr>
          <w:p>
            <w:pPr>
              <w:pStyle w:val="TableParagraph"/>
              <w:ind w:left="122"/>
              <w:rPr>
                <w:sz w:val="18"/>
              </w:rPr>
            </w:pPr>
            <w:r>
              <w:rPr>
                <w:spacing w:val="-2"/>
                <w:sz w:val="18"/>
              </w:rPr>
              <w:t>0.186</w:t>
            </w:r>
          </w:p>
        </w:tc>
        <w:tc>
          <w:tcPr>
            <w:tcW w:w="1133" w:type="dxa"/>
          </w:tcPr>
          <w:p>
            <w:pPr>
              <w:pStyle w:val="TableParagraph"/>
              <w:spacing w:line="240" w:lineRule="auto"/>
              <w:rPr>
                <w:sz w:val="14"/>
              </w:rPr>
            </w:pPr>
          </w:p>
        </w:tc>
      </w:tr>
      <w:tr>
        <w:trPr>
          <w:trHeight w:val="208" w:hRule="atLeast"/>
        </w:trPr>
        <w:tc>
          <w:tcPr>
            <w:tcW w:w="1080" w:type="dxa"/>
          </w:tcPr>
          <w:p>
            <w:pPr>
              <w:pStyle w:val="TableParagraph"/>
              <w:spacing w:line="188" w:lineRule="exact"/>
              <w:ind w:left="107"/>
              <w:rPr>
                <w:sz w:val="18"/>
              </w:rPr>
            </w:pPr>
            <w:r>
              <w:rPr>
                <w:spacing w:val="-10"/>
                <w:sz w:val="18"/>
              </w:rPr>
              <w:t>5</w:t>
            </w:r>
          </w:p>
        </w:tc>
        <w:tc>
          <w:tcPr>
            <w:tcW w:w="1079" w:type="dxa"/>
          </w:tcPr>
          <w:p>
            <w:pPr>
              <w:pStyle w:val="TableParagraph"/>
              <w:spacing w:line="188" w:lineRule="exact"/>
              <w:ind w:left="108"/>
              <w:rPr>
                <w:sz w:val="18"/>
              </w:rPr>
            </w:pPr>
            <w:r>
              <w:rPr>
                <w:spacing w:val="-2"/>
                <w:sz w:val="18"/>
              </w:rPr>
              <w:t>0.186</w:t>
            </w:r>
          </w:p>
        </w:tc>
        <w:tc>
          <w:tcPr>
            <w:tcW w:w="724" w:type="dxa"/>
          </w:tcPr>
          <w:p>
            <w:pPr>
              <w:pStyle w:val="TableParagraph"/>
              <w:spacing w:line="188" w:lineRule="exact"/>
              <w:ind w:left="109"/>
              <w:rPr>
                <w:sz w:val="18"/>
              </w:rPr>
            </w:pPr>
            <w:r>
              <w:rPr>
                <w:spacing w:val="-10"/>
                <w:sz w:val="18"/>
              </w:rPr>
              <w:t>5</w:t>
            </w:r>
          </w:p>
        </w:tc>
        <w:tc>
          <w:tcPr>
            <w:tcW w:w="1051" w:type="dxa"/>
          </w:tcPr>
          <w:p>
            <w:pPr>
              <w:pStyle w:val="TableParagraph"/>
              <w:spacing w:line="188" w:lineRule="exact"/>
              <w:ind w:left="110"/>
              <w:rPr>
                <w:sz w:val="18"/>
              </w:rPr>
            </w:pPr>
            <w:r>
              <w:rPr>
                <w:spacing w:val="-2"/>
                <w:sz w:val="18"/>
              </w:rPr>
              <w:t>0.182</w:t>
            </w:r>
          </w:p>
        </w:tc>
        <w:tc>
          <w:tcPr>
            <w:tcW w:w="582" w:type="dxa"/>
          </w:tcPr>
          <w:p>
            <w:pPr>
              <w:pStyle w:val="TableParagraph"/>
              <w:spacing w:line="188" w:lineRule="exact"/>
              <w:ind w:left="110"/>
              <w:rPr>
                <w:sz w:val="18"/>
              </w:rPr>
            </w:pPr>
            <w:r>
              <w:rPr>
                <w:spacing w:val="-10"/>
                <w:sz w:val="18"/>
              </w:rPr>
              <w:t>5</w:t>
            </w:r>
          </w:p>
        </w:tc>
        <w:tc>
          <w:tcPr>
            <w:tcW w:w="1052" w:type="dxa"/>
          </w:tcPr>
          <w:p>
            <w:pPr>
              <w:pStyle w:val="TableParagraph"/>
              <w:spacing w:line="188" w:lineRule="exact"/>
              <w:ind w:left="112"/>
              <w:rPr>
                <w:sz w:val="18"/>
              </w:rPr>
            </w:pPr>
            <w:r>
              <w:rPr>
                <w:spacing w:val="-2"/>
                <w:sz w:val="18"/>
              </w:rPr>
              <w:t>0.184</w:t>
            </w:r>
          </w:p>
        </w:tc>
        <w:tc>
          <w:tcPr>
            <w:tcW w:w="580" w:type="dxa"/>
          </w:tcPr>
          <w:p>
            <w:pPr>
              <w:pStyle w:val="TableParagraph"/>
              <w:spacing w:line="188" w:lineRule="exact"/>
              <w:ind w:left="113"/>
              <w:rPr>
                <w:sz w:val="18"/>
              </w:rPr>
            </w:pPr>
            <w:r>
              <w:rPr>
                <w:spacing w:val="-10"/>
                <w:sz w:val="18"/>
              </w:rPr>
              <w:t>5</w:t>
            </w:r>
          </w:p>
        </w:tc>
        <w:tc>
          <w:tcPr>
            <w:tcW w:w="1052" w:type="dxa"/>
          </w:tcPr>
          <w:p>
            <w:pPr>
              <w:pStyle w:val="TableParagraph"/>
              <w:spacing w:line="188" w:lineRule="exact"/>
              <w:ind w:left="114"/>
              <w:rPr>
                <w:sz w:val="18"/>
              </w:rPr>
            </w:pPr>
            <w:r>
              <w:rPr>
                <w:spacing w:val="-2"/>
                <w:sz w:val="18"/>
              </w:rPr>
              <w:t>0.183</w:t>
            </w:r>
          </w:p>
        </w:tc>
        <w:tc>
          <w:tcPr>
            <w:tcW w:w="579" w:type="dxa"/>
          </w:tcPr>
          <w:p>
            <w:pPr>
              <w:pStyle w:val="TableParagraph"/>
              <w:spacing w:line="188" w:lineRule="exact"/>
              <w:ind w:left="116"/>
              <w:rPr>
                <w:sz w:val="18"/>
              </w:rPr>
            </w:pPr>
            <w:r>
              <w:rPr>
                <w:spacing w:val="-10"/>
                <w:sz w:val="18"/>
              </w:rPr>
              <w:t>5</w:t>
            </w:r>
          </w:p>
        </w:tc>
        <w:tc>
          <w:tcPr>
            <w:tcW w:w="1052" w:type="dxa"/>
          </w:tcPr>
          <w:p>
            <w:pPr>
              <w:pStyle w:val="TableParagraph"/>
              <w:spacing w:line="188" w:lineRule="exact"/>
              <w:ind w:left="118"/>
              <w:rPr>
                <w:sz w:val="18"/>
              </w:rPr>
            </w:pPr>
            <w:r>
              <w:rPr>
                <w:spacing w:val="-2"/>
                <w:sz w:val="18"/>
              </w:rPr>
              <w:t>0.182</w:t>
            </w:r>
          </w:p>
        </w:tc>
        <w:tc>
          <w:tcPr>
            <w:tcW w:w="581" w:type="dxa"/>
          </w:tcPr>
          <w:p>
            <w:pPr>
              <w:pStyle w:val="TableParagraph"/>
              <w:spacing w:line="188" w:lineRule="exact"/>
              <w:ind w:left="120"/>
              <w:rPr>
                <w:sz w:val="18"/>
              </w:rPr>
            </w:pPr>
            <w:r>
              <w:rPr>
                <w:spacing w:val="-10"/>
                <w:sz w:val="18"/>
              </w:rPr>
              <w:t>5</w:t>
            </w:r>
          </w:p>
        </w:tc>
        <w:tc>
          <w:tcPr>
            <w:tcW w:w="1049" w:type="dxa"/>
          </w:tcPr>
          <w:p>
            <w:pPr>
              <w:pStyle w:val="TableParagraph"/>
              <w:spacing w:line="188" w:lineRule="exact"/>
              <w:ind w:left="122"/>
              <w:rPr>
                <w:sz w:val="18"/>
              </w:rPr>
            </w:pPr>
            <w:r>
              <w:rPr>
                <w:spacing w:val="-2"/>
                <w:sz w:val="18"/>
              </w:rPr>
              <w:t>0.186</w:t>
            </w:r>
          </w:p>
        </w:tc>
        <w:tc>
          <w:tcPr>
            <w:tcW w:w="1133" w:type="dxa"/>
          </w:tcPr>
          <w:p>
            <w:pPr>
              <w:pStyle w:val="TableParagraph"/>
              <w:spacing w:line="240" w:lineRule="auto"/>
              <w:rPr>
                <w:sz w:val="14"/>
              </w:rPr>
            </w:pPr>
          </w:p>
        </w:tc>
      </w:tr>
      <w:tr>
        <w:trPr>
          <w:trHeight w:val="206" w:hRule="atLeast"/>
        </w:trPr>
        <w:tc>
          <w:tcPr>
            <w:tcW w:w="1080" w:type="dxa"/>
          </w:tcPr>
          <w:p>
            <w:pPr>
              <w:pStyle w:val="TableParagraph"/>
              <w:ind w:left="107"/>
              <w:rPr>
                <w:sz w:val="18"/>
              </w:rPr>
            </w:pPr>
            <w:r>
              <w:rPr>
                <w:spacing w:val="-2"/>
                <w:sz w:val="18"/>
              </w:rPr>
              <w:t>AVERAGE</w:t>
            </w:r>
          </w:p>
        </w:tc>
        <w:tc>
          <w:tcPr>
            <w:tcW w:w="1079" w:type="dxa"/>
          </w:tcPr>
          <w:p>
            <w:pPr>
              <w:pStyle w:val="TableParagraph"/>
              <w:ind w:left="108"/>
              <w:rPr>
                <w:sz w:val="18"/>
              </w:rPr>
            </w:pPr>
            <w:r>
              <w:rPr>
                <w:spacing w:val="-2"/>
                <w:sz w:val="18"/>
              </w:rPr>
              <w:t>0.186</w:t>
            </w:r>
          </w:p>
        </w:tc>
        <w:tc>
          <w:tcPr>
            <w:tcW w:w="724" w:type="dxa"/>
          </w:tcPr>
          <w:p>
            <w:pPr>
              <w:pStyle w:val="TableParagraph"/>
              <w:spacing w:line="240" w:lineRule="auto"/>
              <w:rPr>
                <w:sz w:val="14"/>
              </w:rPr>
            </w:pPr>
          </w:p>
        </w:tc>
        <w:tc>
          <w:tcPr>
            <w:tcW w:w="1051" w:type="dxa"/>
          </w:tcPr>
          <w:p>
            <w:pPr>
              <w:pStyle w:val="TableParagraph"/>
              <w:ind w:left="110"/>
              <w:rPr>
                <w:sz w:val="18"/>
              </w:rPr>
            </w:pPr>
            <w:r>
              <w:rPr>
                <w:spacing w:val="-2"/>
                <w:sz w:val="18"/>
              </w:rPr>
              <w:t>0.182</w:t>
            </w:r>
          </w:p>
        </w:tc>
        <w:tc>
          <w:tcPr>
            <w:tcW w:w="582" w:type="dxa"/>
          </w:tcPr>
          <w:p>
            <w:pPr>
              <w:pStyle w:val="TableParagraph"/>
              <w:spacing w:line="240" w:lineRule="auto"/>
              <w:rPr>
                <w:sz w:val="14"/>
              </w:rPr>
            </w:pPr>
          </w:p>
        </w:tc>
        <w:tc>
          <w:tcPr>
            <w:tcW w:w="1052" w:type="dxa"/>
          </w:tcPr>
          <w:p>
            <w:pPr>
              <w:pStyle w:val="TableParagraph"/>
              <w:ind w:left="112"/>
              <w:rPr>
                <w:sz w:val="18"/>
              </w:rPr>
            </w:pPr>
            <w:r>
              <w:rPr>
                <w:spacing w:val="-2"/>
                <w:sz w:val="18"/>
              </w:rPr>
              <w:t>0.184</w:t>
            </w:r>
          </w:p>
        </w:tc>
        <w:tc>
          <w:tcPr>
            <w:tcW w:w="580" w:type="dxa"/>
          </w:tcPr>
          <w:p>
            <w:pPr>
              <w:pStyle w:val="TableParagraph"/>
              <w:spacing w:line="240" w:lineRule="auto"/>
              <w:rPr>
                <w:sz w:val="14"/>
              </w:rPr>
            </w:pPr>
          </w:p>
        </w:tc>
        <w:tc>
          <w:tcPr>
            <w:tcW w:w="1052" w:type="dxa"/>
          </w:tcPr>
          <w:p>
            <w:pPr>
              <w:pStyle w:val="TableParagraph"/>
              <w:ind w:left="114"/>
              <w:rPr>
                <w:sz w:val="18"/>
              </w:rPr>
            </w:pPr>
            <w:r>
              <w:rPr>
                <w:spacing w:val="-2"/>
                <w:sz w:val="18"/>
              </w:rPr>
              <w:t>0.182</w:t>
            </w:r>
          </w:p>
        </w:tc>
        <w:tc>
          <w:tcPr>
            <w:tcW w:w="579" w:type="dxa"/>
          </w:tcPr>
          <w:p>
            <w:pPr>
              <w:pStyle w:val="TableParagraph"/>
              <w:spacing w:line="240" w:lineRule="auto"/>
              <w:rPr>
                <w:sz w:val="14"/>
              </w:rPr>
            </w:pPr>
          </w:p>
        </w:tc>
        <w:tc>
          <w:tcPr>
            <w:tcW w:w="1052" w:type="dxa"/>
          </w:tcPr>
          <w:p>
            <w:pPr>
              <w:pStyle w:val="TableParagraph"/>
              <w:ind w:left="118"/>
              <w:rPr>
                <w:sz w:val="18"/>
              </w:rPr>
            </w:pPr>
            <w:r>
              <w:rPr>
                <w:spacing w:val="-2"/>
                <w:sz w:val="18"/>
              </w:rPr>
              <w:t>0.182</w:t>
            </w:r>
          </w:p>
        </w:tc>
        <w:tc>
          <w:tcPr>
            <w:tcW w:w="581" w:type="dxa"/>
          </w:tcPr>
          <w:p>
            <w:pPr>
              <w:pStyle w:val="TableParagraph"/>
              <w:spacing w:line="240" w:lineRule="auto"/>
              <w:rPr>
                <w:sz w:val="14"/>
              </w:rPr>
            </w:pPr>
          </w:p>
        </w:tc>
        <w:tc>
          <w:tcPr>
            <w:tcW w:w="1049" w:type="dxa"/>
          </w:tcPr>
          <w:p>
            <w:pPr>
              <w:pStyle w:val="TableParagraph"/>
              <w:ind w:left="122"/>
              <w:rPr>
                <w:sz w:val="18"/>
              </w:rPr>
            </w:pPr>
            <w:r>
              <w:rPr>
                <w:spacing w:val="-2"/>
                <w:sz w:val="18"/>
              </w:rPr>
              <w:t>0.186</w:t>
            </w:r>
          </w:p>
        </w:tc>
        <w:tc>
          <w:tcPr>
            <w:tcW w:w="1133" w:type="dxa"/>
          </w:tcPr>
          <w:p>
            <w:pPr>
              <w:pStyle w:val="TableParagraph"/>
              <w:ind w:left="124"/>
              <w:rPr>
                <w:sz w:val="18"/>
              </w:rPr>
            </w:pPr>
            <w:r>
              <w:rPr>
                <w:spacing w:val="-2"/>
                <w:sz w:val="18"/>
              </w:rPr>
              <w:t>0.184</w:t>
            </w:r>
          </w:p>
        </w:tc>
      </w:tr>
      <w:tr>
        <w:trPr>
          <w:trHeight w:val="208" w:hRule="atLeast"/>
        </w:trPr>
        <w:tc>
          <w:tcPr>
            <w:tcW w:w="1080" w:type="dxa"/>
          </w:tcPr>
          <w:p>
            <w:pPr>
              <w:pStyle w:val="TableParagraph"/>
              <w:spacing w:line="189" w:lineRule="exact"/>
              <w:ind w:left="107"/>
              <w:rPr>
                <w:sz w:val="18"/>
              </w:rPr>
            </w:pPr>
            <w:r>
              <w:rPr>
                <w:spacing w:val="-5"/>
                <w:sz w:val="18"/>
              </w:rPr>
              <w:t>SD</w:t>
            </w:r>
          </w:p>
        </w:tc>
        <w:tc>
          <w:tcPr>
            <w:tcW w:w="1079" w:type="dxa"/>
          </w:tcPr>
          <w:p>
            <w:pPr>
              <w:pStyle w:val="TableParagraph"/>
              <w:spacing w:line="189" w:lineRule="exact"/>
              <w:ind w:left="108"/>
              <w:rPr>
                <w:sz w:val="18"/>
              </w:rPr>
            </w:pPr>
            <w:r>
              <w:rPr>
                <w:spacing w:val="-2"/>
                <w:sz w:val="18"/>
              </w:rPr>
              <w:t>0.0049</w:t>
            </w:r>
          </w:p>
        </w:tc>
        <w:tc>
          <w:tcPr>
            <w:tcW w:w="724" w:type="dxa"/>
          </w:tcPr>
          <w:p>
            <w:pPr>
              <w:pStyle w:val="TableParagraph"/>
              <w:spacing w:line="240" w:lineRule="auto"/>
              <w:rPr>
                <w:sz w:val="14"/>
              </w:rPr>
            </w:pPr>
          </w:p>
        </w:tc>
        <w:tc>
          <w:tcPr>
            <w:tcW w:w="1051" w:type="dxa"/>
          </w:tcPr>
          <w:p>
            <w:pPr>
              <w:pStyle w:val="TableParagraph"/>
              <w:spacing w:line="189" w:lineRule="exact"/>
              <w:ind w:left="110"/>
              <w:rPr>
                <w:sz w:val="18"/>
              </w:rPr>
            </w:pPr>
            <w:r>
              <w:rPr>
                <w:spacing w:val="-2"/>
                <w:sz w:val="18"/>
              </w:rPr>
              <w:t>0.001327</w:t>
            </w:r>
          </w:p>
        </w:tc>
        <w:tc>
          <w:tcPr>
            <w:tcW w:w="582" w:type="dxa"/>
          </w:tcPr>
          <w:p>
            <w:pPr>
              <w:pStyle w:val="TableParagraph"/>
              <w:spacing w:line="240" w:lineRule="auto"/>
              <w:rPr>
                <w:sz w:val="14"/>
              </w:rPr>
            </w:pPr>
          </w:p>
        </w:tc>
        <w:tc>
          <w:tcPr>
            <w:tcW w:w="1052" w:type="dxa"/>
          </w:tcPr>
          <w:p>
            <w:pPr>
              <w:pStyle w:val="TableParagraph"/>
              <w:spacing w:line="189" w:lineRule="exact"/>
              <w:ind w:left="112"/>
              <w:rPr>
                <w:sz w:val="18"/>
              </w:rPr>
            </w:pPr>
            <w:r>
              <w:rPr>
                <w:spacing w:val="-2"/>
                <w:sz w:val="18"/>
              </w:rPr>
              <w:t>0.001327</w:t>
            </w:r>
          </w:p>
        </w:tc>
        <w:tc>
          <w:tcPr>
            <w:tcW w:w="580" w:type="dxa"/>
          </w:tcPr>
          <w:p>
            <w:pPr>
              <w:pStyle w:val="TableParagraph"/>
              <w:spacing w:line="240" w:lineRule="auto"/>
              <w:rPr>
                <w:sz w:val="14"/>
              </w:rPr>
            </w:pPr>
          </w:p>
        </w:tc>
        <w:tc>
          <w:tcPr>
            <w:tcW w:w="1052" w:type="dxa"/>
          </w:tcPr>
          <w:p>
            <w:pPr>
              <w:pStyle w:val="TableParagraph"/>
              <w:spacing w:line="189" w:lineRule="exact"/>
              <w:ind w:left="114"/>
              <w:rPr>
                <w:sz w:val="18"/>
              </w:rPr>
            </w:pPr>
            <w:r>
              <w:rPr>
                <w:spacing w:val="-2"/>
                <w:sz w:val="18"/>
              </w:rPr>
              <w:t>0.00147</w:t>
            </w:r>
          </w:p>
        </w:tc>
        <w:tc>
          <w:tcPr>
            <w:tcW w:w="579" w:type="dxa"/>
          </w:tcPr>
          <w:p>
            <w:pPr>
              <w:pStyle w:val="TableParagraph"/>
              <w:spacing w:line="240" w:lineRule="auto"/>
              <w:rPr>
                <w:sz w:val="14"/>
              </w:rPr>
            </w:pPr>
          </w:p>
        </w:tc>
        <w:tc>
          <w:tcPr>
            <w:tcW w:w="1052" w:type="dxa"/>
          </w:tcPr>
          <w:p>
            <w:pPr>
              <w:pStyle w:val="TableParagraph"/>
              <w:spacing w:line="189" w:lineRule="exact"/>
              <w:ind w:left="118"/>
              <w:rPr>
                <w:sz w:val="18"/>
              </w:rPr>
            </w:pPr>
            <w:r>
              <w:rPr>
                <w:spacing w:val="-2"/>
                <w:sz w:val="18"/>
              </w:rPr>
              <w:t>0.001327</w:t>
            </w:r>
          </w:p>
        </w:tc>
        <w:tc>
          <w:tcPr>
            <w:tcW w:w="581" w:type="dxa"/>
          </w:tcPr>
          <w:p>
            <w:pPr>
              <w:pStyle w:val="TableParagraph"/>
              <w:spacing w:line="240" w:lineRule="auto"/>
              <w:rPr>
                <w:sz w:val="14"/>
              </w:rPr>
            </w:pPr>
          </w:p>
        </w:tc>
        <w:tc>
          <w:tcPr>
            <w:tcW w:w="1049" w:type="dxa"/>
          </w:tcPr>
          <w:p>
            <w:pPr>
              <w:pStyle w:val="TableParagraph"/>
              <w:spacing w:line="189" w:lineRule="exact"/>
              <w:ind w:left="122"/>
              <w:rPr>
                <w:sz w:val="18"/>
              </w:rPr>
            </w:pPr>
            <w:r>
              <w:rPr>
                <w:spacing w:val="-2"/>
                <w:sz w:val="18"/>
              </w:rPr>
              <w:t>0.0049</w:t>
            </w:r>
          </w:p>
        </w:tc>
        <w:tc>
          <w:tcPr>
            <w:tcW w:w="1133" w:type="dxa"/>
          </w:tcPr>
          <w:p>
            <w:pPr>
              <w:pStyle w:val="TableParagraph"/>
              <w:spacing w:line="189" w:lineRule="exact"/>
              <w:ind w:left="124"/>
              <w:rPr>
                <w:sz w:val="18"/>
              </w:rPr>
            </w:pPr>
            <w:r>
              <w:rPr>
                <w:spacing w:val="-2"/>
                <w:sz w:val="18"/>
              </w:rPr>
              <w:t>0.001072</w:t>
            </w:r>
          </w:p>
        </w:tc>
      </w:tr>
      <w:tr>
        <w:trPr>
          <w:trHeight w:val="206" w:hRule="atLeast"/>
        </w:trPr>
        <w:tc>
          <w:tcPr>
            <w:tcW w:w="1080" w:type="dxa"/>
          </w:tcPr>
          <w:p>
            <w:pPr>
              <w:pStyle w:val="TableParagraph"/>
              <w:ind w:left="107"/>
              <w:rPr>
                <w:sz w:val="18"/>
              </w:rPr>
            </w:pPr>
            <w:r>
              <w:rPr>
                <w:spacing w:val="-4"/>
                <w:sz w:val="18"/>
              </w:rPr>
              <w:t>%RSD</w:t>
            </w:r>
          </w:p>
        </w:tc>
        <w:tc>
          <w:tcPr>
            <w:tcW w:w="1079" w:type="dxa"/>
          </w:tcPr>
          <w:p>
            <w:pPr>
              <w:pStyle w:val="TableParagraph"/>
              <w:ind w:left="108"/>
              <w:rPr>
                <w:sz w:val="18"/>
              </w:rPr>
            </w:pPr>
            <w:r>
              <w:rPr>
                <w:spacing w:val="-2"/>
                <w:sz w:val="18"/>
              </w:rPr>
              <w:t>0.262821</w:t>
            </w:r>
          </w:p>
        </w:tc>
        <w:tc>
          <w:tcPr>
            <w:tcW w:w="724" w:type="dxa"/>
          </w:tcPr>
          <w:p>
            <w:pPr>
              <w:pStyle w:val="TableParagraph"/>
              <w:spacing w:line="240" w:lineRule="auto"/>
              <w:rPr>
                <w:sz w:val="14"/>
              </w:rPr>
            </w:pPr>
          </w:p>
        </w:tc>
        <w:tc>
          <w:tcPr>
            <w:tcW w:w="1051" w:type="dxa"/>
          </w:tcPr>
          <w:p>
            <w:pPr>
              <w:pStyle w:val="TableParagraph"/>
              <w:ind w:left="110"/>
              <w:rPr>
                <w:sz w:val="18"/>
              </w:rPr>
            </w:pPr>
            <w:r>
              <w:rPr>
                <w:spacing w:val="-2"/>
                <w:sz w:val="18"/>
              </w:rPr>
              <w:t>0.72973</w:t>
            </w:r>
          </w:p>
        </w:tc>
        <w:tc>
          <w:tcPr>
            <w:tcW w:w="582" w:type="dxa"/>
          </w:tcPr>
          <w:p>
            <w:pPr>
              <w:pStyle w:val="TableParagraph"/>
              <w:spacing w:line="240" w:lineRule="auto"/>
              <w:rPr>
                <w:sz w:val="14"/>
              </w:rPr>
            </w:pPr>
          </w:p>
        </w:tc>
        <w:tc>
          <w:tcPr>
            <w:tcW w:w="1052" w:type="dxa"/>
          </w:tcPr>
          <w:p>
            <w:pPr>
              <w:pStyle w:val="TableParagraph"/>
              <w:ind w:left="112"/>
              <w:rPr>
                <w:sz w:val="18"/>
              </w:rPr>
            </w:pPr>
            <w:r>
              <w:rPr>
                <w:spacing w:val="-2"/>
                <w:sz w:val="18"/>
              </w:rPr>
              <w:t>0.72179</w:t>
            </w:r>
          </w:p>
        </w:tc>
        <w:tc>
          <w:tcPr>
            <w:tcW w:w="580" w:type="dxa"/>
          </w:tcPr>
          <w:p>
            <w:pPr>
              <w:pStyle w:val="TableParagraph"/>
              <w:spacing w:line="240" w:lineRule="auto"/>
              <w:rPr>
                <w:sz w:val="14"/>
              </w:rPr>
            </w:pPr>
          </w:p>
        </w:tc>
        <w:tc>
          <w:tcPr>
            <w:tcW w:w="1052" w:type="dxa"/>
          </w:tcPr>
          <w:p>
            <w:pPr>
              <w:pStyle w:val="TableParagraph"/>
              <w:ind w:left="114"/>
              <w:rPr>
                <w:sz w:val="18"/>
              </w:rPr>
            </w:pPr>
            <w:r>
              <w:rPr>
                <w:spacing w:val="-2"/>
                <w:sz w:val="18"/>
              </w:rPr>
              <w:t>0.806638</w:t>
            </w:r>
          </w:p>
        </w:tc>
        <w:tc>
          <w:tcPr>
            <w:tcW w:w="579" w:type="dxa"/>
          </w:tcPr>
          <w:p>
            <w:pPr>
              <w:pStyle w:val="TableParagraph"/>
              <w:spacing w:line="240" w:lineRule="auto"/>
              <w:rPr>
                <w:sz w:val="14"/>
              </w:rPr>
            </w:pPr>
          </w:p>
        </w:tc>
        <w:tc>
          <w:tcPr>
            <w:tcW w:w="1052" w:type="dxa"/>
          </w:tcPr>
          <w:p>
            <w:pPr>
              <w:pStyle w:val="TableParagraph"/>
              <w:ind w:left="118"/>
              <w:rPr>
                <w:sz w:val="18"/>
              </w:rPr>
            </w:pPr>
            <w:r>
              <w:rPr>
                <w:spacing w:val="-2"/>
                <w:sz w:val="18"/>
              </w:rPr>
              <w:t>0.72973</w:t>
            </w:r>
          </w:p>
        </w:tc>
        <w:tc>
          <w:tcPr>
            <w:tcW w:w="581" w:type="dxa"/>
          </w:tcPr>
          <w:p>
            <w:pPr>
              <w:pStyle w:val="TableParagraph"/>
              <w:spacing w:line="240" w:lineRule="auto"/>
              <w:rPr>
                <w:sz w:val="14"/>
              </w:rPr>
            </w:pPr>
          </w:p>
        </w:tc>
        <w:tc>
          <w:tcPr>
            <w:tcW w:w="1049" w:type="dxa"/>
          </w:tcPr>
          <w:p>
            <w:pPr>
              <w:pStyle w:val="TableParagraph"/>
              <w:ind w:left="122"/>
              <w:rPr>
                <w:sz w:val="18"/>
              </w:rPr>
            </w:pPr>
            <w:r>
              <w:rPr>
                <w:spacing w:val="-2"/>
                <w:sz w:val="18"/>
              </w:rPr>
              <w:t>0.262821</w:t>
            </w:r>
          </w:p>
        </w:tc>
        <w:tc>
          <w:tcPr>
            <w:tcW w:w="1133" w:type="dxa"/>
          </w:tcPr>
          <w:p>
            <w:pPr>
              <w:pStyle w:val="TableParagraph"/>
              <w:ind w:left="124"/>
              <w:rPr>
                <w:sz w:val="18"/>
              </w:rPr>
            </w:pPr>
            <w:r>
              <w:rPr>
                <w:spacing w:val="-2"/>
                <w:sz w:val="18"/>
              </w:rPr>
              <w:t>0.585588</w:t>
            </w:r>
          </w:p>
        </w:tc>
      </w:tr>
    </w:tbl>
    <w:p>
      <w:pPr>
        <w:pStyle w:val="BodyText"/>
        <w:rPr>
          <w:sz w:val="20"/>
        </w:rPr>
      </w:pPr>
    </w:p>
    <w:p>
      <w:pPr>
        <w:pStyle w:val="BodyText"/>
        <w:rPr>
          <w:sz w:val="20"/>
        </w:rPr>
      </w:pPr>
    </w:p>
    <w:p>
      <w:pPr>
        <w:pStyle w:val="BodyText"/>
        <w:rPr>
          <w:sz w:val="20"/>
        </w:rPr>
      </w:pPr>
    </w:p>
    <w:p>
      <w:pPr>
        <w:pStyle w:val="BodyText"/>
        <w:spacing w:before="222"/>
        <w:rPr>
          <w:sz w:val="20"/>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085"/>
        <w:gridCol w:w="820"/>
        <w:gridCol w:w="1273"/>
        <w:gridCol w:w="1424"/>
        <w:gridCol w:w="1272"/>
        <w:gridCol w:w="1197"/>
        <w:gridCol w:w="1783"/>
      </w:tblGrid>
      <w:tr>
        <w:trPr>
          <w:trHeight w:val="207" w:hRule="atLeast"/>
        </w:trPr>
        <w:tc>
          <w:tcPr>
            <w:tcW w:w="10024" w:type="dxa"/>
            <w:gridSpan w:val="8"/>
            <w:tcBorders>
              <w:top w:val="single" w:sz="8" w:space="0" w:color="000000"/>
              <w:bottom w:val="single" w:sz="8" w:space="0" w:color="000000"/>
            </w:tcBorders>
          </w:tcPr>
          <w:p>
            <w:pPr>
              <w:pStyle w:val="TableParagraph"/>
              <w:spacing w:line="188" w:lineRule="exact"/>
              <w:ind w:left="1924"/>
              <w:rPr>
                <w:b/>
                <w:sz w:val="18"/>
              </w:rPr>
            </w:pPr>
            <w:r>
              <w:rPr>
                <w:b/>
                <w:sz w:val="18"/>
              </w:rPr>
              <w:t>INTER</w:t>
            </w:r>
            <w:r>
              <w:rPr>
                <w:b/>
                <w:spacing w:val="-4"/>
                <w:sz w:val="18"/>
              </w:rPr>
              <w:t> </w:t>
            </w:r>
            <w:r>
              <w:rPr>
                <w:b/>
                <w:sz w:val="18"/>
              </w:rPr>
              <w:t>DAY</w:t>
            </w:r>
            <w:r>
              <w:rPr>
                <w:b/>
                <w:spacing w:val="-1"/>
                <w:sz w:val="18"/>
              </w:rPr>
              <w:t> </w:t>
            </w:r>
            <w:r>
              <w:rPr>
                <w:b/>
                <w:sz w:val="18"/>
              </w:rPr>
              <w:t>FOR</w:t>
            </w:r>
            <w:r>
              <w:rPr>
                <w:b/>
                <w:spacing w:val="-1"/>
                <w:sz w:val="18"/>
              </w:rPr>
              <w:t> </w:t>
            </w:r>
            <w:r>
              <w:rPr>
                <w:b/>
                <w:sz w:val="18"/>
              </w:rPr>
              <w:t>METHOD </w:t>
            </w:r>
            <w:r>
              <w:rPr>
                <w:b/>
                <w:spacing w:val="-12"/>
                <w:sz w:val="18"/>
              </w:rPr>
              <w:t>1</w:t>
            </w:r>
          </w:p>
        </w:tc>
      </w:tr>
      <w:tr>
        <w:trPr>
          <w:trHeight w:val="207" w:hRule="atLeast"/>
        </w:trPr>
        <w:tc>
          <w:tcPr>
            <w:tcW w:w="1170" w:type="dxa"/>
            <w:tcBorders>
              <w:top w:val="single" w:sz="8" w:space="0" w:color="000000"/>
            </w:tcBorders>
          </w:tcPr>
          <w:p>
            <w:pPr>
              <w:pStyle w:val="TableParagraph"/>
              <w:spacing w:line="188" w:lineRule="exact"/>
              <w:ind w:left="122"/>
              <w:rPr>
                <w:b/>
                <w:sz w:val="18"/>
              </w:rPr>
            </w:pPr>
            <w:r>
              <w:rPr>
                <w:b/>
                <w:sz w:val="18"/>
              </w:rPr>
              <w:t>DAY</w:t>
            </w:r>
            <w:r>
              <w:rPr>
                <w:b/>
                <w:spacing w:val="-1"/>
                <w:sz w:val="18"/>
              </w:rPr>
              <w:t> </w:t>
            </w:r>
            <w:r>
              <w:rPr>
                <w:b/>
                <w:spacing w:val="-10"/>
                <w:sz w:val="18"/>
              </w:rPr>
              <w:t>I</w:t>
            </w:r>
          </w:p>
        </w:tc>
        <w:tc>
          <w:tcPr>
            <w:tcW w:w="1085" w:type="dxa"/>
            <w:tcBorders>
              <w:top w:val="single" w:sz="8" w:space="0" w:color="000000"/>
            </w:tcBorders>
          </w:tcPr>
          <w:p>
            <w:pPr>
              <w:pStyle w:val="TableParagraph"/>
              <w:spacing w:line="240" w:lineRule="auto"/>
              <w:rPr>
                <w:sz w:val="14"/>
              </w:rPr>
            </w:pPr>
          </w:p>
        </w:tc>
        <w:tc>
          <w:tcPr>
            <w:tcW w:w="820" w:type="dxa"/>
            <w:tcBorders>
              <w:top w:val="single" w:sz="8" w:space="0" w:color="000000"/>
            </w:tcBorders>
          </w:tcPr>
          <w:p>
            <w:pPr>
              <w:pStyle w:val="TableParagraph"/>
              <w:spacing w:line="188" w:lineRule="exact"/>
              <w:ind w:left="260"/>
              <w:rPr>
                <w:sz w:val="18"/>
              </w:rPr>
            </w:pPr>
            <w:r>
              <w:rPr>
                <w:sz w:val="18"/>
              </w:rPr>
              <w:t>DAY</w:t>
            </w:r>
            <w:r>
              <w:rPr>
                <w:spacing w:val="-1"/>
                <w:sz w:val="18"/>
              </w:rPr>
              <w:t> </w:t>
            </w:r>
            <w:r>
              <w:rPr>
                <w:spacing w:val="-10"/>
                <w:sz w:val="18"/>
              </w:rPr>
              <w:t>2</w:t>
            </w:r>
          </w:p>
        </w:tc>
        <w:tc>
          <w:tcPr>
            <w:tcW w:w="1273" w:type="dxa"/>
            <w:tcBorders>
              <w:top w:val="single" w:sz="8" w:space="0" w:color="000000"/>
            </w:tcBorders>
          </w:tcPr>
          <w:p>
            <w:pPr>
              <w:pStyle w:val="TableParagraph"/>
              <w:spacing w:line="240" w:lineRule="auto"/>
              <w:rPr>
                <w:sz w:val="14"/>
              </w:rPr>
            </w:pPr>
          </w:p>
        </w:tc>
        <w:tc>
          <w:tcPr>
            <w:tcW w:w="1424" w:type="dxa"/>
            <w:tcBorders>
              <w:top w:val="single" w:sz="8" w:space="0" w:color="000000"/>
            </w:tcBorders>
          </w:tcPr>
          <w:p>
            <w:pPr>
              <w:pStyle w:val="TableParagraph"/>
              <w:spacing w:line="188" w:lineRule="exact"/>
              <w:ind w:left="562"/>
              <w:rPr>
                <w:sz w:val="18"/>
              </w:rPr>
            </w:pPr>
            <w:r>
              <w:rPr>
                <w:sz w:val="18"/>
              </w:rPr>
              <w:t>DAY</w:t>
            </w:r>
            <w:r>
              <w:rPr>
                <w:spacing w:val="-1"/>
                <w:sz w:val="18"/>
              </w:rPr>
              <w:t> </w:t>
            </w:r>
            <w:r>
              <w:rPr>
                <w:spacing w:val="-10"/>
                <w:sz w:val="18"/>
              </w:rPr>
              <w:t>3</w:t>
            </w:r>
          </w:p>
        </w:tc>
        <w:tc>
          <w:tcPr>
            <w:tcW w:w="1272" w:type="dxa"/>
            <w:tcBorders>
              <w:top w:val="single" w:sz="8" w:space="0" w:color="000000"/>
            </w:tcBorders>
          </w:tcPr>
          <w:p>
            <w:pPr>
              <w:pStyle w:val="TableParagraph"/>
              <w:spacing w:line="240" w:lineRule="auto"/>
              <w:rPr>
                <w:sz w:val="14"/>
              </w:rPr>
            </w:pPr>
          </w:p>
        </w:tc>
        <w:tc>
          <w:tcPr>
            <w:tcW w:w="1197" w:type="dxa"/>
            <w:tcBorders>
              <w:top w:val="single" w:sz="8" w:space="0" w:color="000000"/>
            </w:tcBorders>
          </w:tcPr>
          <w:p>
            <w:pPr>
              <w:pStyle w:val="TableParagraph"/>
              <w:spacing w:line="188" w:lineRule="exact"/>
              <w:ind w:left="260"/>
              <w:rPr>
                <w:sz w:val="18"/>
              </w:rPr>
            </w:pPr>
            <w:r>
              <w:rPr>
                <w:spacing w:val="-4"/>
                <w:sz w:val="18"/>
              </w:rPr>
              <w:t>TOTAL</w:t>
            </w:r>
          </w:p>
        </w:tc>
        <w:tc>
          <w:tcPr>
            <w:tcW w:w="1783" w:type="dxa"/>
            <w:tcBorders>
              <w:top w:val="single" w:sz="8" w:space="0" w:color="000000"/>
            </w:tcBorders>
          </w:tcPr>
          <w:p>
            <w:pPr>
              <w:pStyle w:val="TableParagraph"/>
              <w:spacing w:line="188" w:lineRule="exact"/>
              <w:ind w:left="261"/>
              <w:rPr>
                <w:sz w:val="18"/>
              </w:rPr>
            </w:pPr>
            <w:r>
              <w:rPr>
                <w:sz w:val="18"/>
              </w:rPr>
              <w:t>TOTAL</w:t>
            </w:r>
            <w:r>
              <w:rPr>
                <w:spacing w:val="-3"/>
                <w:sz w:val="18"/>
              </w:rPr>
              <w:t> </w:t>
            </w:r>
            <w:r>
              <w:rPr>
                <w:spacing w:val="-4"/>
                <w:sz w:val="18"/>
              </w:rPr>
              <w:t>MEAN</w:t>
            </w:r>
          </w:p>
        </w:tc>
      </w:tr>
      <w:tr>
        <w:trPr>
          <w:trHeight w:val="206" w:hRule="atLeast"/>
        </w:trPr>
        <w:tc>
          <w:tcPr>
            <w:tcW w:w="1170" w:type="dxa"/>
          </w:tcPr>
          <w:p>
            <w:pPr>
              <w:pStyle w:val="TableParagraph"/>
              <w:ind w:left="122"/>
              <w:rPr>
                <w:b/>
                <w:sz w:val="18"/>
              </w:rPr>
            </w:pPr>
            <w:r>
              <w:rPr>
                <w:b/>
                <w:spacing w:val="-4"/>
                <w:sz w:val="18"/>
              </w:rPr>
              <w:t>Cyc.</w:t>
            </w:r>
          </w:p>
        </w:tc>
        <w:tc>
          <w:tcPr>
            <w:tcW w:w="1085" w:type="dxa"/>
          </w:tcPr>
          <w:p>
            <w:pPr>
              <w:pStyle w:val="TableParagraph"/>
              <w:ind w:left="149"/>
              <w:rPr>
                <w:sz w:val="18"/>
              </w:rPr>
            </w:pPr>
            <w:r>
              <w:rPr>
                <w:spacing w:val="-4"/>
                <w:sz w:val="18"/>
              </w:rPr>
              <w:t>Abs.</w:t>
            </w:r>
          </w:p>
        </w:tc>
        <w:tc>
          <w:tcPr>
            <w:tcW w:w="820" w:type="dxa"/>
          </w:tcPr>
          <w:p>
            <w:pPr>
              <w:pStyle w:val="TableParagraph"/>
              <w:ind w:left="260"/>
              <w:rPr>
                <w:sz w:val="18"/>
              </w:rPr>
            </w:pPr>
            <w:r>
              <w:rPr>
                <w:spacing w:val="-4"/>
                <w:sz w:val="18"/>
              </w:rPr>
              <w:t>Cyc.</w:t>
            </w:r>
          </w:p>
        </w:tc>
        <w:tc>
          <w:tcPr>
            <w:tcW w:w="1273" w:type="dxa"/>
          </w:tcPr>
          <w:p>
            <w:pPr>
              <w:pStyle w:val="TableParagraph"/>
              <w:ind w:left="35"/>
              <w:rPr>
                <w:sz w:val="18"/>
              </w:rPr>
            </w:pPr>
            <w:r>
              <w:rPr>
                <w:spacing w:val="-4"/>
                <w:sz w:val="18"/>
              </w:rPr>
              <w:t>Abs.</w:t>
            </w:r>
          </w:p>
        </w:tc>
        <w:tc>
          <w:tcPr>
            <w:tcW w:w="1424" w:type="dxa"/>
          </w:tcPr>
          <w:p>
            <w:pPr>
              <w:pStyle w:val="TableParagraph"/>
              <w:ind w:left="562"/>
              <w:rPr>
                <w:sz w:val="18"/>
              </w:rPr>
            </w:pPr>
            <w:r>
              <w:rPr>
                <w:spacing w:val="-4"/>
                <w:sz w:val="18"/>
              </w:rPr>
              <w:t>Cyc.</w:t>
            </w:r>
          </w:p>
        </w:tc>
        <w:tc>
          <w:tcPr>
            <w:tcW w:w="1272" w:type="dxa"/>
          </w:tcPr>
          <w:p>
            <w:pPr>
              <w:pStyle w:val="TableParagraph"/>
              <w:ind w:left="336"/>
              <w:rPr>
                <w:sz w:val="18"/>
              </w:rPr>
            </w:pPr>
            <w:r>
              <w:rPr>
                <w:spacing w:val="-4"/>
                <w:sz w:val="18"/>
              </w:rPr>
              <w:t>Abs.</w:t>
            </w:r>
          </w:p>
        </w:tc>
        <w:tc>
          <w:tcPr>
            <w:tcW w:w="1197" w:type="dxa"/>
          </w:tcPr>
          <w:p>
            <w:pPr>
              <w:pStyle w:val="TableParagraph"/>
              <w:spacing w:line="240" w:lineRule="auto"/>
              <w:rPr>
                <w:sz w:val="14"/>
              </w:rPr>
            </w:pPr>
          </w:p>
        </w:tc>
        <w:tc>
          <w:tcPr>
            <w:tcW w:w="1783" w:type="dxa"/>
          </w:tcPr>
          <w:p>
            <w:pPr>
              <w:pStyle w:val="TableParagraph"/>
              <w:spacing w:line="240" w:lineRule="auto"/>
              <w:rPr>
                <w:sz w:val="14"/>
              </w:rPr>
            </w:pPr>
          </w:p>
        </w:tc>
      </w:tr>
      <w:tr>
        <w:trPr>
          <w:trHeight w:val="207" w:hRule="atLeast"/>
        </w:trPr>
        <w:tc>
          <w:tcPr>
            <w:tcW w:w="1170" w:type="dxa"/>
          </w:tcPr>
          <w:p>
            <w:pPr>
              <w:pStyle w:val="TableParagraph"/>
              <w:spacing w:line="188" w:lineRule="exact"/>
              <w:ind w:left="122"/>
              <w:rPr>
                <w:b/>
                <w:sz w:val="18"/>
              </w:rPr>
            </w:pPr>
            <w:r>
              <w:rPr>
                <w:b/>
                <w:spacing w:val="-10"/>
                <w:sz w:val="18"/>
              </w:rPr>
              <w:t>1</w:t>
            </w:r>
          </w:p>
        </w:tc>
        <w:tc>
          <w:tcPr>
            <w:tcW w:w="1085" w:type="dxa"/>
          </w:tcPr>
          <w:p>
            <w:pPr>
              <w:pStyle w:val="TableParagraph"/>
              <w:spacing w:line="188" w:lineRule="exact"/>
              <w:ind w:left="149"/>
              <w:rPr>
                <w:sz w:val="18"/>
              </w:rPr>
            </w:pPr>
            <w:r>
              <w:rPr>
                <w:spacing w:val="-2"/>
                <w:sz w:val="18"/>
              </w:rPr>
              <w:t>0.186</w:t>
            </w:r>
          </w:p>
        </w:tc>
        <w:tc>
          <w:tcPr>
            <w:tcW w:w="820" w:type="dxa"/>
          </w:tcPr>
          <w:p>
            <w:pPr>
              <w:pStyle w:val="TableParagraph"/>
              <w:spacing w:line="188" w:lineRule="exact"/>
              <w:ind w:left="260"/>
              <w:rPr>
                <w:sz w:val="18"/>
              </w:rPr>
            </w:pPr>
            <w:r>
              <w:rPr>
                <w:spacing w:val="-10"/>
                <w:sz w:val="18"/>
              </w:rPr>
              <w:t>1</w:t>
            </w:r>
          </w:p>
        </w:tc>
        <w:tc>
          <w:tcPr>
            <w:tcW w:w="1273" w:type="dxa"/>
          </w:tcPr>
          <w:p>
            <w:pPr>
              <w:pStyle w:val="TableParagraph"/>
              <w:spacing w:line="188" w:lineRule="exact"/>
              <w:ind w:left="35"/>
              <w:rPr>
                <w:sz w:val="18"/>
              </w:rPr>
            </w:pPr>
            <w:r>
              <w:rPr>
                <w:spacing w:val="-2"/>
                <w:sz w:val="18"/>
              </w:rPr>
              <w:t>0.184</w:t>
            </w:r>
          </w:p>
        </w:tc>
        <w:tc>
          <w:tcPr>
            <w:tcW w:w="1424" w:type="dxa"/>
          </w:tcPr>
          <w:p>
            <w:pPr>
              <w:pStyle w:val="TableParagraph"/>
              <w:spacing w:line="188" w:lineRule="exact"/>
              <w:ind w:left="562"/>
              <w:rPr>
                <w:sz w:val="18"/>
              </w:rPr>
            </w:pPr>
            <w:r>
              <w:rPr>
                <w:spacing w:val="-10"/>
                <w:sz w:val="18"/>
              </w:rPr>
              <w:t>1</w:t>
            </w:r>
          </w:p>
        </w:tc>
        <w:tc>
          <w:tcPr>
            <w:tcW w:w="1272" w:type="dxa"/>
          </w:tcPr>
          <w:p>
            <w:pPr>
              <w:pStyle w:val="TableParagraph"/>
              <w:spacing w:line="188" w:lineRule="exact"/>
              <w:ind w:left="336"/>
              <w:rPr>
                <w:sz w:val="18"/>
              </w:rPr>
            </w:pPr>
            <w:r>
              <w:rPr>
                <w:spacing w:val="-2"/>
                <w:sz w:val="18"/>
              </w:rPr>
              <w:t>0.186</w:t>
            </w:r>
          </w:p>
        </w:tc>
        <w:tc>
          <w:tcPr>
            <w:tcW w:w="1197" w:type="dxa"/>
          </w:tcPr>
          <w:p>
            <w:pPr>
              <w:pStyle w:val="TableParagraph"/>
              <w:spacing w:line="240" w:lineRule="auto"/>
              <w:rPr>
                <w:sz w:val="14"/>
              </w:rPr>
            </w:pPr>
          </w:p>
        </w:tc>
        <w:tc>
          <w:tcPr>
            <w:tcW w:w="1783" w:type="dxa"/>
          </w:tcPr>
          <w:p>
            <w:pPr>
              <w:pStyle w:val="TableParagraph"/>
              <w:spacing w:line="240" w:lineRule="auto"/>
              <w:rPr>
                <w:sz w:val="14"/>
              </w:rPr>
            </w:pPr>
          </w:p>
        </w:tc>
      </w:tr>
      <w:tr>
        <w:trPr>
          <w:trHeight w:val="207" w:hRule="atLeast"/>
        </w:trPr>
        <w:tc>
          <w:tcPr>
            <w:tcW w:w="1170" w:type="dxa"/>
          </w:tcPr>
          <w:p>
            <w:pPr>
              <w:pStyle w:val="TableParagraph"/>
              <w:spacing w:line="188" w:lineRule="exact"/>
              <w:ind w:left="122"/>
              <w:rPr>
                <w:b/>
                <w:sz w:val="18"/>
              </w:rPr>
            </w:pPr>
            <w:r>
              <w:rPr>
                <w:b/>
                <w:spacing w:val="-10"/>
                <w:sz w:val="18"/>
              </w:rPr>
              <w:t>2</w:t>
            </w:r>
          </w:p>
        </w:tc>
        <w:tc>
          <w:tcPr>
            <w:tcW w:w="1085" w:type="dxa"/>
          </w:tcPr>
          <w:p>
            <w:pPr>
              <w:pStyle w:val="TableParagraph"/>
              <w:spacing w:line="188" w:lineRule="exact"/>
              <w:ind w:left="149"/>
              <w:rPr>
                <w:sz w:val="18"/>
              </w:rPr>
            </w:pPr>
            <w:r>
              <w:rPr>
                <w:spacing w:val="-2"/>
                <w:sz w:val="18"/>
              </w:rPr>
              <w:t>0.187</w:t>
            </w:r>
          </w:p>
        </w:tc>
        <w:tc>
          <w:tcPr>
            <w:tcW w:w="820" w:type="dxa"/>
          </w:tcPr>
          <w:p>
            <w:pPr>
              <w:pStyle w:val="TableParagraph"/>
              <w:spacing w:line="188" w:lineRule="exact"/>
              <w:ind w:left="260"/>
              <w:rPr>
                <w:sz w:val="18"/>
              </w:rPr>
            </w:pPr>
            <w:r>
              <w:rPr>
                <w:spacing w:val="-10"/>
                <w:sz w:val="18"/>
              </w:rPr>
              <w:t>2</w:t>
            </w:r>
          </w:p>
        </w:tc>
        <w:tc>
          <w:tcPr>
            <w:tcW w:w="1273" w:type="dxa"/>
          </w:tcPr>
          <w:p>
            <w:pPr>
              <w:pStyle w:val="TableParagraph"/>
              <w:spacing w:line="188" w:lineRule="exact"/>
              <w:ind w:left="35"/>
              <w:rPr>
                <w:sz w:val="18"/>
              </w:rPr>
            </w:pPr>
            <w:r>
              <w:rPr>
                <w:spacing w:val="-2"/>
                <w:sz w:val="18"/>
              </w:rPr>
              <w:t>0.183</w:t>
            </w:r>
          </w:p>
        </w:tc>
        <w:tc>
          <w:tcPr>
            <w:tcW w:w="1424" w:type="dxa"/>
          </w:tcPr>
          <w:p>
            <w:pPr>
              <w:pStyle w:val="TableParagraph"/>
              <w:spacing w:line="188" w:lineRule="exact"/>
              <w:ind w:left="562"/>
              <w:rPr>
                <w:sz w:val="18"/>
              </w:rPr>
            </w:pPr>
            <w:r>
              <w:rPr>
                <w:spacing w:val="-10"/>
                <w:sz w:val="18"/>
              </w:rPr>
              <w:t>2</w:t>
            </w:r>
          </w:p>
        </w:tc>
        <w:tc>
          <w:tcPr>
            <w:tcW w:w="1272" w:type="dxa"/>
          </w:tcPr>
          <w:p>
            <w:pPr>
              <w:pStyle w:val="TableParagraph"/>
              <w:spacing w:line="188" w:lineRule="exact"/>
              <w:ind w:left="336"/>
              <w:rPr>
                <w:sz w:val="18"/>
              </w:rPr>
            </w:pPr>
            <w:r>
              <w:rPr>
                <w:spacing w:val="-2"/>
                <w:sz w:val="18"/>
              </w:rPr>
              <w:t>0.187</w:t>
            </w:r>
          </w:p>
        </w:tc>
        <w:tc>
          <w:tcPr>
            <w:tcW w:w="1197" w:type="dxa"/>
          </w:tcPr>
          <w:p>
            <w:pPr>
              <w:pStyle w:val="TableParagraph"/>
              <w:spacing w:line="240" w:lineRule="auto"/>
              <w:rPr>
                <w:sz w:val="14"/>
              </w:rPr>
            </w:pPr>
          </w:p>
        </w:tc>
        <w:tc>
          <w:tcPr>
            <w:tcW w:w="1783" w:type="dxa"/>
          </w:tcPr>
          <w:p>
            <w:pPr>
              <w:pStyle w:val="TableParagraph"/>
              <w:spacing w:line="240" w:lineRule="auto"/>
              <w:rPr>
                <w:sz w:val="14"/>
              </w:rPr>
            </w:pPr>
          </w:p>
        </w:tc>
      </w:tr>
      <w:tr>
        <w:trPr>
          <w:trHeight w:val="206" w:hRule="atLeast"/>
        </w:trPr>
        <w:tc>
          <w:tcPr>
            <w:tcW w:w="1170" w:type="dxa"/>
          </w:tcPr>
          <w:p>
            <w:pPr>
              <w:pStyle w:val="TableParagraph"/>
              <w:ind w:left="122"/>
              <w:rPr>
                <w:b/>
                <w:sz w:val="18"/>
              </w:rPr>
            </w:pPr>
            <w:r>
              <w:rPr>
                <w:b/>
                <w:spacing w:val="-10"/>
                <w:sz w:val="18"/>
              </w:rPr>
              <w:t>3</w:t>
            </w:r>
          </w:p>
        </w:tc>
        <w:tc>
          <w:tcPr>
            <w:tcW w:w="1085" w:type="dxa"/>
          </w:tcPr>
          <w:p>
            <w:pPr>
              <w:pStyle w:val="TableParagraph"/>
              <w:ind w:left="149"/>
              <w:rPr>
                <w:sz w:val="18"/>
              </w:rPr>
            </w:pPr>
            <w:r>
              <w:rPr>
                <w:spacing w:val="-2"/>
                <w:sz w:val="18"/>
              </w:rPr>
              <w:t>0.187</w:t>
            </w:r>
          </w:p>
        </w:tc>
        <w:tc>
          <w:tcPr>
            <w:tcW w:w="820" w:type="dxa"/>
          </w:tcPr>
          <w:p>
            <w:pPr>
              <w:pStyle w:val="TableParagraph"/>
              <w:ind w:left="260"/>
              <w:rPr>
                <w:sz w:val="18"/>
              </w:rPr>
            </w:pPr>
            <w:r>
              <w:rPr>
                <w:spacing w:val="-10"/>
                <w:sz w:val="18"/>
              </w:rPr>
              <w:t>3</w:t>
            </w:r>
          </w:p>
        </w:tc>
        <w:tc>
          <w:tcPr>
            <w:tcW w:w="1273" w:type="dxa"/>
          </w:tcPr>
          <w:p>
            <w:pPr>
              <w:pStyle w:val="TableParagraph"/>
              <w:ind w:left="35"/>
              <w:rPr>
                <w:sz w:val="18"/>
              </w:rPr>
            </w:pPr>
            <w:r>
              <w:rPr>
                <w:spacing w:val="-2"/>
                <w:sz w:val="18"/>
              </w:rPr>
              <w:t>0.181</w:t>
            </w:r>
          </w:p>
        </w:tc>
        <w:tc>
          <w:tcPr>
            <w:tcW w:w="1424" w:type="dxa"/>
          </w:tcPr>
          <w:p>
            <w:pPr>
              <w:pStyle w:val="TableParagraph"/>
              <w:ind w:left="562"/>
              <w:rPr>
                <w:sz w:val="18"/>
              </w:rPr>
            </w:pPr>
            <w:r>
              <w:rPr>
                <w:spacing w:val="-10"/>
                <w:sz w:val="18"/>
              </w:rPr>
              <w:t>3</w:t>
            </w:r>
          </w:p>
        </w:tc>
        <w:tc>
          <w:tcPr>
            <w:tcW w:w="1272" w:type="dxa"/>
          </w:tcPr>
          <w:p>
            <w:pPr>
              <w:pStyle w:val="TableParagraph"/>
              <w:ind w:left="336"/>
              <w:rPr>
                <w:sz w:val="18"/>
              </w:rPr>
            </w:pPr>
            <w:r>
              <w:rPr>
                <w:spacing w:val="-2"/>
                <w:sz w:val="18"/>
              </w:rPr>
              <w:t>0.187</w:t>
            </w:r>
          </w:p>
        </w:tc>
        <w:tc>
          <w:tcPr>
            <w:tcW w:w="1197" w:type="dxa"/>
          </w:tcPr>
          <w:p>
            <w:pPr>
              <w:pStyle w:val="TableParagraph"/>
              <w:spacing w:line="240" w:lineRule="auto"/>
              <w:rPr>
                <w:sz w:val="14"/>
              </w:rPr>
            </w:pPr>
          </w:p>
        </w:tc>
        <w:tc>
          <w:tcPr>
            <w:tcW w:w="1783" w:type="dxa"/>
          </w:tcPr>
          <w:p>
            <w:pPr>
              <w:pStyle w:val="TableParagraph"/>
              <w:spacing w:line="240" w:lineRule="auto"/>
              <w:rPr>
                <w:sz w:val="14"/>
              </w:rPr>
            </w:pPr>
          </w:p>
        </w:tc>
      </w:tr>
      <w:tr>
        <w:trPr>
          <w:trHeight w:val="206" w:hRule="atLeast"/>
        </w:trPr>
        <w:tc>
          <w:tcPr>
            <w:tcW w:w="1170" w:type="dxa"/>
          </w:tcPr>
          <w:p>
            <w:pPr>
              <w:pStyle w:val="TableParagraph"/>
              <w:ind w:left="122"/>
              <w:rPr>
                <w:b/>
                <w:sz w:val="18"/>
              </w:rPr>
            </w:pPr>
            <w:r>
              <w:rPr>
                <w:b/>
                <w:spacing w:val="-10"/>
                <w:sz w:val="18"/>
              </w:rPr>
              <w:t>4</w:t>
            </w:r>
          </w:p>
        </w:tc>
        <w:tc>
          <w:tcPr>
            <w:tcW w:w="1085" w:type="dxa"/>
          </w:tcPr>
          <w:p>
            <w:pPr>
              <w:pStyle w:val="TableParagraph"/>
              <w:ind w:left="149"/>
              <w:rPr>
                <w:sz w:val="18"/>
              </w:rPr>
            </w:pPr>
            <w:r>
              <w:rPr>
                <w:spacing w:val="-2"/>
                <w:sz w:val="18"/>
              </w:rPr>
              <w:t>0.186</w:t>
            </w:r>
          </w:p>
        </w:tc>
        <w:tc>
          <w:tcPr>
            <w:tcW w:w="820" w:type="dxa"/>
          </w:tcPr>
          <w:p>
            <w:pPr>
              <w:pStyle w:val="TableParagraph"/>
              <w:ind w:left="260"/>
              <w:rPr>
                <w:sz w:val="18"/>
              </w:rPr>
            </w:pPr>
            <w:r>
              <w:rPr>
                <w:spacing w:val="-10"/>
                <w:sz w:val="18"/>
              </w:rPr>
              <w:t>4</w:t>
            </w:r>
          </w:p>
        </w:tc>
        <w:tc>
          <w:tcPr>
            <w:tcW w:w="1273" w:type="dxa"/>
          </w:tcPr>
          <w:p>
            <w:pPr>
              <w:pStyle w:val="TableParagraph"/>
              <w:ind w:left="35"/>
              <w:rPr>
                <w:sz w:val="18"/>
              </w:rPr>
            </w:pPr>
            <w:r>
              <w:rPr>
                <w:spacing w:val="-2"/>
                <w:sz w:val="18"/>
              </w:rPr>
              <w:t>0.180</w:t>
            </w:r>
          </w:p>
        </w:tc>
        <w:tc>
          <w:tcPr>
            <w:tcW w:w="1424" w:type="dxa"/>
          </w:tcPr>
          <w:p>
            <w:pPr>
              <w:pStyle w:val="TableParagraph"/>
              <w:ind w:left="562"/>
              <w:rPr>
                <w:sz w:val="18"/>
              </w:rPr>
            </w:pPr>
            <w:r>
              <w:rPr>
                <w:spacing w:val="-10"/>
                <w:sz w:val="18"/>
              </w:rPr>
              <w:t>4</w:t>
            </w:r>
          </w:p>
        </w:tc>
        <w:tc>
          <w:tcPr>
            <w:tcW w:w="1272" w:type="dxa"/>
          </w:tcPr>
          <w:p>
            <w:pPr>
              <w:pStyle w:val="TableParagraph"/>
              <w:ind w:left="336"/>
              <w:rPr>
                <w:sz w:val="18"/>
              </w:rPr>
            </w:pPr>
            <w:r>
              <w:rPr>
                <w:spacing w:val="-2"/>
                <w:sz w:val="18"/>
              </w:rPr>
              <w:t>0.186</w:t>
            </w:r>
          </w:p>
        </w:tc>
        <w:tc>
          <w:tcPr>
            <w:tcW w:w="1197" w:type="dxa"/>
          </w:tcPr>
          <w:p>
            <w:pPr>
              <w:pStyle w:val="TableParagraph"/>
              <w:spacing w:line="240" w:lineRule="auto"/>
              <w:rPr>
                <w:sz w:val="14"/>
              </w:rPr>
            </w:pPr>
          </w:p>
        </w:tc>
        <w:tc>
          <w:tcPr>
            <w:tcW w:w="1783" w:type="dxa"/>
          </w:tcPr>
          <w:p>
            <w:pPr>
              <w:pStyle w:val="TableParagraph"/>
              <w:spacing w:line="240" w:lineRule="auto"/>
              <w:rPr>
                <w:sz w:val="14"/>
              </w:rPr>
            </w:pPr>
          </w:p>
        </w:tc>
      </w:tr>
      <w:tr>
        <w:trPr>
          <w:trHeight w:val="207" w:hRule="atLeast"/>
        </w:trPr>
        <w:tc>
          <w:tcPr>
            <w:tcW w:w="1170" w:type="dxa"/>
          </w:tcPr>
          <w:p>
            <w:pPr>
              <w:pStyle w:val="TableParagraph"/>
              <w:spacing w:line="188" w:lineRule="exact"/>
              <w:ind w:left="122"/>
              <w:rPr>
                <w:b/>
                <w:sz w:val="18"/>
              </w:rPr>
            </w:pPr>
            <w:r>
              <w:rPr>
                <w:b/>
                <w:spacing w:val="-10"/>
                <w:sz w:val="18"/>
              </w:rPr>
              <w:t>5</w:t>
            </w:r>
          </w:p>
        </w:tc>
        <w:tc>
          <w:tcPr>
            <w:tcW w:w="1085" w:type="dxa"/>
          </w:tcPr>
          <w:p>
            <w:pPr>
              <w:pStyle w:val="TableParagraph"/>
              <w:spacing w:line="188" w:lineRule="exact"/>
              <w:ind w:left="149"/>
              <w:rPr>
                <w:sz w:val="18"/>
              </w:rPr>
            </w:pPr>
            <w:r>
              <w:rPr>
                <w:spacing w:val="-2"/>
                <w:sz w:val="18"/>
              </w:rPr>
              <w:t>0.186</w:t>
            </w:r>
          </w:p>
        </w:tc>
        <w:tc>
          <w:tcPr>
            <w:tcW w:w="820" w:type="dxa"/>
          </w:tcPr>
          <w:p>
            <w:pPr>
              <w:pStyle w:val="TableParagraph"/>
              <w:spacing w:line="188" w:lineRule="exact"/>
              <w:ind w:left="260"/>
              <w:rPr>
                <w:sz w:val="18"/>
              </w:rPr>
            </w:pPr>
            <w:r>
              <w:rPr>
                <w:spacing w:val="-10"/>
                <w:sz w:val="18"/>
              </w:rPr>
              <w:t>5</w:t>
            </w:r>
          </w:p>
        </w:tc>
        <w:tc>
          <w:tcPr>
            <w:tcW w:w="1273" w:type="dxa"/>
          </w:tcPr>
          <w:p>
            <w:pPr>
              <w:pStyle w:val="TableParagraph"/>
              <w:spacing w:line="188" w:lineRule="exact"/>
              <w:ind w:left="35"/>
              <w:rPr>
                <w:sz w:val="18"/>
              </w:rPr>
            </w:pPr>
            <w:r>
              <w:rPr>
                <w:spacing w:val="-2"/>
                <w:sz w:val="18"/>
              </w:rPr>
              <w:t>0.183</w:t>
            </w:r>
          </w:p>
        </w:tc>
        <w:tc>
          <w:tcPr>
            <w:tcW w:w="1424" w:type="dxa"/>
          </w:tcPr>
          <w:p>
            <w:pPr>
              <w:pStyle w:val="TableParagraph"/>
              <w:spacing w:line="188" w:lineRule="exact"/>
              <w:ind w:left="562"/>
              <w:rPr>
                <w:sz w:val="18"/>
              </w:rPr>
            </w:pPr>
            <w:r>
              <w:rPr>
                <w:spacing w:val="-10"/>
                <w:sz w:val="18"/>
              </w:rPr>
              <w:t>5</w:t>
            </w:r>
          </w:p>
        </w:tc>
        <w:tc>
          <w:tcPr>
            <w:tcW w:w="1272" w:type="dxa"/>
          </w:tcPr>
          <w:p>
            <w:pPr>
              <w:pStyle w:val="TableParagraph"/>
              <w:spacing w:line="188" w:lineRule="exact"/>
              <w:ind w:left="336"/>
              <w:rPr>
                <w:sz w:val="18"/>
              </w:rPr>
            </w:pPr>
            <w:r>
              <w:rPr>
                <w:spacing w:val="-2"/>
                <w:sz w:val="18"/>
              </w:rPr>
              <w:t>0.186</w:t>
            </w:r>
          </w:p>
        </w:tc>
        <w:tc>
          <w:tcPr>
            <w:tcW w:w="1197" w:type="dxa"/>
          </w:tcPr>
          <w:p>
            <w:pPr>
              <w:pStyle w:val="TableParagraph"/>
              <w:spacing w:line="240" w:lineRule="auto"/>
              <w:rPr>
                <w:sz w:val="14"/>
              </w:rPr>
            </w:pPr>
          </w:p>
        </w:tc>
        <w:tc>
          <w:tcPr>
            <w:tcW w:w="1783" w:type="dxa"/>
          </w:tcPr>
          <w:p>
            <w:pPr>
              <w:pStyle w:val="TableParagraph"/>
              <w:spacing w:line="240" w:lineRule="auto"/>
              <w:rPr>
                <w:sz w:val="14"/>
              </w:rPr>
            </w:pPr>
          </w:p>
        </w:tc>
      </w:tr>
      <w:tr>
        <w:trPr>
          <w:trHeight w:val="207" w:hRule="atLeast"/>
        </w:trPr>
        <w:tc>
          <w:tcPr>
            <w:tcW w:w="1170" w:type="dxa"/>
          </w:tcPr>
          <w:p>
            <w:pPr>
              <w:pStyle w:val="TableParagraph"/>
              <w:spacing w:line="188" w:lineRule="exact"/>
              <w:ind w:left="122"/>
              <w:rPr>
                <w:b/>
                <w:sz w:val="18"/>
              </w:rPr>
            </w:pPr>
            <w:r>
              <w:rPr>
                <w:b/>
                <w:spacing w:val="-2"/>
                <w:sz w:val="18"/>
              </w:rPr>
              <w:t>AVERAGE</w:t>
            </w:r>
          </w:p>
        </w:tc>
        <w:tc>
          <w:tcPr>
            <w:tcW w:w="1085" w:type="dxa"/>
          </w:tcPr>
          <w:p>
            <w:pPr>
              <w:pStyle w:val="TableParagraph"/>
              <w:spacing w:line="188" w:lineRule="exact"/>
              <w:ind w:left="149"/>
              <w:rPr>
                <w:sz w:val="18"/>
              </w:rPr>
            </w:pPr>
            <w:r>
              <w:rPr>
                <w:spacing w:val="-2"/>
                <w:sz w:val="18"/>
              </w:rPr>
              <w:t>0.186</w:t>
            </w:r>
          </w:p>
        </w:tc>
        <w:tc>
          <w:tcPr>
            <w:tcW w:w="820" w:type="dxa"/>
          </w:tcPr>
          <w:p>
            <w:pPr>
              <w:pStyle w:val="TableParagraph"/>
              <w:spacing w:line="240" w:lineRule="auto"/>
              <w:rPr>
                <w:sz w:val="14"/>
              </w:rPr>
            </w:pPr>
          </w:p>
        </w:tc>
        <w:tc>
          <w:tcPr>
            <w:tcW w:w="1273" w:type="dxa"/>
          </w:tcPr>
          <w:p>
            <w:pPr>
              <w:pStyle w:val="TableParagraph"/>
              <w:spacing w:line="188" w:lineRule="exact"/>
              <w:ind w:left="35"/>
              <w:rPr>
                <w:sz w:val="18"/>
              </w:rPr>
            </w:pPr>
            <w:r>
              <w:rPr>
                <w:spacing w:val="-2"/>
                <w:sz w:val="18"/>
              </w:rPr>
              <w:t>0.182</w:t>
            </w:r>
          </w:p>
        </w:tc>
        <w:tc>
          <w:tcPr>
            <w:tcW w:w="1424" w:type="dxa"/>
          </w:tcPr>
          <w:p>
            <w:pPr>
              <w:pStyle w:val="TableParagraph"/>
              <w:spacing w:line="240" w:lineRule="auto"/>
              <w:rPr>
                <w:sz w:val="14"/>
              </w:rPr>
            </w:pPr>
          </w:p>
        </w:tc>
        <w:tc>
          <w:tcPr>
            <w:tcW w:w="1272" w:type="dxa"/>
          </w:tcPr>
          <w:p>
            <w:pPr>
              <w:pStyle w:val="TableParagraph"/>
              <w:spacing w:line="188" w:lineRule="exact"/>
              <w:ind w:left="336"/>
              <w:rPr>
                <w:sz w:val="18"/>
              </w:rPr>
            </w:pPr>
            <w:r>
              <w:rPr>
                <w:spacing w:val="-2"/>
                <w:sz w:val="18"/>
              </w:rPr>
              <w:t>0.186</w:t>
            </w:r>
          </w:p>
        </w:tc>
        <w:tc>
          <w:tcPr>
            <w:tcW w:w="1197" w:type="dxa"/>
          </w:tcPr>
          <w:p>
            <w:pPr>
              <w:pStyle w:val="TableParagraph"/>
              <w:spacing w:line="188" w:lineRule="exact"/>
              <w:ind w:left="260"/>
              <w:rPr>
                <w:sz w:val="18"/>
              </w:rPr>
            </w:pPr>
            <w:r>
              <w:rPr>
                <w:spacing w:val="-2"/>
                <w:sz w:val="18"/>
              </w:rPr>
              <w:t>0.555</w:t>
            </w:r>
          </w:p>
        </w:tc>
        <w:tc>
          <w:tcPr>
            <w:tcW w:w="1783" w:type="dxa"/>
          </w:tcPr>
          <w:p>
            <w:pPr>
              <w:pStyle w:val="TableParagraph"/>
              <w:spacing w:line="188" w:lineRule="exact"/>
              <w:ind w:left="261"/>
              <w:rPr>
                <w:sz w:val="18"/>
              </w:rPr>
            </w:pPr>
            <w:r>
              <w:rPr>
                <w:spacing w:val="-2"/>
                <w:sz w:val="18"/>
              </w:rPr>
              <w:t>0.185</w:t>
            </w:r>
          </w:p>
        </w:tc>
      </w:tr>
      <w:tr>
        <w:trPr>
          <w:trHeight w:val="206" w:hRule="atLeast"/>
        </w:trPr>
        <w:tc>
          <w:tcPr>
            <w:tcW w:w="1170" w:type="dxa"/>
          </w:tcPr>
          <w:p>
            <w:pPr>
              <w:pStyle w:val="TableParagraph"/>
              <w:spacing w:line="187" w:lineRule="exact"/>
              <w:ind w:left="122"/>
              <w:rPr>
                <w:b/>
                <w:sz w:val="18"/>
              </w:rPr>
            </w:pPr>
            <w:r>
              <w:rPr>
                <w:b/>
                <w:spacing w:val="-5"/>
                <w:sz w:val="18"/>
              </w:rPr>
              <w:t>SD</w:t>
            </w:r>
          </w:p>
        </w:tc>
        <w:tc>
          <w:tcPr>
            <w:tcW w:w="1085" w:type="dxa"/>
          </w:tcPr>
          <w:p>
            <w:pPr>
              <w:pStyle w:val="TableParagraph"/>
              <w:spacing w:line="187" w:lineRule="exact"/>
              <w:ind w:left="149"/>
              <w:rPr>
                <w:sz w:val="18"/>
              </w:rPr>
            </w:pPr>
            <w:r>
              <w:rPr>
                <w:spacing w:val="-2"/>
                <w:sz w:val="18"/>
              </w:rPr>
              <w:t>0.0049</w:t>
            </w:r>
          </w:p>
        </w:tc>
        <w:tc>
          <w:tcPr>
            <w:tcW w:w="820" w:type="dxa"/>
          </w:tcPr>
          <w:p>
            <w:pPr>
              <w:pStyle w:val="TableParagraph"/>
              <w:spacing w:line="240" w:lineRule="auto"/>
              <w:rPr>
                <w:sz w:val="14"/>
              </w:rPr>
            </w:pPr>
          </w:p>
        </w:tc>
        <w:tc>
          <w:tcPr>
            <w:tcW w:w="1273" w:type="dxa"/>
          </w:tcPr>
          <w:p>
            <w:pPr>
              <w:pStyle w:val="TableParagraph"/>
              <w:spacing w:line="187" w:lineRule="exact"/>
              <w:ind w:left="35"/>
              <w:rPr>
                <w:sz w:val="18"/>
              </w:rPr>
            </w:pPr>
            <w:r>
              <w:rPr>
                <w:spacing w:val="-2"/>
                <w:sz w:val="18"/>
              </w:rPr>
              <w:t>0.00147</w:t>
            </w:r>
          </w:p>
        </w:tc>
        <w:tc>
          <w:tcPr>
            <w:tcW w:w="1424" w:type="dxa"/>
          </w:tcPr>
          <w:p>
            <w:pPr>
              <w:pStyle w:val="TableParagraph"/>
              <w:spacing w:line="240" w:lineRule="auto"/>
              <w:rPr>
                <w:sz w:val="14"/>
              </w:rPr>
            </w:pPr>
          </w:p>
        </w:tc>
        <w:tc>
          <w:tcPr>
            <w:tcW w:w="1272" w:type="dxa"/>
          </w:tcPr>
          <w:p>
            <w:pPr>
              <w:pStyle w:val="TableParagraph"/>
              <w:spacing w:line="187" w:lineRule="exact"/>
              <w:ind w:left="336"/>
              <w:rPr>
                <w:sz w:val="18"/>
              </w:rPr>
            </w:pPr>
            <w:r>
              <w:rPr>
                <w:spacing w:val="-2"/>
                <w:sz w:val="18"/>
              </w:rPr>
              <w:t>0.0049</w:t>
            </w:r>
          </w:p>
        </w:tc>
        <w:tc>
          <w:tcPr>
            <w:tcW w:w="1197" w:type="dxa"/>
          </w:tcPr>
          <w:p>
            <w:pPr>
              <w:pStyle w:val="TableParagraph"/>
              <w:spacing w:line="187" w:lineRule="exact"/>
              <w:ind w:left="260"/>
              <w:rPr>
                <w:sz w:val="18"/>
              </w:rPr>
            </w:pPr>
            <w:r>
              <w:rPr>
                <w:spacing w:val="-2"/>
                <w:sz w:val="18"/>
              </w:rPr>
              <w:t>0.00245</w:t>
            </w:r>
          </w:p>
        </w:tc>
        <w:tc>
          <w:tcPr>
            <w:tcW w:w="1783" w:type="dxa"/>
          </w:tcPr>
          <w:p>
            <w:pPr>
              <w:pStyle w:val="TableParagraph"/>
              <w:spacing w:line="187" w:lineRule="exact"/>
              <w:ind w:left="261"/>
              <w:rPr>
                <w:sz w:val="18"/>
              </w:rPr>
            </w:pPr>
            <w:r>
              <w:rPr>
                <w:spacing w:val="-2"/>
                <w:sz w:val="18"/>
              </w:rPr>
              <w:t>0.000817</w:t>
            </w:r>
          </w:p>
        </w:tc>
      </w:tr>
      <w:tr>
        <w:trPr>
          <w:trHeight w:val="206" w:hRule="atLeast"/>
        </w:trPr>
        <w:tc>
          <w:tcPr>
            <w:tcW w:w="1170" w:type="dxa"/>
            <w:tcBorders>
              <w:bottom w:val="single" w:sz="8" w:space="0" w:color="000000"/>
            </w:tcBorders>
          </w:tcPr>
          <w:p>
            <w:pPr>
              <w:pStyle w:val="TableParagraph"/>
              <w:spacing w:line="187" w:lineRule="exact"/>
              <w:ind w:left="122"/>
              <w:rPr>
                <w:b/>
                <w:sz w:val="18"/>
              </w:rPr>
            </w:pPr>
            <w:r>
              <w:rPr>
                <w:b/>
                <w:spacing w:val="-4"/>
                <w:sz w:val="18"/>
              </w:rPr>
              <w:t>%RSD</w:t>
            </w:r>
          </w:p>
        </w:tc>
        <w:tc>
          <w:tcPr>
            <w:tcW w:w="1085" w:type="dxa"/>
            <w:tcBorders>
              <w:bottom w:val="single" w:sz="8" w:space="0" w:color="000000"/>
            </w:tcBorders>
          </w:tcPr>
          <w:p>
            <w:pPr>
              <w:pStyle w:val="TableParagraph"/>
              <w:spacing w:line="187" w:lineRule="exact"/>
              <w:ind w:left="149"/>
              <w:rPr>
                <w:sz w:val="18"/>
              </w:rPr>
            </w:pPr>
            <w:r>
              <w:rPr>
                <w:spacing w:val="-2"/>
                <w:sz w:val="18"/>
              </w:rPr>
              <w:t>0.262821</w:t>
            </w:r>
          </w:p>
        </w:tc>
        <w:tc>
          <w:tcPr>
            <w:tcW w:w="820" w:type="dxa"/>
            <w:tcBorders>
              <w:bottom w:val="single" w:sz="8" w:space="0" w:color="000000"/>
            </w:tcBorders>
          </w:tcPr>
          <w:p>
            <w:pPr>
              <w:pStyle w:val="TableParagraph"/>
              <w:spacing w:line="240" w:lineRule="auto"/>
              <w:rPr>
                <w:sz w:val="14"/>
              </w:rPr>
            </w:pPr>
          </w:p>
        </w:tc>
        <w:tc>
          <w:tcPr>
            <w:tcW w:w="1273" w:type="dxa"/>
            <w:tcBorders>
              <w:bottom w:val="single" w:sz="8" w:space="0" w:color="000000"/>
            </w:tcBorders>
          </w:tcPr>
          <w:p>
            <w:pPr>
              <w:pStyle w:val="TableParagraph"/>
              <w:spacing w:line="187" w:lineRule="exact"/>
              <w:ind w:left="35"/>
              <w:rPr>
                <w:sz w:val="18"/>
              </w:rPr>
            </w:pPr>
            <w:r>
              <w:rPr>
                <w:spacing w:val="-2"/>
                <w:sz w:val="18"/>
              </w:rPr>
              <w:t>0.806638</w:t>
            </w:r>
          </w:p>
        </w:tc>
        <w:tc>
          <w:tcPr>
            <w:tcW w:w="1424" w:type="dxa"/>
            <w:tcBorders>
              <w:bottom w:val="single" w:sz="8" w:space="0" w:color="000000"/>
            </w:tcBorders>
          </w:tcPr>
          <w:p>
            <w:pPr>
              <w:pStyle w:val="TableParagraph"/>
              <w:spacing w:line="240" w:lineRule="auto"/>
              <w:rPr>
                <w:sz w:val="14"/>
              </w:rPr>
            </w:pPr>
          </w:p>
        </w:tc>
        <w:tc>
          <w:tcPr>
            <w:tcW w:w="1272" w:type="dxa"/>
            <w:tcBorders>
              <w:bottom w:val="single" w:sz="8" w:space="0" w:color="000000"/>
            </w:tcBorders>
          </w:tcPr>
          <w:p>
            <w:pPr>
              <w:pStyle w:val="TableParagraph"/>
              <w:spacing w:line="187" w:lineRule="exact"/>
              <w:ind w:left="336"/>
              <w:rPr>
                <w:sz w:val="18"/>
              </w:rPr>
            </w:pPr>
            <w:r>
              <w:rPr>
                <w:spacing w:val="-2"/>
                <w:sz w:val="18"/>
              </w:rPr>
              <w:t>0.262821</w:t>
            </w:r>
          </w:p>
        </w:tc>
        <w:tc>
          <w:tcPr>
            <w:tcW w:w="1197" w:type="dxa"/>
            <w:tcBorders>
              <w:bottom w:val="single" w:sz="8" w:space="0" w:color="000000"/>
            </w:tcBorders>
          </w:tcPr>
          <w:p>
            <w:pPr>
              <w:pStyle w:val="TableParagraph"/>
              <w:spacing w:line="187" w:lineRule="exact"/>
              <w:ind w:left="260"/>
              <w:rPr>
                <w:sz w:val="18"/>
              </w:rPr>
            </w:pPr>
            <w:r>
              <w:rPr>
                <w:spacing w:val="-2"/>
                <w:sz w:val="18"/>
              </w:rPr>
              <w:t>1.332279</w:t>
            </w:r>
          </w:p>
        </w:tc>
        <w:tc>
          <w:tcPr>
            <w:tcW w:w="1783" w:type="dxa"/>
            <w:tcBorders>
              <w:bottom w:val="single" w:sz="8" w:space="0" w:color="000000"/>
            </w:tcBorders>
          </w:tcPr>
          <w:p>
            <w:pPr>
              <w:pStyle w:val="TableParagraph"/>
              <w:spacing w:line="187" w:lineRule="exact"/>
              <w:ind w:left="261"/>
              <w:rPr>
                <w:sz w:val="18"/>
              </w:rPr>
            </w:pPr>
            <w:r>
              <w:rPr>
                <w:spacing w:val="-2"/>
                <w:sz w:val="18"/>
              </w:rPr>
              <w:t>0.444093</w:t>
            </w:r>
          </w:p>
        </w:tc>
      </w:tr>
    </w:tbl>
    <w:p>
      <w:pPr>
        <w:spacing w:after="0" w:line="187" w:lineRule="exact"/>
        <w:rPr>
          <w:sz w:val="18"/>
        </w:rPr>
        <w:sectPr>
          <w:pgSz w:w="12240" w:h="15840"/>
          <w:pgMar w:header="0" w:footer="1015" w:top="1360" w:bottom="1200" w:left="240" w:right="0"/>
        </w:sectPr>
      </w:pPr>
    </w:p>
    <w:p>
      <w:pPr>
        <w:spacing w:before="72"/>
        <w:ind w:left="1254" w:right="1494" w:firstLine="0"/>
        <w:jc w:val="center"/>
        <w:rPr>
          <w:sz w:val="18"/>
        </w:rPr>
      </w:pPr>
      <w:r>
        <w:rPr>
          <w:sz w:val="18"/>
        </w:rPr>
        <w:t>METHOD</w:t>
      </w:r>
      <w:r>
        <w:rPr>
          <w:spacing w:val="-5"/>
          <w:sz w:val="18"/>
        </w:rPr>
        <w:t> </w:t>
      </w:r>
      <w:r>
        <w:rPr>
          <w:spacing w:val="-10"/>
          <w:sz w:val="18"/>
        </w:rPr>
        <w:t>2</w:t>
      </w:r>
    </w:p>
    <w:p>
      <w:pPr>
        <w:pStyle w:val="BodyText"/>
        <w:rPr>
          <w:sz w:val="20"/>
        </w:rPr>
      </w:pPr>
    </w:p>
    <w:p>
      <w:pPr>
        <w:pStyle w:val="BodyText"/>
        <w:spacing w:before="99" w:after="1"/>
        <w:rPr>
          <w:sz w:val="20"/>
        </w:rPr>
      </w:pPr>
    </w:p>
    <w:tbl>
      <w:tblPr>
        <w:tblW w:w="0" w:type="auto"/>
        <w:jc w:val="left"/>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1022"/>
        <w:gridCol w:w="578"/>
        <w:gridCol w:w="1025"/>
        <w:gridCol w:w="576"/>
        <w:gridCol w:w="1022"/>
        <w:gridCol w:w="576"/>
        <w:gridCol w:w="1023"/>
        <w:gridCol w:w="576"/>
        <w:gridCol w:w="1022"/>
        <w:gridCol w:w="552"/>
        <w:gridCol w:w="1022"/>
        <w:gridCol w:w="1022"/>
      </w:tblGrid>
      <w:tr>
        <w:trPr>
          <w:trHeight w:val="206" w:hRule="atLeast"/>
        </w:trPr>
        <w:tc>
          <w:tcPr>
            <w:tcW w:w="11094" w:type="dxa"/>
            <w:gridSpan w:val="13"/>
          </w:tcPr>
          <w:p>
            <w:pPr>
              <w:pStyle w:val="TableParagraph"/>
              <w:ind w:left="2990"/>
              <w:rPr>
                <w:sz w:val="18"/>
              </w:rPr>
            </w:pPr>
            <w:r>
              <w:rPr>
                <w:sz w:val="18"/>
              </w:rPr>
              <w:t>INTRA</w:t>
            </w:r>
            <w:r>
              <w:rPr>
                <w:spacing w:val="-4"/>
                <w:sz w:val="18"/>
              </w:rPr>
              <w:t> </w:t>
            </w:r>
            <w:r>
              <w:rPr>
                <w:sz w:val="18"/>
              </w:rPr>
              <w:t>DAY</w:t>
            </w:r>
            <w:r>
              <w:rPr>
                <w:spacing w:val="-1"/>
                <w:sz w:val="18"/>
              </w:rPr>
              <w:t> </w:t>
            </w:r>
            <w:r>
              <w:rPr>
                <w:sz w:val="18"/>
              </w:rPr>
              <w:t>FOR</w:t>
            </w:r>
            <w:r>
              <w:rPr>
                <w:spacing w:val="-1"/>
                <w:sz w:val="18"/>
              </w:rPr>
              <w:t> </w:t>
            </w:r>
            <w:r>
              <w:rPr>
                <w:sz w:val="18"/>
              </w:rPr>
              <w:t>METHOD</w:t>
            </w:r>
            <w:r>
              <w:rPr>
                <w:spacing w:val="-2"/>
                <w:sz w:val="18"/>
              </w:rPr>
              <w:t> </w:t>
            </w:r>
            <w:r>
              <w:rPr>
                <w:spacing w:val="-10"/>
                <w:sz w:val="18"/>
              </w:rPr>
              <w:t>2</w:t>
            </w:r>
          </w:p>
        </w:tc>
      </w:tr>
      <w:tr>
        <w:trPr>
          <w:trHeight w:val="414" w:hRule="atLeast"/>
        </w:trPr>
        <w:tc>
          <w:tcPr>
            <w:tcW w:w="2100" w:type="dxa"/>
            <w:gridSpan w:val="2"/>
          </w:tcPr>
          <w:p>
            <w:pPr>
              <w:pStyle w:val="TableParagraph"/>
              <w:spacing w:line="202" w:lineRule="exact"/>
              <w:ind w:left="107"/>
              <w:rPr>
                <w:sz w:val="18"/>
              </w:rPr>
            </w:pPr>
            <w:r>
              <w:rPr>
                <w:sz w:val="18"/>
              </w:rPr>
              <w:t>0</w:t>
            </w:r>
            <w:r>
              <w:rPr>
                <w:spacing w:val="1"/>
                <w:sz w:val="18"/>
              </w:rPr>
              <w:t> </w:t>
            </w:r>
            <w:r>
              <w:rPr>
                <w:spacing w:val="-2"/>
                <w:sz w:val="18"/>
              </w:rPr>
              <w:t>(hrs)</w:t>
            </w:r>
          </w:p>
        </w:tc>
        <w:tc>
          <w:tcPr>
            <w:tcW w:w="1603" w:type="dxa"/>
            <w:gridSpan w:val="2"/>
          </w:tcPr>
          <w:p>
            <w:pPr>
              <w:pStyle w:val="TableParagraph"/>
              <w:spacing w:line="202" w:lineRule="exact"/>
              <w:ind w:left="108"/>
              <w:rPr>
                <w:sz w:val="18"/>
              </w:rPr>
            </w:pPr>
            <w:r>
              <w:rPr>
                <w:sz w:val="18"/>
              </w:rPr>
              <w:t>1</w:t>
            </w:r>
            <w:r>
              <w:rPr>
                <w:spacing w:val="1"/>
                <w:sz w:val="18"/>
              </w:rPr>
              <w:t> </w:t>
            </w:r>
            <w:r>
              <w:rPr>
                <w:spacing w:val="-2"/>
                <w:sz w:val="18"/>
              </w:rPr>
              <w:t>(hrs)</w:t>
            </w:r>
          </w:p>
        </w:tc>
        <w:tc>
          <w:tcPr>
            <w:tcW w:w="1598" w:type="dxa"/>
            <w:gridSpan w:val="2"/>
          </w:tcPr>
          <w:p>
            <w:pPr>
              <w:pStyle w:val="TableParagraph"/>
              <w:spacing w:line="202" w:lineRule="exact"/>
              <w:ind w:left="109"/>
              <w:rPr>
                <w:sz w:val="18"/>
              </w:rPr>
            </w:pPr>
            <w:r>
              <w:rPr>
                <w:sz w:val="18"/>
              </w:rPr>
              <w:t>2</w:t>
            </w:r>
            <w:r>
              <w:rPr>
                <w:spacing w:val="1"/>
                <w:sz w:val="18"/>
              </w:rPr>
              <w:t> </w:t>
            </w:r>
            <w:r>
              <w:rPr>
                <w:spacing w:val="-2"/>
                <w:sz w:val="18"/>
              </w:rPr>
              <w:t>(hrs)</w:t>
            </w:r>
          </w:p>
        </w:tc>
        <w:tc>
          <w:tcPr>
            <w:tcW w:w="1599" w:type="dxa"/>
            <w:gridSpan w:val="2"/>
          </w:tcPr>
          <w:p>
            <w:pPr>
              <w:pStyle w:val="TableParagraph"/>
              <w:spacing w:line="202" w:lineRule="exact"/>
              <w:ind w:left="109"/>
              <w:rPr>
                <w:sz w:val="18"/>
              </w:rPr>
            </w:pPr>
            <w:r>
              <w:rPr>
                <w:sz w:val="18"/>
              </w:rPr>
              <w:t>3</w:t>
            </w:r>
            <w:r>
              <w:rPr>
                <w:spacing w:val="1"/>
                <w:sz w:val="18"/>
              </w:rPr>
              <w:t> </w:t>
            </w:r>
            <w:r>
              <w:rPr>
                <w:spacing w:val="-2"/>
                <w:sz w:val="18"/>
              </w:rPr>
              <w:t>(hrs)</w:t>
            </w:r>
          </w:p>
        </w:tc>
        <w:tc>
          <w:tcPr>
            <w:tcW w:w="1598" w:type="dxa"/>
            <w:gridSpan w:val="2"/>
          </w:tcPr>
          <w:p>
            <w:pPr>
              <w:pStyle w:val="TableParagraph"/>
              <w:spacing w:line="202" w:lineRule="exact"/>
              <w:ind w:left="109"/>
              <w:rPr>
                <w:sz w:val="18"/>
              </w:rPr>
            </w:pPr>
            <w:r>
              <w:rPr>
                <w:sz w:val="18"/>
              </w:rPr>
              <w:t>4</w:t>
            </w:r>
            <w:r>
              <w:rPr>
                <w:spacing w:val="1"/>
                <w:sz w:val="18"/>
              </w:rPr>
              <w:t> </w:t>
            </w:r>
            <w:r>
              <w:rPr>
                <w:spacing w:val="-2"/>
                <w:sz w:val="18"/>
              </w:rPr>
              <w:t>(hrs)</w:t>
            </w:r>
          </w:p>
        </w:tc>
        <w:tc>
          <w:tcPr>
            <w:tcW w:w="1574" w:type="dxa"/>
            <w:gridSpan w:val="2"/>
          </w:tcPr>
          <w:p>
            <w:pPr>
              <w:pStyle w:val="TableParagraph"/>
              <w:spacing w:line="202" w:lineRule="exact"/>
              <w:ind w:left="110"/>
              <w:rPr>
                <w:sz w:val="18"/>
              </w:rPr>
            </w:pPr>
            <w:r>
              <w:rPr>
                <w:sz w:val="18"/>
              </w:rPr>
              <w:t>5</w:t>
            </w:r>
            <w:r>
              <w:rPr>
                <w:spacing w:val="1"/>
                <w:sz w:val="18"/>
              </w:rPr>
              <w:t> </w:t>
            </w:r>
            <w:r>
              <w:rPr>
                <w:spacing w:val="-2"/>
                <w:sz w:val="18"/>
              </w:rPr>
              <w:t>(hrs)</w:t>
            </w:r>
          </w:p>
        </w:tc>
        <w:tc>
          <w:tcPr>
            <w:tcW w:w="1022" w:type="dxa"/>
          </w:tcPr>
          <w:p>
            <w:pPr>
              <w:pStyle w:val="TableParagraph"/>
              <w:spacing w:line="202" w:lineRule="exact"/>
              <w:ind w:left="110"/>
              <w:rPr>
                <w:sz w:val="18"/>
              </w:rPr>
            </w:pPr>
            <w:r>
              <w:rPr>
                <w:spacing w:val="-4"/>
                <w:sz w:val="18"/>
              </w:rPr>
              <w:t>TOTAL</w:t>
            </w:r>
          </w:p>
          <w:p>
            <w:pPr>
              <w:pStyle w:val="TableParagraph"/>
              <w:spacing w:line="191" w:lineRule="exact" w:before="2"/>
              <w:ind w:left="110"/>
              <w:rPr>
                <w:sz w:val="18"/>
              </w:rPr>
            </w:pPr>
            <w:r>
              <w:rPr>
                <w:spacing w:val="-4"/>
                <w:sz w:val="18"/>
              </w:rPr>
              <w:t>MEAN</w:t>
            </w:r>
          </w:p>
        </w:tc>
      </w:tr>
      <w:tr>
        <w:trPr>
          <w:trHeight w:val="205" w:hRule="atLeast"/>
        </w:trPr>
        <w:tc>
          <w:tcPr>
            <w:tcW w:w="1078" w:type="dxa"/>
          </w:tcPr>
          <w:p>
            <w:pPr>
              <w:pStyle w:val="TableParagraph"/>
              <w:ind w:left="107"/>
              <w:rPr>
                <w:sz w:val="18"/>
              </w:rPr>
            </w:pPr>
            <w:r>
              <w:rPr>
                <w:spacing w:val="-4"/>
                <w:sz w:val="18"/>
              </w:rPr>
              <w:t>Cyc.</w:t>
            </w:r>
          </w:p>
        </w:tc>
        <w:tc>
          <w:tcPr>
            <w:tcW w:w="1022" w:type="dxa"/>
          </w:tcPr>
          <w:p>
            <w:pPr>
              <w:pStyle w:val="TableParagraph"/>
              <w:ind w:left="107"/>
              <w:rPr>
                <w:sz w:val="18"/>
              </w:rPr>
            </w:pPr>
            <w:r>
              <w:rPr>
                <w:spacing w:val="-4"/>
                <w:sz w:val="18"/>
              </w:rPr>
              <w:t>Abs.</w:t>
            </w:r>
          </w:p>
        </w:tc>
        <w:tc>
          <w:tcPr>
            <w:tcW w:w="578" w:type="dxa"/>
          </w:tcPr>
          <w:p>
            <w:pPr>
              <w:pStyle w:val="TableParagraph"/>
              <w:ind w:left="108"/>
              <w:rPr>
                <w:sz w:val="18"/>
              </w:rPr>
            </w:pPr>
            <w:r>
              <w:rPr>
                <w:spacing w:val="-4"/>
                <w:sz w:val="18"/>
              </w:rPr>
              <w:t>Cyc.</w:t>
            </w:r>
          </w:p>
        </w:tc>
        <w:tc>
          <w:tcPr>
            <w:tcW w:w="1025" w:type="dxa"/>
          </w:tcPr>
          <w:p>
            <w:pPr>
              <w:pStyle w:val="TableParagraph"/>
              <w:ind w:left="108"/>
              <w:rPr>
                <w:sz w:val="18"/>
              </w:rPr>
            </w:pPr>
            <w:r>
              <w:rPr>
                <w:spacing w:val="-4"/>
                <w:sz w:val="18"/>
              </w:rPr>
              <w:t>Abs.</w:t>
            </w:r>
          </w:p>
        </w:tc>
        <w:tc>
          <w:tcPr>
            <w:tcW w:w="576" w:type="dxa"/>
          </w:tcPr>
          <w:p>
            <w:pPr>
              <w:pStyle w:val="TableParagraph"/>
              <w:ind w:left="109"/>
              <w:rPr>
                <w:sz w:val="18"/>
              </w:rPr>
            </w:pPr>
            <w:r>
              <w:rPr>
                <w:spacing w:val="-4"/>
                <w:sz w:val="18"/>
              </w:rPr>
              <w:t>Cyc.</w:t>
            </w:r>
          </w:p>
        </w:tc>
        <w:tc>
          <w:tcPr>
            <w:tcW w:w="1022" w:type="dxa"/>
          </w:tcPr>
          <w:p>
            <w:pPr>
              <w:pStyle w:val="TableParagraph"/>
              <w:ind w:left="106"/>
              <w:rPr>
                <w:sz w:val="18"/>
              </w:rPr>
            </w:pPr>
            <w:r>
              <w:rPr>
                <w:spacing w:val="-4"/>
                <w:sz w:val="18"/>
              </w:rPr>
              <w:t>Abs.</w:t>
            </w:r>
          </w:p>
        </w:tc>
        <w:tc>
          <w:tcPr>
            <w:tcW w:w="576" w:type="dxa"/>
          </w:tcPr>
          <w:p>
            <w:pPr>
              <w:pStyle w:val="TableParagraph"/>
              <w:ind w:left="109"/>
              <w:rPr>
                <w:sz w:val="18"/>
              </w:rPr>
            </w:pPr>
            <w:r>
              <w:rPr>
                <w:spacing w:val="-4"/>
                <w:sz w:val="18"/>
              </w:rPr>
              <w:t>Cyc.</w:t>
            </w:r>
          </w:p>
        </w:tc>
        <w:tc>
          <w:tcPr>
            <w:tcW w:w="1023" w:type="dxa"/>
          </w:tcPr>
          <w:p>
            <w:pPr>
              <w:pStyle w:val="TableParagraph"/>
              <w:ind w:left="109"/>
              <w:rPr>
                <w:sz w:val="18"/>
              </w:rPr>
            </w:pPr>
            <w:r>
              <w:rPr>
                <w:spacing w:val="-4"/>
                <w:sz w:val="18"/>
              </w:rPr>
              <w:t>Abs.</w:t>
            </w:r>
          </w:p>
        </w:tc>
        <w:tc>
          <w:tcPr>
            <w:tcW w:w="576" w:type="dxa"/>
          </w:tcPr>
          <w:p>
            <w:pPr>
              <w:pStyle w:val="TableParagraph"/>
              <w:ind w:left="109"/>
              <w:rPr>
                <w:sz w:val="18"/>
              </w:rPr>
            </w:pPr>
            <w:r>
              <w:rPr>
                <w:spacing w:val="-4"/>
                <w:sz w:val="18"/>
              </w:rPr>
              <w:t>Cyc.</w:t>
            </w:r>
          </w:p>
        </w:tc>
        <w:tc>
          <w:tcPr>
            <w:tcW w:w="1022" w:type="dxa"/>
          </w:tcPr>
          <w:p>
            <w:pPr>
              <w:pStyle w:val="TableParagraph"/>
              <w:ind w:left="109"/>
              <w:rPr>
                <w:sz w:val="18"/>
              </w:rPr>
            </w:pPr>
            <w:r>
              <w:rPr>
                <w:spacing w:val="-4"/>
                <w:sz w:val="18"/>
              </w:rPr>
              <w:t>Abs.</w:t>
            </w:r>
          </w:p>
        </w:tc>
        <w:tc>
          <w:tcPr>
            <w:tcW w:w="552" w:type="dxa"/>
          </w:tcPr>
          <w:p>
            <w:pPr>
              <w:pStyle w:val="TableParagraph"/>
              <w:ind w:left="110"/>
              <w:rPr>
                <w:sz w:val="18"/>
              </w:rPr>
            </w:pPr>
            <w:r>
              <w:rPr>
                <w:spacing w:val="-4"/>
                <w:sz w:val="18"/>
              </w:rPr>
              <w:t>Cyc.</w:t>
            </w:r>
          </w:p>
        </w:tc>
        <w:tc>
          <w:tcPr>
            <w:tcW w:w="1022" w:type="dxa"/>
          </w:tcPr>
          <w:p>
            <w:pPr>
              <w:pStyle w:val="TableParagraph"/>
              <w:ind w:left="110"/>
              <w:rPr>
                <w:sz w:val="18"/>
              </w:rPr>
            </w:pPr>
            <w:r>
              <w:rPr>
                <w:spacing w:val="-4"/>
                <w:sz w:val="18"/>
              </w:rPr>
              <w:t>Abs.</w:t>
            </w:r>
          </w:p>
        </w:tc>
        <w:tc>
          <w:tcPr>
            <w:tcW w:w="1022" w:type="dxa"/>
          </w:tcPr>
          <w:p>
            <w:pPr>
              <w:pStyle w:val="TableParagraph"/>
              <w:spacing w:line="240" w:lineRule="auto"/>
              <w:rPr>
                <w:sz w:val="14"/>
              </w:rPr>
            </w:pPr>
          </w:p>
        </w:tc>
      </w:tr>
      <w:tr>
        <w:trPr>
          <w:trHeight w:val="208" w:hRule="atLeast"/>
        </w:trPr>
        <w:tc>
          <w:tcPr>
            <w:tcW w:w="1078" w:type="dxa"/>
          </w:tcPr>
          <w:p>
            <w:pPr>
              <w:pStyle w:val="TableParagraph"/>
              <w:spacing w:line="188" w:lineRule="exact"/>
              <w:ind w:left="107"/>
              <w:rPr>
                <w:sz w:val="18"/>
              </w:rPr>
            </w:pPr>
            <w:r>
              <w:rPr>
                <w:spacing w:val="-10"/>
                <w:sz w:val="18"/>
              </w:rPr>
              <w:t>1</w:t>
            </w:r>
          </w:p>
        </w:tc>
        <w:tc>
          <w:tcPr>
            <w:tcW w:w="1022" w:type="dxa"/>
          </w:tcPr>
          <w:p>
            <w:pPr>
              <w:pStyle w:val="TableParagraph"/>
              <w:spacing w:line="188" w:lineRule="exact"/>
              <w:ind w:left="107"/>
              <w:rPr>
                <w:sz w:val="18"/>
              </w:rPr>
            </w:pPr>
            <w:r>
              <w:rPr>
                <w:spacing w:val="-2"/>
                <w:sz w:val="18"/>
              </w:rPr>
              <w:t>0.610</w:t>
            </w:r>
          </w:p>
        </w:tc>
        <w:tc>
          <w:tcPr>
            <w:tcW w:w="578" w:type="dxa"/>
          </w:tcPr>
          <w:p>
            <w:pPr>
              <w:pStyle w:val="TableParagraph"/>
              <w:spacing w:line="188" w:lineRule="exact"/>
              <w:ind w:left="108"/>
              <w:rPr>
                <w:sz w:val="18"/>
              </w:rPr>
            </w:pPr>
            <w:r>
              <w:rPr>
                <w:spacing w:val="-10"/>
                <w:sz w:val="18"/>
              </w:rPr>
              <w:t>1</w:t>
            </w:r>
          </w:p>
        </w:tc>
        <w:tc>
          <w:tcPr>
            <w:tcW w:w="1025" w:type="dxa"/>
          </w:tcPr>
          <w:p>
            <w:pPr>
              <w:pStyle w:val="TableParagraph"/>
              <w:spacing w:line="188" w:lineRule="exact"/>
              <w:ind w:left="108"/>
              <w:rPr>
                <w:sz w:val="18"/>
              </w:rPr>
            </w:pPr>
            <w:r>
              <w:rPr>
                <w:spacing w:val="-2"/>
                <w:sz w:val="18"/>
              </w:rPr>
              <w:t>0.612</w:t>
            </w:r>
          </w:p>
        </w:tc>
        <w:tc>
          <w:tcPr>
            <w:tcW w:w="576" w:type="dxa"/>
          </w:tcPr>
          <w:p>
            <w:pPr>
              <w:pStyle w:val="TableParagraph"/>
              <w:spacing w:line="188" w:lineRule="exact"/>
              <w:ind w:left="109"/>
              <w:rPr>
                <w:sz w:val="18"/>
              </w:rPr>
            </w:pPr>
            <w:r>
              <w:rPr>
                <w:spacing w:val="-10"/>
                <w:sz w:val="18"/>
              </w:rPr>
              <w:t>1</w:t>
            </w:r>
          </w:p>
        </w:tc>
        <w:tc>
          <w:tcPr>
            <w:tcW w:w="1022" w:type="dxa"/>
          </w:tcPr>
          <w:p>
            <w:pPr>
              <w:pStyle w:val="TableParagraph"/>
              <w:spacing w:line="188" w:lineRule="exact"/>
              <w:ind w:left="106"/>
              <w:rPr>
                <w:sz w:val="18"/>
              </w:rPr>
            </w:pPr>
            <w:r>
              <w:rPr>
                <w:spacing w:val="-2"/>
                <w:sz w:val="18"/>
              </w:rPr>
              <w:t>0.611</w:t>
            </w:r>
          </w:p>
        </w:tc>
        <w:tc>
          <w:tcPr>
            <w:tcW w:w="576" w:type="dxa"/>
          </w:tcPr>
          <w:p>
            <w:pPr>
              <w:pStyle w:val="TableParagraph"/>
              <w:spacing w:line="188" w:lineRule="exact"/>
              <w:ind w:left="109"/>
              <w:rPr>
                <w:sz w:val="18"/>
              </w:rPr>
            </w:pPr>
            <w:r>
              <w:rPr>
                <w:spacing w:val="-10"/>
                <w:sz w:val="18"/>
              </w:rPr>
              <w:t>1</w:t>
            </w:r>
          </w:p>
        </w:tc>
        <w:tc>
          <w:tcPr>
            <w:tcW w:w="1023" w:type="dxa"/>
          </w:tcPr>
          <w:p>
            <w:pPr>
              <w:pStyle w:val="TableParagraph"/>
              <w:spacing w:line="188" w:lineRule="exact"/>
              <w:ind w:left="109"/>
              <w:rPr>
                <w:sz w:val="18"/>
              </w:rPr>
            </w:pPr>
            <w:r>
              <w:rPr>
                <w:spacing w:val="-2"/>
                <w:sz w:val="18"/>
              </w:rPr>
              <w:t>0.611</w:t>
            </w:r>
          </w:p>
        </w:tc>
        <w:tc>
          <w:tcPr>
            <w:tcW w:w="576" w:type="dxa"/>
          </w:tcPr>
          <w:p>
            <w:pPr>
              <w:pStyle w:val="TableParagraph"/>
              <w:spacing w:line="188" w:lineRule="exact"/>
              <w:ind w:left="109"/>
              <w:rPr>
                <w:sz w:val="18"/>
              </w:rPr>
            </w:pPr>
            <w:r>
              <w:rPr>
                <w:spacing w:val="-10"/>
                <w:sz w:val="18"/>
              </w:rPr>
              <w:t>1</w:t>
            </w:r>
          </w:p>
        </w:tc>
        <w:tc>
          <w:tcPr>
            <w:tcW w:w="1022" w:type="dxa"/>
          </w:tcPr>
          <w:p>
            <w:pPr>
              <w:pStyle w:val="TableParagraph"/>
              <w:spacing w:line="188" w:lineRule="exact"/>
              <w:ind w:left="109"/>
              <w:rPr>
                <w:sz w:val="18"/>
              </w:rPr>
            </w:pPr>
            <w:r>
              <w:rPr>
                <w:spacing w:val="-2"/>
                <w:sz w:val="18"/>
              </w:rPr>
              <w:t>0.612</w:t>
            </w:r>
          </w:p>
        </w:tc>
        <w:tc>
          <w:tcPr>
            <w:tcW w:w="552" w:type="dxa"/>
          </w:tcPr>
          <w:p>
            <w:pPr>
              <w:pStyle w:val="TableParagraph"/>
              <w:spacing w:line="188" w:lineRule="exact"/>
              <w:ind w:left="110"/>
              <w:rPr>
                <w:sz w:val="18"/>
              </w:rPr>
            </w:pPr>
            <w:r>
              <w:rPr>
                <w:spacing w:val="-10"/>
                <w:sz w:val="18"/>
              </w:rPr>
              <w:t>1</w:t>
            </w:r>
          </w:p>
        </w:tc>
        <w:tc>
          <w:tcPr>
            <w:tcW w:w="1022" w:type="dxa"/>
          </w:tcPr>
          <w:p>
            <w:pPr>
              <w:pStyle w:val="TableParagraph"/>
              <w:spacing w:line="188" w:lineRule="exact"/>
              <w:ind w:left="110"/>
              <w:rPr>
                <w:sz w:val="18"/>
              </w:rPr>
            </w:pPr>
            <w:r>
              <w:rPr>
                <w:spacing w:val="-2"/>
                <w:sz w:val="18"/>
              </w:rPr>
              <w:t>0.611</w:t>
            </w:r>
          </w:p>
        </w:tc>
        <w:tc>
          <w:tcPr>
            <w:tcW w:w="1022" w:type="dxa"/>
          </w:tcPr>
          <w:p>
            <w:pPr>
              <w:pStyle w:val="TableParagraph"/>
              <w:spacing w:line="240" w:lineRule="auto"/>
              <w:rPr>
                <w:sz w:val="14"/>
              </w:rPr>
            </w:pPr>
          </w:p>
        </w:tc>
      </w:tr>
      <w:tr>
        <w:trPr>
          <w:trHeight w:val="206" w:hRule="atLeast"/>
        </w:trPr>
        <w:tc>
          <w:tcPr>
            <w:tcW w:w="1078" w:type="dxa"/>
          </w:tcPr>
          <w:p>
            <w:pPr>
              <w:pStyle w:val="TableParagraph"/>
              <w:ind w:left="107"/>
              <w:rPr>
                <w:sz w:val="18"/>
              </w:rPr>
            </w:pPr>
            <w:r>
              <w:rPr>
                <w:spacing w:val="-10"/>
                <w:sz w:val="18"/>
              </w:rPr>
              <w:t>2</w:t>
            </w:r>
          </w:p>
        </w:tc>
        <w:tc>
          <w:tcPr>
            <w:tcW w:w="1022" w:type="dxa"/>
          </w:tcPr>
          <w:p>
            <w:pPr>
              <w:pStyle w:val="TableParagraph"/>
              <w:ind w:left="107"/>
              <w:rPr>
                <w:sz w:val="18"/>
              </w:rPr>
            </w:pPr>
            <w:r>
              <w:rPr>
                <w:spacing w:val="-2"/>
                <w:sz w:val="18"/>
              </w:rPr>
              <w:t>0.611</w:t>
            </w:r>
          </w:p>
        </w:tc>
        <w:tc>
          <w:tcPr>
            <w:tcW w:w="578" w:type="dxa"/>
          </w:tcPr>
          <w:p>
            <w:pPr>
              <w:pStyle w:val="TableParagraph"/>
              <w:ind w:left="108"/>
              <w:rPr>
                <w:sz w:val="18"/>
              </w:rPr>
            </w:pPr>
            <w:r>
              <w:rPr>
                <w:spacing w:val="-10"/>
                <w:sz w:val="18"/>
              </w:rPr>
              <w:t>2</w:t>
            </w:r>
          </w:p>
        </w:tc>
        <w:tc>
          <w:tcPr>
            <w:tcW w:w="1025" w:type="dxa"/>
          </w:tcPr>
          <w:p>
            <w:pPr>
              <w:pStyle w:val="TableParagraph"/>
              <w:ind w:left="108"/>
              <w:rPr>
                <w:sz w:val="18"/>
              </w:rPr>
            </w:pPr>
            <w:r>
              <w:rPr>
                <w:spacing w:val="-2"/>
                <w:sz w:val="18"/>
              </w:rPr>
              <w:t>0.611</w:t>
            </w:r>
          </w:p>
        </w:tc>
        <w:tc>
          <w:tcPr>
            <w:tcW w:w="576" w:type="dxa"/>
          </w:tcPr>
          <w:p>
            <w:pPr>
              <w:pStyle w:val="TableParagraph"/>
              <w:ind w:left="109"/>
              <w:rPr>
                <w:sz w:val="18"/>
              </w:rPr>
            </w:pPr>
            <w:r>
              <w:rPr>
                <w:spacing w:val="-10"/>
                <w:sz w:val="18"/>
              </w:rPr>
              <w:t>2</w:t>
            </w:r>
          </w:p>
        </w:tc>
        <w:tc>
          <w:tcPr>
            <w:tcW w:w="1022" w:type="dxa"/>
          </w:tcPr>
          <w:p>
            <w:pPr>
              <w:pStyle w:val="TableParagraph"/>
              <w:ind w:left="106"/>
              <w:rPr>
                <w:sz w:val="18"/>
              </w:rPr>
            </w:pPr>
            <w:r>
              <w:rPr>
                <w:spacing w:val="-2"/>
                <w:sz w:val="18"/>
              </w:rPr>
              <w:t>0.610</w:t>
            </w:r>
          </w:p>
        </w:tc>
        <w:tc>
          <w:tcPr>
            <w:tcW w:w="576" w:type="dxa"/>
          </w:tcPr>
          <w:p>
            <w:pPr>
              <w:pStyle w:val="TableParagraph"/>
              <w:ind w:left="109"/>
              <w:rPr>
                <w:sz w:val="18"/>
              </w:rPr>
            </w:pPr>
            <w:r>
              <w:rPr>
                <w:spacing w:val="-10"/>
                <w:sz w:val="18"/>
              </w:rPr>
              <w:t>2</w:t>
            </w:r>
          </w:p>
        </w:tc>
        <w:tc>
          <w:tcPr>
            <w:tcW w:w="1023" w:type="dxa"/>
          </w:tcPr>
          <w:p>
            <w:pPr>
              <w:pStyle w:val="TableParagraph"/>
              <w:ind w:left="109"/>
              <w:rPr>
                <w:sz w:val="18"/>
              </w:rPr>
            </w:pPr>
            <w:r>
              <w:rPr>
                <w:spacing w:val="-2"/>
                <w:sz w:val="18"/>
              </w:rPr>
              <w:t>0.610</w:t>
            </w:r>
          </w:p>
        </w:tc>
        <w:tc>
          <w:tcPr>
            <w:tcW w:w="576" w:type="dxa"/>
          </w:tcPr>
          <w:p>
            <w:pPr>
              <w:pStyle w:val="TableParagraph"/>
              <w:ind w:left="109"/>
              <w:rPr>
                <w:sz w:val="18"/>
              </w:rPr>
            </w:pPr>
            <w:r>
              <w:rPr>
                <w:spacing w:val="-10"/>
                <w:sz w:val="18"/>
              </w:rPr>
              <w:t>2</w:t>
            </w:r>
          </w:p>
        </w:tc>
        <w:tc>
          <w:tcPr>
            <w:tcW w:w="1022" w:type="dxa"/>
          </w:tcPr>
          <w:p>
            <w:pPr>
              <w:pStyle w:val="TableParagraph"/>
              <w:ind w:left="109"/>
              <w:rPr>
                <w:sz w:val="18"/>
              </w:rPr>
            </w:pPr>
            <w:r>
              <w:rPr>
                <w:spacing w:val="-2"/>
                <w:sz w:val="18"/>
              </w:rPr>
              <w:t>0.611</w:t>
            </w:r>
          </w:p>
        </w:tc>
        <w:tc>
          <w:tcPr>
            <w:tcW w:w="552" w:type="dxa"/>
          </w:tcPr>
          <w:p>
            <w:pPr>
              <w:pStyle w:val="TableParagraph"/>
              <w:ind w:left="110"/>
              <w:rPr>
                <w:sz w:val="18"/>
              </w:rPr>
            </w:pPr>
            <w:r>
              <w:rPr>
                <w:spacing w:val="-10"/>
                <w:sz w:val="18"/>
              </w:rPr>
              <w:t>2</w:t>
            </w:r>
          </w:p>
        </w:tc>
        <w:tc>
          <w:tcPr>
            <w:tcW w:w="1022" w:type="dxa"/>
          </w:tcPr>
          <w:p>
            <w:pPr>
              <w:pStyle w:val="TableParagraph"/>
              <w:ind w:left="110"/>
              <w:rPr>
                <w:sz w:val="18"/>
              </w:rPr>
            </w:pPr>
            <w:r>
              <w:rPr>
                <w:spacing w:val="-2"/>
                <w:sz w:val="18"/>
              </w:rPr>
              <w:t>0.608</w:t>
            </w:r>
          </w:p>
        </w:tc>
        <w:tc>
          <w:tcPr>
            <w:tcW w:w="1022" w:type="dxa"/>
          </w:tcPr>
          <w:p>
            <w:pPr>
              <w:pStyle w:val="TableParagraph"/>
              <w:spacing w:line="240" w:lineRule="auto"/>
              <w:rPr>
                <w:sz w:val="14"/>
              </w:rPr>
            </w:pPr>
          </w:p>
        </w:tc>
      </w:tr>
      <w:tr>
        <w:trPr>
          <w:trHeight w:val="208" w:hRule="atLeast"/>
        </w:trPr>
        <w:tc>
          <w:tcPr>
            <w:tcW w:w="1078" w:type="dxa"/>
          </w:tcPr>
          <w:p>
            <w:pPr>
              <w:pStyle w:val="TableParagraph"/>
              <w:spacing w:line="188" w:lineRule="exact"/>
              <w:ind w:left="107"/>
              <w:rPr>
                <w:sz w:val="18"/>
              </w:rPr>
            </w:pPr>
            <w:r>
              <w:rPr>
                <w:spacing w:val="-10"/>
                <w:sz w:val="18"/>
              </w:rPr>
              <w:t>3</w:t>
            </w:r>
          </w:p>
        </w:tc>
        <w:tc>
          <w:tcPr>
            <w:tcW w:w="1022" w:type="dxa"/>
          </w:tcPr>
          <w:p>
            <w:pPr>
              <w:pStyle w:val="TableParagraph"/>
              <w:spacing w:line="188" w:lineRule="exact"/>
              <w:ind w:left="107"/>
              <w:rPr>
                <w:sz w:val="18"/>
              </w:rPr>
            </w:pPr>
            <w:r>
              <w:rPr>
                <w:spacing w:val="-2"/>
                <w:sz w:val="18"/>
              </w:rPr>
              <w:t>0.610</w:t>
            </w:r>
          </w:p>
        </w:tc>
        <w:tc>
          <w:tcPr>
            <w:tcW w:w="578" w:type="dxa"/>
          </w:tcPr>
          <w:p>
            <w:pPr>
              <w:pStyle w:val="TableParagraph"/>
              <w:spacing w:line="188" w:lineRule="exact"/>
              <w:ind w:left="108"/>
              <w:rPr>
                <w:sz w:val="18"/>
              </w:rPr>
            </w:pPr>
            <w:r>
              <w:rPr>
                <w:spacing w:val="-10"/>
                <w:sz w:val="18"/>
              </w:rPr>
              <w:t>3</w:t>
            </w:r>
          </w:p>
        </w:tc>
        <w:tc>
          <w:tcPr>
            <w:tcW w:w="1025" w:type="dxa"/>
          </w:tcPr>
          <w:p>
            <w:pPr>
              <w:pStyle w:val="TableParagraph"/>
              <w:spacing w:line="188" w:lineRule="exact"/>
              <w:ind w:left="108"/>
              <w:rPr>
                <w:sz w:val="18"/>
              </w:rPr>
            </w:pPr>
            <w:r>
              <w:rPr>
                <w:spacing w:val="-2"/>
                <w:sz w:val="18"/>
              </w:rPr>
              <w:t>0.608</w:t>
            </w:r>
          </w:p>
        </w:tc>
        <w:tc>
          <w:tcPr>
            <w:tcW w:w="576" w:type="dxa"/>
          </w:tcPr>
          <w:p>
            <w:pPr>
              <w:pStyle w:val="TableParagraph"/>
              <w:spacing w:line="188" w:lineRule="exact"/>
              <w:ind w:left="109"/>
              <w:rPr>
                <w:sz w:val="18"/>
              </w:rPr>
            </w:pPr>
            <w:r>
              <w:rPr>
                <w:spacing w:val="-10"/>
                <w:sz w:val="18"/>
              </w:rPr>
              <w:t>3</w:t>
            </w:r>
          </w:p>
        </w:tc>
        <w:tc>
          <w:tcPr>
            <w:tcW w:w="1022" w:type="dxa"/>
          </w:tcPr>
          <w:p>
            <w:pPr>
              <w:pStyle w:val="TableParagraph"/>
              <w:spacing w:line="188" w:lineRule="exact"/>
              <w:ind w:left="106"/>
              <w:rPr>
                <w:sz w:val="18"/>
              </w:rPr>
            </w:pPr>
            <w:r>
              <w:rPr>
                <w:spacing w:val="-2"/>
                <w:sz w:val="18"/>
              </w:rPr>
              <w:t>0.609</w:t>
            </w:r>
          </w:p>
        </w:tc>
        <w:tc>
          <w:tcPr>
            <w:tcW w:w="576" w:type="dxa"/>
          </w:tcPr>
          <w:p>
            <w:pPr>
              <w:pStyle w:val="TableParagraph"/>
              <w:spacing w:line="188" w:lineRule="exact"/>
              <w:ind w:left="109"/>
              <w:rPr>
                <w:sz w:val="18"/>
              </w:rPr>
            </w:pPr>
            <w:r>
              <w:rPr>
                <w:spacing w:val="-10"/>
                <w:sz w:val="18"/>
              </w:rPr>
              <w:t>3</w:t>
            </w:r>
          </w:p>
        </w:tc>
        <w:tc>
          <w:tcPr>
            <w:tcW w:w="1023" w:type="dxa"/>
          </w:tcPr>
          <w:p>
            <w:pPr>
              <w:pStyle w:val="TableParagraph"/>
              <w:spacing w:line="188" w:lineRule="exact"/>
              <w:ind w:left="109"/>
              <w:rPr>
                <w:sz w:val="18"/>
              </w:rPr>
            </w:pPr>
            <w:r>
              <w:rPr>
                <w:spacing w:val="-2"/>
                <w:sz w:val="18"/>
              </w:rPr>
              <w:t>0.609</w:t>
            </w:r>
          </w:p>
        </w:tc>
        <w:tc>
          <w:tcPr>
            <w:tcW w:w="576" w:type="dxa"/>
          </w:tcPr>
          <w:p>
            <w:pPr>
              <w:pStyle w:val="TableParagraph"/>
              <w:spacing w:line="188" w:lineRule="exact"/>
              <w:ind w:left="109"/>
              <w:rPr>
                <w:sz w:val="18"/>
              </w:rPr>
            </w:pPr>
            <w:r>
              <w:rPr>
                <w:spacing w:val="-10"/>
                <w:sz w:val="18"/>
              </w:rPr>
              <w:t>3</w:t>
            </w:r>
          </w:p>
        </w:tc>
        <w:tc>
          <w:tcPr>
            <w:tcW w:w="1022" w:type="dxa"/>
          </w:tcPr>
          <w:p>
            <w:pPr>
              <w:pStyle w:val="TableParagraph"/>
              <w:spacing w:line="188" w:lineRule="exact"/>
              <w:ind w:left="109"/>
              <w:rPr>
                <w:sz w:val="18"/>
              </w:rPr>
            </w:pPr>
            <w:r>
              <w:rPr>
                <w:spacing w:val="-2"/>
                <w:sz w:val="18"/>
              </w:rPr>
              <w:t>0.608</w:t>
            </w:r>
          </w:p>
        </w:tc>
        <w:tc>
          <w:tcPr>
            <w:tcW w:w="552" w:type="dxa"/>
          </w:tcPr>
          <w:p>
            <w:pPr>
              <w:pStyle w:val="TableParagraph"/>
              <w:spacing w:line="188" w:lineRule="exact"/>
              <w:ind w:left="110"/>
              <w:rPr>
                <w:sz w:val="18"/>
              </w:rPr>
            </w:pPr>
            <w:r>
              <w:rPr>
                <w:spacing w:val="-10"/>
                <w:sz w:val="18"/>
              </w:rPr>
              <w:t>3</w:t>
            </w:r>
          </w:p>
        </w:tc>
        <w:tc>
          <w:tcPr>
            <w:tcW w:w="1022" w:type="dxa"/>
          </w:tcPr>
          <w:p>
            <w:pPr>
              <w:pStyle w:val="TableParagraph"/>
              <w:spacing w:line="188" w:lineRule="exact"/>
              <w:ind w:left="110"/>
              <w:rPr>
                <w:sz w:val="18"/>
              </w:rPr>
            </w:pPr>
            <w:r>
              <w:rPr>
                <w:spacing w:val="-2"/>
                <w:sz w:val="18"/>
              </w:rPr>
              <w:t>0.609</w:t>
            </w:r>
          </w:p>
        </w:tc>
        <w:tc>
          <w:tcPr>
            <w:tcW w:w="1022" w:type="dxa"/>
          </w:tcPr>
          <w:p>
            <w:pPr>
              <w:pStyle w:val="TableParagraph"/>
              <w:spacing w:line="240" w:lineRule="auto"/>
              <w:rPr>
                <w:sz w:val="14"/>
              </w:rPr>
            </w:pPr>
          </w:p>
        </w:tc>
      </w:tr>
      <w:tr>
        <w:trPr>
          <w:trHeight w:val="206" w:hRule="atLeast"/>
        </w:trPr>
        <w:tc>
          <w:tcPr>
            <w:tcW w:w="1078" w:type="dxa"/>
          </w:tcPr>
          <w:p>
            <w:pPr>
              <w:pStyle w:val="TableParagraph"/>
              <w:ind w:left="107"/>
              <w:rPr>
                <w:sz w:val="18"/>
              </w:rPr>
            </w:pPr>
            <w:r>
              <w:rPr>
                <w:spacing w:val="-10"/>
                <w:sz w:val="18"/>
              </w:rPr>
              <w:t>4</w:t>
            </w:r>
          </w:p>
        </w:tc>
        <w:tc>
          <w:tcPr>
            <w:tcW w:w="1022" w:type="dxa"/>
          </w:tcPr>
          <w:p>
            <w:pPr>
              <w:pStyle w:val="TableParagraph"/>
              <w:ind w:left="107"/>
              <w:rPr>
                <w:sz w:val="18"/>
              </w:rPr>
            </w:pPr>
            <w:r>
              <w:rPr>
                <w:spacing w:val="-2"/>
                <w:sz w:val="18"/>
              </w:rPr>
              <w:t>0.610</w:t>
            </w:r>
          </w:p>
        </w:tc>
        <w:tc>
          <w:tcPr>
            <w:tcW w:w="578" w:type="dxa"/>
          </w:tcPr>
          <w:p>
            <w:pPr>
              <w:pStyle w:val="TableParagraph"/>
              <w:ind w:left="108"/>
              <w:rPr>
                <w:sz w:val="18"/>
              </w:rPr>
            </w:pPr>
            <w:r>
              <w:rPr>
                <w:spacing w:val="-10"/>
                <w:sz w:val="18"/>
              </w:rPr>
              <w:t>4</w:t>
            </w:r>
          </w:p>
        </w:tc>
        <w:tc>
          <w:tcPr>
            <w:tcW w:w="1025" w:type="dxa"/>
          </w:tcPr>
          <w:p>
            <w:pPr>
              <w:pStyle w:val="TableParagraph"/>
              <w:ind w:left="108"/>
              <w:rPr>
                <w:sz w:val="18"/>
              </w:rPr>
            </w:pPr>
            <w:r>
              <w:rPr>
                <w:spacing w:val="-2"/>
                <w:sz w:val="18"/>
              </w:rPr>
              <w:t>0.609</w:t>
            </w:r>
          </w:p>
        </w:tc>
        <w:tc>
          <w:tcPr>
            <w:tcW w:w="576" w:type="dxa"/>
          </w:tcPr>
          <w:p>
            <w:pPr>
              <w:pStyle w:val="TableParagraph"/>
              <w:ind w:left="109"/>
              <w:rPr>
                <w:sz w:val="18"/>
              </w:rPr>
            </w:pPr>
            <w:r>
              <w:rPr>
                <w:spacing w:val="-10"/>
                <w:sz w:val="18"/>
              </w:rPr>
              <w:t>4</w:t>
            </w:r>
          </w:p>
        </w:tc>
        <w:tc>
          <w:tcPr>
            <w:tcW w:w="1022" w:type="dxa"/>
          </w:tcPr>
          <w:p>
            <w:pPr>
              <w:pStyle w:val="TableParagraph"/>
              <w:ind w:left="106"/>
              <w:rPr>
                <w:sz w:val="18"/>
              </w:rPr>
            </w:pPr>
            <w:r>
              <w:rPr>
                <w:spacing w:val="-2"/>
                <w:sz w:val="18"/>
              </w:rPr>
              <w:t>0.608</w:t>
            </w:r>
          </w:p>
        </w:tc>
        <w:tc>
          <w:tcPr>
            <w:tcW w:w="576" w:type="dxa"/>
          </w:tcPr>
          <w:p>
            <w:pPr>
              <w:pStyle w:val="TableParagraph"/>
              <w:ind w:left="109"/>
              <w:rPr>
                <w:sz w:val="18"/>
              </w:rPr>
            </w:pPr>
            <w:r>
              <w:rPr>
                <w:spacing w:val="-10"/>
                <w:sz w:val="18"/>
              </w:rPr>
              <w:t>4</w:t>
            </w:r>
          </w:p>
        </w:tc>
        <w:tc>
          <w:tcPr>
            <w:tcW w:w="1023" w:type="dxa"/>
          </w:tcPr>
          <w:p>
            <w:pPr>
              <w:pStyle w:val="TableParagraph"/>
              <w:ind w:left="109"/>
              <w:rPr>
                <w:sz w:val="18"/>
              </w:rPr>
            </w:pPr>
            <w:r>
              <w:rPr>
                <w:spacing w:val="-2"/>
                <w:sz w:val="18"/>
              </w:rPr>
              <w:t>0.608</w:t>
            </w:r>
          </w:p>
        </w:tc>
        <w:tc>
          <w:tcPr>
            <w:tcW w:w="576" w:type="dxa"/>
          </w:tcPr>
          <w:p>
            <w:pPr>
              <w:pStyle w:val="TableParagraph"/>
              <w:ind w:left="109"/>
              <w:rPr>
                <w:sz w:val="18"/>
              </w:rPr>
            </w:pPr>
            <w:r>
              <w:rPr>
                <w:spacing w:val="-10"/>
                <w:sz w:val="18"/>
              </w:rPr>
              <w:t>4</w:t>
            </w:r>
          </w:p>
        </w:tc>
        <w:tc>
          <w:tcPr>
            <w:tcW w:w="1022" w:type="dxa"/>
          </w:tcPr>
          <w:p>
            <w:pPr>
              <w:pStyle w:val="TableParagraph"/>
              <w:ind w:left="109"/>
              <w:rPr>
                <w:sz w:val="18"/>
              </w:rPr>
            </w:pPr>
            <w:r>
              <w:rPr>
                <w:spacing w:val="-2"/>
                <w:sz w:val="18"/>
              </w:rPr>
              <w:t>0.609</w:t>
            </w:r>
          </w:p>
        </w:tc>
        <w:tc>
          <w:tcPr>
            <w:tcW w:w="552" w:type="dxa"/>
          </w:tcPr>
          <w:p>
            <w:pPr>
              <w:pStyle w:val="TableParagraph"/>
              <w:ind w:left="110"/>
              <w:rPr>
                <w:sz w:val="18"/>
              </w:rPr>
            </w:pPr>
            <w:r>
              <w:rPr>
                <w:spacing w:val="-10"/>
                <w:sz w:val="18"/>
              </w:rPr>
              <w:t>4</w:t>
            </w:r>
          </w:p>
        </w:tc>
        <w:tc>
          <w:tcPr>
            <w:tcW w:w="1022" w:type="dxa"/>
          </w:tcPr>
          <w:p>
            <w:pPr>
              <w:pStyle w:val="TableParagraph"/>
              <w:ind w:left="110"/>
              <w:rPr>
                <w:sz w:val="18"/>
              </w:rPr>
            </w:pPr>
            <w:r>
              <w:rPr>
                <w:spacing w:val="-2"/>
                <w:sz w:val="18"/>
              </w:rPr>
              <w:t>0.609</w:t>
            </w:r>
          </w:p>
        </w:tc>
        <w:tc>
          <w:tcPr>
            <w:tcW w:w="1022" w:type="dxa"/>
          </w:tcPr>
          <w:p>
            <w:pPr>
              <w:pStyle w:val="TableParagraph"/>
              <w:spacing w:line="240" w:lineRule="auto"/>
              <w:rPr>
                <w:sz w:val="14"/>
              </w:rPr>
            </w:pPr>
          </w:p>
        </w:tc>
      </w:tr>
      <w:tr>
        <w:trPr>
          <w:trHeight w:val="205" w:hRule="atLeast"/>
        </w:trPr>
        <w:tc>
          <w:tcPr>
            <w:tcW w:w="1078" w:type="dxa"/>
          </w:tcPr>
          <w:p>
            <w:pPr>
              <w:pStyle w:val="TableParagraph"/>
              <w:ind w:left="107"/>
              <w:rPr>
                <w:sz w:val="18"/>
              </w:rPr>
            </w:pPr>
            <w:r>
              <w:rPr>
                <w:spacing w:val="-10"/>
                <w:sz w:val="18"/>
              </w:rPr>
              <w:t>5</w:t>
            </w:r>
          </w:p>
        </w:tc>
        <w:tc>
          <w:tcPr>
            <w:tcW w:w="1022" w:type="dxa"/>
          </w:tcPr>
          <w:p>
            <w:pPr>
              <w:pStyle w:val="TableParagraph"/>
              <w:ind w:left="107"/>
              <w:rPr>
                <w:sz w:val="18"/>
              </w:rPr>
            </w:pPr>
            <w:r>
              <w:rPr>
                <w:spacing w:val="-2"/>
                <w:sz w:val="18"/>
              </w:rPr>
              <w:t>0.609</w:t>
            </w:r>
          </w:p>
        </w:tc>
        <w:tc>
          <w:tcPr>
            <w:tcW w:w="578" w:type="dxa"/>
          </w:tcPr>
          <w:p>
            <w:pPr>
              <w:pStyle w:val="TableParagraph"/>
              <w:ind w:left="108"/>
              <w:rPr>
                <w:sz w:val="18"/>
              </w:rPr>
            </w:pPr>
            <w:r>
              <w:rPr>
                <w:spacing w:val="-10"/>
                <w:sz w:val="18"/>
              </w:rPr>
              <w:t>5</w:t>
            </w:r>
          </w:p>
        </w:tc>
        <w:tc>
          <w:tcPr>
            <w:tcW w:w="1025" w:type="dxa"/>
          </w:tcPr>
          <w:p>
            <w:pPr>
              <w:pStyle w:val="TableParagraph"/>
              <w:ind w:left="108"/>
              <w:rPr>
                <w:sz w:val="18"/>
              </w:rPr>
            </w:pPr>
            <w:r>
              <w:rPr>
                <w:spacing w:val="-2"/>
                <w:sz w:val="18"/>
              </w:rPr>
              <w:t>0.610</w:t>
            </w:r>
          </w:p>
        </w:tc>
        <w:tc>
          <w:tcPr>
            <w:tcW w:w="576" w:type="dxa"/>
          </w:tcPr>
          <w:p>
            <w:pPr>
              <w:pStyle w:val="TableParagraph"/>
              <w:ind w:left="109"/>
              <w:rPr>
                <w:sz w:val="18"/>
              </w:rPr>
            </w:pPr>
            <w:r>
              <w:rPr>
                <w:spacing w:val="-10"/>
                <w:sz w:val="18"/>
              </w:rPr>
              <w:t>5</w:t>
            </w:r>
          </w:p>
        </w:tc>
        <w:tc>
          <w:tcPr>
            <w:tcW w:w="1022" w:type="dxa"/>
          </w:tcPr>
          <w:p>
            <w:pPr>
              <w:pStyle w:val="TableParagraph"/>
              <w:ind w:left="106"/>
              <w:rPr>
                <w:sz w:val="18"/>
              </w:rPr>
            </w:pPr>
            <w:r>
              <w:rPr>
                <w:spacing w:val="-2"/>
                <w:sz w:val="18"/>
              </w:rPr>
              <w:t>0.610</w:t>
            </w:r>
          </w:p>
        </w:tc>
        <w:tc>
          <w:tcPr>
            <w:tcW w:w="576" w:type="dxa"/>
          </w:tcPr>
          <w:p>
            <w:pPr>
              <w:pStyle w:val="TableParagraph"/>
              <w:ind w:left="109"/>
              <w:rPr>
                <w:sz w:val="18"/>
              </w:rPr>
            </w:pPr>
            <w:r>
              <w:rPr>
                <w:spacing w:val="-10"/>
                <w:sz w:val="18"/>
              </w:rPr>
              <w:t>5</w:t>
            </w:r>
          </w:p>
        </w:tc>
        <w:tc>
          <w:tcPr>
            <w:tcW w:w="1023" w:type="dxa"/>
          </w:tcPr>
          <w:p>
            <w:pPr>
              <w:pStyle w:val="TableParagraph"/>
              <w:ind w:left="109"/>
              <w:rPr>
                <w:sz w:val="18"/>
              </w:rPr>
            </w:pPr>
            <w:r>
              <w:rPr>
                <w:spacing w:val="-2"/>
                <w:sz w:val="18"/>
              </w:rPr>
              <w:t>0.610</w:t>
            </w:r>
          </w:p>
        </w:tc>
        <w:tc>
          <w:tcPr>
            <w:tcW w:w="576" w:type="dxa"/>
          </w:tcPr>
          <w:p>
            <w:pPr>
              <w:pStyle w:val="TableParagraph"/>
              <w:ind w:left="109"/>
              <w:rPr>
                <w:sz w:val="18"/>
              </w:rPr>
            </w:pPr>
            <w:r>
              <w:rPr>
                <w:spacing w:val="-10"/>
                <w:sz w:val="18"/>
              </w:rPr>
              <w:t>5</w:t>
            </w:r>
          </w:p>
        </w:tc>
        <w:tc>
          <w:tcPr>
            <w:tcW w:w="1022" w:type="dxa"/>
          </w:tcPr>
          <w:p>
            <w:pPr>
              <w:pStyle w:val="TableParagraph"/>
              <w:ind w:left="109"/>
              <w:rPr>
                <w:sz w:val="18"/>
              </w:rPr>
            </w:pPr>
            <w:r>
              <w:rPr>
                <w:spacing w:val="-2"/>
                <w:sz w:val="18"/>
              </w:rPr>
              <w:t>0.610</w:t>
            </w:r>
          </w:p>
        </w:tc>
        <w:tc>
          <w:tcPr>
            <w:tcW w:w="552" w:type="dxa"/>
          </w:tcPr>
          <w:p>
            <w:pPr>
              <w:pStyle w:val="TableParagraph"/>
              <w:ind w:left="110"/>
              <w:rPr>
                <w:sz w:val="18"/>
              </w:rPr>
            </w:pPr>
            <w:r>
              <w:rPr>
                <w:spacing w:val="-10"/>
                <w:sz w:val="18"/>
              </w:rPr>
              <w:t>5</w:t>
            </w:r>
          </w:p>
        </w:tc>
        <w:tc>
          <w:tcPr>
            <w:tcW w:w="1022" w:type="dxa"/>
          </w:tcPr>
          <w:p>
            <w:pPr>
              <w:pStyle w:val="TableParagraph"/>
              <w:ind w:left="110"/>
              <w:rPr>
                <w:sz w:val="18"/>
              </w:rPr>
            </w:pPr>
            <w:r>
              <w:rPr>
                <w:spacing w:val="-2"/>
                <w:sz w:val="18"/>
              </w:rPr>
              <w:t>0.610</w:t>
            </w:r>
          </w:p>
        </w:tc>
        <w:tc>
          <w:tcPr>
            <w:tcW w:w="1022" w:type="dxa"/>
          </w:tcPr>
          <w:p>
            <w:pPr>
              <w:pStyle w:val="TableParagraph"/>
              <w:spacing w:line="240" w:lineRule="auto"/>
              <w:rPr>
                <w:sz w:val="14"/>
              </w:rPr>
            </w:pPr>
          </w:p>
        </w:tc>
      </w:tr>
      <w:tr>
        <w:trPr>
          <w:trHeight w:val="208" w:hRule="atLeast"/>
        </w:trPr>
        <w:tc>
          <w:tcPr>
            <w:tcW w:w="1078" w:type="dxa"/>
          </w:tcPr>
          <w:p>
            <w:pPr>
              <w:pStyle w:val="TableParagraph"/>
              <w:spacing w:line="188" w:lineRule="exact"/>
              <w:ind w:left="107"/>
              <w:rPr>
                <w:sz w:val="18"/>
              </w:rPr>
            </w:pPr>
            <w:r>
              <w:rPr>
                <w:spacing w:val="-2"/>
                <w:sz w:val="18"/>
              </w:rPr>
              <w:t>AVERAGE</w:t>
            </w:r>
          </w:p>
        </w:tc>
        <w:tc>
          <w:tcPr>
            <w:tcW w:w="1022" w:type="dxa"/>
          </w:tcPr>
          <w:p>
            <w:pPr>
              <w:pStyle w:val="TableParagraph"/>
              <w:spacing w:line="188" w:lineRule="exact"/>
              <w:ind w:left="107"/>
              <w:rPr>
                <w:sz w:val="18"/>
              </w:rPr>
            </w:pPr>
            <w:r>
              <w:rPr>
                <w:spacing w:val="-2"/>
                <w:sz w:val="18"/>
              </w:rPr>
              <w:t>0.610</w:t>
            </w:r>
          </w:p>
        </w:tc>
        <w:tc>
          <w:tcPr>
            <w:tcW w:w="578" w:type="dxa"/>
          </w:tcPr>
          <w:p>
            <w:pPr>
              <w:pStyle w:val="TableParagraph"/>
              <w:spacing w:line="240" w:lineRule="auto"/>
              <w:rPr>
                <w:sz w:val="14"/>
              </w:rPr>
            </w:pPr>
          </w:p>
        </w:tc>
        <w:tc>
          <w:tcPr>
            <w:tcW w:w="1025" w:type="dxa"/>
          </w:tcPr>
          <w:p>
            <w:pPr>
              <w:pStyle w:val="TableParagraph"/>
              <w:spacing w:line="188" w:lineRule="exact"/>
              <w:ind w:left="108"/>
              <w:rPr>
                <w:sz w:val="18"/>
              </w:rPr>
            </w:pPr>
            <w:r>
              <w:rPr>
                <w:spacing w:val="-2"/>
                <w:sz w:val="18"/>
              </w:rPr>
              <w:t>0.610</w:t>
            </w:r>
          </w:p>
        </w:tc>
        <w:tc>
          <w:tcPr>
            <w:tcW w:w="576" w:type="dxa"/>
          </w:tcPr>
          <w:p>
            <w:pPr>
              <w:pStyle w:val="TableParagraph"/>
              <w:spacing w:line="240" w:lineRule="auto"/>
              <w:rPr>
                <w:sz w:val="14"/>
              </w:rPr>
            </w:pPr>
          </w:p>
        </w:tc>
        <w:tc>
          <w:tcPr>
            <w:tcW w:w="1022" w:type="dxa"/>
          </w:tcPr>
          <w:p>
            <w:pPr>
              <w:pStyle w:val="TableParagraph"/>
              <w:spacing w:line="188" w:lineRule="exact"/>
              <w:ind w:left="106"/>
              <w:rPr>
                <w:sz w:val="18"/>
              </w:rPr>
            </w:pPr>
            <w:r>
              <w:rPr>
                <w:spacing w:val="-2"/>
                <w:sz w:val="18"/>
              </w:rPr>
              <w:t>0.610</w:t>
            </w:r>
          </w:p>
        </w:tc>
        <w:tc>
          <w:tcPr>
            <w:tcW w:w="576" w:type="dxa"/>
          </w:tcPr>
          <w:p>
            <w:pPr>
              <w:pStyle w:val="TableParagraph"/>
              <w:spacing w:line="240" w:lineRule="auto"/>
              <w:rPr>
                <w:sz w:val="14"/>
              </w:rPr>
            </w:pPr>
          </w:p>
        </w:tc>
        <w:tc>
          <w:tcPr>
            <w:tcW w:w="1023" w:type="dxa"/>
          </w:tcPr>
          <w:p>
            <w:pPr>
              <w:pStyle w:val="TableParagraph"/>
              <w:spacing w:line="188" w:lineRule="exact"/>
              <w:ind w:left="109"/>
              <w:rPr>
                <w:sz w:val="18"/>
              </w:rPr>
            </w:pPr>
            <w:r>
              <w:rPr>
                <w:spacing w:val="-2"/>
                <w:sz w:val="18"/>
              </w:rPr>
              <w:t>0.610</w:t>
            </w:r>
          </w:p>
        </w:tc>
        <w:tc>
          <w:tcPr>
            <w:tcW w:w="576" w:type="dxa"/>
          </w:tcPr>
          <w:p>
            <w:pPr>
              <w:pStyle w:val="TableParagraph"/>
              <w:spacing w:line="240" w:lineRule="auto"/>
              <w:rPr>
                <w:sz w:val="14"/>
              </w:rPr>
            </w:pPr>
          </w:p>
        </w:tc>
        <w:tc>
          <w:tcPr>
            <w:tcW w:w="1022" w:type="dxa"/>
          </w:tcPr>
          <w:p>
            <w:pPr>
              <w:pStyle w:val="TableParagraph"/>
              <w:spacing w:line="188" w:lineRule="exact"/>
              <w:ind w:left="109"/>
              <w:rPr>
                <w:sz w:val="18"/>
              </w:rPr>
            </w:pPr>
            <w:r>
              <w:rPr>
                <w:spacing w:val="-2"/>
                <w:sz w:val="18"/>
              </w:rPr>
              <w:t>0.610</w:t>
            </w:r>
          </w:p>
        </w:tc>
        <w:tc>
          <w:tcPr>
            <w:tcW w:w="552" w:type="dxa"/>
          </w:tcPr>
          <w:p>
            <w:pPr>
              <w:pStyle w:val="TableParagraph"/>
              <w:spacing w:line="240" w:lineRule="auto"/>
              <w:rPr>
                <w:sz w:val="14"/>
              </w:rPr>
            </w:pPr>
          </w:p>
        </w:tc>
        <w:tc>
          <w:tcPr>
            <w:tcW w:w="1022" w:type="dxa"/>
          </w:tcPr>
          <w:p>
            <w:pPr>
              <w:pStyle w:val="TableParagraph"/>
              <w:spacing w:line="188" w:lineRule="exact"/>
              <w:ind w:left="110"/>
              <w:rPr>
                <w:sz w:val="18"/>
              </w:rPr>
            </w:pPr>
            <w:r>
              <w:rPr>
                <w:spacing w:val="-2"/>
                <w:sz w:val="18"/>
              </w:rPr>
              <w:t>0.609</w:t>
            </w:r>
          </w:p>
        </w:tc>
        <w:tc>
          <w:tcPr>
            <w:tcW w:w="1022" w:type="dxa"/>
          </w:tcPr>
          <w:p>
            <w:pPr>
              <w:pStyle w:val="TableParagraph"/>
              <w:spacing w:line="188" w:lineRule="exact"/>
              <w:ind w:left="110"/>
              <w:rPr>
                <w:sz w:val="18"/>
              </w:rPr>
            </w:pPr>
            <w:r>
              <w:rPr>
                <w:spacing w:val="-2"/>
                <w:sz w:val="18"/>
              </w:rPr>
              <w:t>0.610</w:t>
            </w:r>
          </w:p>
        </w:tc>
      </w:tr>
      <w:tr>
        <w:trPr>
          <w:trHeight w:val="206" w:hRule="atLeast"/>
        </w:trPr>
        <w:tc>
          <w:tcPr>
            <w:tcW w:w="1078" w:type="dxa"/>
          </w:tcPr>
          <w:p>
            <w:pPr>
              <w:pStyle w:val="TableParagraph"/>
              <w:ind w:left="107"/>
              <w:rPr>
                <w:sz w:val="18"/>
              </w:rPr>
            </w:pPr>
            <w:r>
              <w:rPr>
                <w:spacing w:val="-5"/>
                <w:sz w:val="18"/>
              </w:rPr>
              <w:t>SD</w:t>
            </w:r>
          </w:p>
        </w:tc>
        <w:tc>
          <w:tcPr>
            <w:tcW w:w="1022" w:type="dxa"/>
          </w:tcPr>
          <w:p>
            <w:pPr>
              <w:pStyle w:val="TableParagraph"/>
              <w:ind w:left="107"/>
              <w:rPr>
                <w:sz w:val="18"/>
              </w:rPr>
            </w:pPr>
            <w:r>
              <w:rPr>
                <w:spacing w:val="-2"/>
                <w:sz w:val="18"/>
              </w:rPr>
              <w:t>0.000632</w:t>
            </w:r>
          </w:p>
        </w:tc>
        <w:tc>
          <w:tcPr>
            <w:tcW w:w="578" w:type="dxa"/>
          </w:tcPr>
          <w:p>
            <w:pPr>
              <w:pStyle w:val="TableParagraph"/>
              <w:spacing w:line="240" w:lineRule="auto"/>
              <w:rPr>
                <w:sz w:val="14"/>
              </w:rPr>
            </w:pPr>
          </w:p>
        </w:tc>
        <w:tc>
          <w:tcPr>
            <w:tcW w:w="1025" w:type="dxa"/>
          </w:tcPr>
          <w:p>
            <w:pPr>
              <w:pStyle w:val="TableParagraph"/>
              <w:ind w:left="108"/>
              <w:rPr>
                <w:sz w:val="18"/>
              </w:rPr>
            </w:pPr>
            <w:r>
              <w:rPr>
                <w:spacing w:val="-2"/>
                <w:sz w:val="18"/>
              </w:rPr>
              <w:t>0.001414</w:t>
            </w:r>
          </w:p>
        </w:tc>
        <w:tc>
          <w:tcPr>
            <w:tcW w:w="576" w:type="dxa"/>
          </w:tcPr>
          <w:p>
            <w:pPr>
              <w:pStyle w:val="TableParagraph"/>
              <w:spacing w:line="240" w:lineRule="auto"/>
              <w:rPr>
                <w:sz w:val="14"/>
              </w:rPr>
            </w:pPr>
          </w:p>
        </w:tc>
        <w:tc>
          <w:tcPr>
            <w:tcW w:w="1022" w:type="dxa"/>
          </w:tcPr>
          <w:p>
            <w:pPr>
              <w:pStyle w:val="TableParagraph"/>
              <w:ind w:left="106"/>
              <w:rPr>
                <w:sz w:val="18"/>
              </w:rPr>
            </w:pPr>
            <w:r>
              <w:rPr>
                <w:spacing w:val="-2"/>
                <w:sz w:val="18"/>
              </w:rPr>
              <w:t>0.00102</w:t>
            </w:r>
          </w:p>
        </w:tc>
        <w:tc>
          <w:tcPr>
            <w:tcW w:w="576" w:type="dxa"/>
          </w:tcPr>
          <w:p>
            <w:pPr>
              <w:pStyle w:val="TableParagraph"/>
              <w:spacing w:line="240" w:lineRule="auto"/>
              <w:rPr>
                <w:sz w:val="14"/>
              </w:rPr>
            </w:pPr>
          </w:p>
        </w:tc>
        <w:tc>
          <w:tcPr>
            <w:tcW w:w="1023" w:type="dxa"/>
          </w:tcPr>
          <w:p>
            <w:pPr>
              <w:pStyle w:val="TableParagraph"/>
              <w:ind w:left="109"/>
              <w:rPr>
                <w:sz w:val="18"/>
              </w:rPr>
            </w:pPr>
            <w:r>
              <w:rPr>
                <w:spacing w:val="-2"/>
                <w:sz w:val="18"/>
              </w:rPr>
              <w:t>0.00102</w:t>
            </w:r>
          </w:p>
        </w:tc>
        <w:tc>
          <w:tcPr>
            <w:tcW w:w="576" w:type="dxa"/>
          </w:tcPr>
          <w:p>
            <w:pPr>
              <w:pStyle w:val="TableParagraph"/>
              <w:spacing w:line="240" w:lineRule="auto"/>
              <w:rPr>
                <w:sz w:val="14"/>
              </w:rPr>
            </w:pPr>
          </w:p>
        </w:tc>
        <w:tc>
          <w:tcPr>
            <w:tcW w:w="1022" w:type="dxa"/>
          </w:tcPr>
          <w:p>
            <w:pPr>
              <w:pStyle w:val="TableParagraph"/>
              <w:ind w:left="109"/>
              <w:rPr>
                <w:sz w:val="18"/>
              </w:rPr>
            </w:pPr>
            <w:r>
              <w:rPr>
                <w:spacing w:val="-2"/>
                <w:sz w:val="18"/>
              </w:rPr>
              <w:t>0.001414</w:t>
            </w:r>
          </w:p>
        </w:tc>
        <w:tc>
          <w:tcPr>
            <w:tcW w:w="552" w:type="dxa"/>
          </w:tcPr>
          <w:p>
            <w:pPr>
              <w:pStyle w:val="TableParagraph"/>
              <w:spacing w:line="240" w:lineRule="auto"/>
              <w:rPr>
                <w:sz w:val="14"/>
              </w:rPr>
            </w:pPr>
          </w:p>
        </w:tc>
        <w:tc>
          <w:tcPr>
            <w:tcW w:w="1022" w:type="dxa"/>
          </w:tcPr>
          <w:p>
            <w:pPr>
              <w:pStyle w:val="TableParagraph"/>
              <w:ind w:left="110"/>
              <w:rPr>
                <w:sz w:val="18"/>
              </w:rPr>
            </w:pPr>
            <w:r>
              <w:rPr>
                <w:spacing w:val="-2"/>
                <w:sz w:val="18"/>
              </w:rPr>
              <w:t>0.00102</w:t>
            </w:r>
          </w:p>
        </w:tc>
        <w:tc>
          <w:tcPr>
            <w:tcW w:w="1022" w:type="dxa"/>
          </w:tcPr>
          <w:p>
            <w:pPr>
              <w:pStyle w:val="TableParagraph"/>
              <w:ind w:left="110"/>
              <w:rPr>
                <w:sz w:val="18"/>
              </w:rPr>
            </w:pPr>
            <w:r>
              <w:rPr>
                <w:spacing w:val="-2"/>
                <w:sz w:val="18"/>
              </w:rPr>
              <w:t>0.001087</w:t>
            </w:r>
          </w:p>
        </w:tc>
      </w:tr>
      <w:tr>
        <w:trPr>
          <w:trHeight w:val="208" w:hRule="atLeast"/>
        </w:trPr>
        <w:tc>
          <w:tcPr>
            <w:tcW w:w="1078" w:type="dxa"/>
          </w:tcPr>
          <w:p>
            <w:pPr>
              <w:pStyle w:val="TableParagraph"/>
              <w:spacing w:line="188" w:lineRule="exact"/>
              <w:ind w:left="107"/>
              <w:rPr>
                <w:sz w:val="18"/>
              </w:rPr>
            </w:pPr>
            <w:r>
              <w:rPr>
                <w:spacing w:val="-4"/>
                <w:sz w:val="18"/>
              </w:rPr>
              <w:t>%RSD</w:t>
            </w:r>
          </w:p>
        </w:tc>
        <w:tc>
          <w:tcPr>
            <w:tcW w:w="1022" w:type="dxa"/>
          </w:tcPr>
          <w:p>
            <w:pPr>
              <w:pStyle w:val="TableParagraph"/>
              <w:spacing w:line="188" w:lineRule="exact"/>
              <w:ind w:left="107"/>
              <w:rPr>
                <w:sz w:val="18"/>
              </w:rPr>
            </w:pPr>
            <w:r>
              <w:rPr>
                <w:spacing w:val="-2"/>
                <w:sz w:val="18"/>
              </w:rPr>
              <w:t>0.103681</w:t>
            </w:r>
          </w:p>
        </w:tc>
        <w:tc>
          <w:tcPr>
            <w:tcW w:w="578" w:type="dxa"/>
          </w:tcPr>
          <w:p>
            <w:pPr>
              <w:pStyle w:val="TableParagraph"/>
              <w:spacing w:line="240" w:lineRule="auto"/>
              <w:rPr>
                <w:sz w:val="14"/>
              </w:rPr>
            </w:pPr>
          </w:p>
        </w:tc>
        <w:tc>
          <w:tcPr>
            <w:tcW w:w="1025" w:type="dxa"/>
          </w:tcPr>
          <w:p>
            <w:pPr>
              <w:pStyle w:val="TableParagraph"/>
              <w:spacing w:line="188" w:lineRule="exact"/>
              <w:ind w:left="108"/>
              <w:rPr>
                <w:sz w:val="18"/>
              </w:rPr>
            </w:pPr>
            <w:r>
              <w:rPr>
                <w:spacing w:val="-2"/>
                <w:sz w:val="18"/>
              </w:rPr>
              <w:t>0.231838</w:t>
            </w:r>
          </w:p>
        </w:tc>
        <w:tc>
          <w:tcPr>
            <w:tcW w:w="576" w:type="dxa"/>
          </w:tcPr>
          <w:p>
            <w:pPr>
              <w:pStyle w:val="TableParagraph"/>
              <w:spacing w:line="240" w:lineRule="auto"/>
              <w:rPr>
                <w:sz w:val="14"/>
              </w:rPr>
            </w:pPr>
          </w:p>
        </w:tc>
        <w:tc>
          <w:tcPr>
            <w:tcW w:w="1022" w:type="dxa"/>
          </w:tcPr>
          <w:p>
            <w:pPr>
              <w:pStyle w:val="TableParagraph"/>
              <w:spacing w:line="188" w:lineRule="exact"/>
              <w:ind w:left="106"/>
              <w:rPr>
                <w:sz w:val="18"/>
              </w:rPr>
            </w:pPr>
            <w:r>
              <w:rPr>
                <w:spacing w:val="-2"/>
                <w:sz w:val="18"/>
              </w:rPr>
              <w:t>0.167291</w:t>
            </w:r>
          </w:p>
        </w:tc>
        <w:tc>
          <w:tcPr>
            <w:tcW w:w="576" w:type="dxa"/>
          </w:tcPr>
          <w:p>
            <w:pPr>
              <w:pStyle w:val="TableParagraph"/>
              <w:spacing w:line="240" w:lineRule="auto"/>
              <w:rPr>
                <w:sz w:val="14"/>
              </w:rPr>
            </w:pPr>
          </w:p>
        </w:tc>
        <w:tc>
          <w:tcPr>
            <w:tcW w:w="1023" w:type="dxa"/>
          </w:tcPr>
          <w:p>
            <w:pPr>
              <w:pStyle w:val="TableParagraph"/>
              <w:spacing w:line="188" w:lineRule="exact"/>
              <w:ind w:left="109"/>
              <w:rPr>
                <w:sz w:val="18"/>
              </w:rPr>
            </w:pPr>
            <w:r>
              <w:rPr>
                <w:spacing w:val="-2"/>
                <w:sz w:val="18"/>
              </w:rPr>
              <w:t>0.167291</w:t>
            </w:r>
          </w:p>
        </w:tc>
        <w:tc>
          <w:tcPr>
            <w:tcW w:w="576" w:type="dxa"/>
          </w:tcPr>
          <w:p>
            <w:pPr>
              <w:pStyle w:val="TableParagraph"/>
              <w:spacing w:line="240" w:lineRule="auto"/>
              <w:rPr>
                <w:sz w:val="14"/>
              </w:rPr>
            </w:pPr>
          </w:p>
        </w:tc>
        <w:tc>
          <w:tcPr>
            <w:tcW w:w="1022" w:type="dxa"/>
          </w:tcPr>
          <w:p>
            <w:pPr>
              <w:pStyle w:val="TableParagraph"/>
              <w:spacing w:line="188" w:lineRule="exact"/>
              <w:ind w:left="109"/>
              <w:rPr>
                <w:sz w:val="18"/>
              </w:rPr>
            </w:pPr>
            <w:r>
              <w:rPr>
                <w:spacing w:val="-2"/>
                <w:sz w:val="18"/>
              </w:rPr>
              <w:t>0.231838</w:t>
            </w:r>
          </w:p>
        </w:tc>
        <w:tc>
          <w:tcPr>
            <w:tcW w:w="552" w:type="dxa"/>
          </w:tcPr>
          <w:p>
            <w:pPr>
              <w:pStyle w:val="TableParagraph"/>
              <w:spacing w:line="240" w:lineRule="auto"/>
              <w:rPr>
                <w:sz w:val="14"/>
              </w:rPr>
            </w:pPr>
          </w:p>
        </w:tc>
        <w:tc>
          <w:tcPr>
            <w:tcW w:w="1022" w:type="dxa"/>
          </w:tcPr>
          <w:p>
            <w:pPr>
              <w:pStyle w:val="TableParagraph"/>
              <w:spacing w:line="188" w:lineRule="exact"/>
              <w:ind w:left="110"/>
              <w:rPr>
                <w:sz w:val="18"/>
              </w:rPr>
            </w:pPr>
            <w:r>
              <w:rPr>
                <w:spacing w:val="-2"/>
                <w:sz w:val="18"/>
              </w:rPr>
              <w:t>0.167346</w:t>
            </w:r>
          </w:p>
        </w:tc>
        <w:tc>
          <w:tcPr>
            <w:tcW w:w="1022" w:type="dxa"/>
          </w:tcPr>
          <w:p>
            <w:pPr>
              <w:pStyle w:val="TableParagraph"/>
              <w:spacing w:line="188" w:lineRule="exact"/>
              <w:ind w:left="110"/>
              <w:rPr>
                <w:sz w:val="18"/>
              </w:rPr>
            </w:pPr>
            <w:r>
              <w:rPr>
                <w:spacing w:val="-2"/>
                <w:sz w:val="18"/>
              </w:rPr>
              <w:t>0.178214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085"/>
        <w:gridCol w:w="865"/>
        <w:gridCol w:w="1184"/>
        <w:gridCol w:w="1186"/>
        <w:gridCol w:w="1363"/>
        <w:gridCol w:w="1392"/>
        <w:gridCol w:w="1784"/>
      </w:tblGrid>
      <w:tr>
        <w:trPr>
          <w:trHeight w:val="208" w:hRule="atLeast"/>
        </w:trPr>
        <w:tc>
          <w:tcPr>
            <w:tcW w:w="10029" w:type="dxa"/>
            <w:gridSpan w:val="8"/>
            <w:tcBorders>
              <w:top w:val="single" w:sz="8" w:space="0" w:color="000000"/>
              <w:bottom w:val="single" w:sz="8" w:space="0" w:color="000000"/>
            </w:tcBorders>
          </w:tcPr>
          <w:p>
            <w:pPr>
              <w:pStyle w:val="TableParagraph"/>
              <w:spacing w:before="2"/>
              <w:ind w:left="1924"/>
              <w:rPr>
                <w:b/>
                <w:sz w:val="18"/>
              </w:rPr>
            </w:pPr>
            <w:r>
              <w:rPr>
                <w:b/>
                <w:sz w:val="18"/>
              </w:rPr>
              <w:t>INTER</w:t>
            </w:r>
            <w:r>
              <w:rPr>
                <w:b/>
                <w:spacing w:val="-4"/>
                <w:sz w:val="18"/>
              </w:rPr>
              <w:t> </w:t>
            </w:r>
            <w:r>
              <w:rPr>
                <w:b/>
                <w:sz w:val="18"/>
              </w:rPr>
              <w:t>DAY</w:t>
            </w:r>
            <w:r>
              <w:rPr>
                <w:b/>
                <w:spacing w:val="-1"/>
                <w:sz w:val="18"/>
              </w:rPr>
              <w:t> </w:t>
            </w:r>
            <w:r>
              <w:rPr>
                <w:b/>
                <w:sz w:val="18"/>
              </w:rPr>
              <w:t>FOR</w:t>
            </w:r>
            <w:r>
              <w:rPr>
                <w:b/>
                <w:spacing w:val="-1"/>
                <w:sz w:val="18"/>
              </w:rPr>
              <w:t> </w:t>
            </w:r>
            <w:r>
              <w:rPr>
                <w:b/>
                <w:sz w:val="18"/>
              </w:rPr>
              <w:t>METHOD </w:t>
            </w:r>
            <w:r>
              <w:rPr>
                <w:b/>
                <w:spacing w:val="-12"/>
                <w:sz w:val="18"/>
              </w:rPr>
              <w:t>2</w:t>
            </w:r>
          </w:p>
        </w:tc>
      </w:tr>
      <w:tr>
        <w:trPr>
          <w:trHeight w:val="208" w:hRule="atLeast"/>
        </w:trPr>
        <w:tc>
          <w:tcPr>
            <w:tcW w:w="1170" w:type="dxa"/>
            <w:tcBorders>
              <w:top w:val="single" w:sz="8" w:space="0" w:color="000000"/>
            </w:tcBorders>
          </w:tcPr>
          <w:p>
            <w:pPr>
              <w:pStyle w:val="TableParagraph"/>
              <w:spacing w:line="189" w:lineRule="exact"/>
              <w:ind w:left="122"/>
              <w:rPr>
                <w:b/>
                <w:sz w:val="18"/>
              </w:rPr>
            </w:pPr>
            <w:r>
              <w:rPr>
                <w:b/>
                <w:sz w:val="18"/>
              </w:rPr>
              <w:t>DAY</w:t>
            </w:r>
            <w:r>
              <w:rPr>
                <w:b/>
                <w:spacing w:val="-1"/>
                <w:sz w:val="18"/>
              </w:rPr>
              <w:t> </w:t>
            </w:r>
            <w:r>
              <w:rPr>
                <w:b/>
                <w:spacing w:val="-10"/>
                <w:sz w:val="18"/>
              </w:rPr>
              <w:t>I</w:t>
            </w:r>
          </w:p>
        </w:tc>
        <w:tc>
          <w:tcPr>
            <w:tcW w:w="1085" w:type="dxa"/>
            <w:tcBorders>
              <w:top w:val="single" w:sz="8" w:space="0" w:color="000000"/>
            </w:tcBorders>
          </w:tcPr>
          <w:p>
            <w:pPr>
              <w:pStyle w:val="TableParagraph"/>
              <w:spacing w:line="240" w:lineRule="auto"/>
              <w:rPr>
                <w:sz w:val="14"/>
              </w:rPr>
            </w:pPr>
          </w:p>
        </w:tc>
        <w:tc>
          <w:tcPr>
            <w:tcW w:w="865" w:type="dxa"/>
            <w:tcBorders>
              <w:top w:val="single" w:sz="8" w:space="0" w:color="000000"/>
            </w:tcBorders>
          </w:tcPr>
          <w:p>
            <w:pPr>
              <w:pStyle w:val="TableParagraph"/>
              <w:spacing w:line="189" w:lineRule="exact"/>
              <w:ind w:left="260"/>
              <w:rPr>
                <w:sz w:val="18"/>
              </w:rPr>
            </w:pPr>
            <w:r>
              <w:rPr>
                <w:sz w:val="18"/>
              </w:rPr>
              <w:t>DAY</w:t>
            </w:r>
            <w:r>
              <w:rPr>
                <w:spacing w:val="-1"/>
                <w:sz w:val="18"/>
              </w:rPr>
              <w:t> </w:t>
            </w:r>
            <w:r>
              <w:rPr>
                <w:spacing w:val="-10"/>
                <w:sz w:val="18"/>
              </w:rPr>
              <w:t>2</w:t>
            </w:r>
          </w:p>
        </w:tc>
        <w:tc>
          <w:tcPr>
            <w:tcW w:w="1184" w:type="dxa"/>
            <w:tcBorders>
              <w:top w:val="single" w:sz="8" w:space="0" w:color="000000"/>
            </w:tcBorders>
          </w:tcPr>
          <w:p>
            <w:pPr>
              <w:pStyle w:val="TableParagraph"/>
              <w:spacing w:line="240" w:lineRule="auto"/>
              <w:rPr>
                <w:sz w:val="14"/>
              </w:rPr>
            </w:pPr>
          </w:p>
        </w:tc>
        <w:tc>
          <w:tcPr>
            <w:tcW w:w="1186" w:type="dxa"/>
            <w:tcBorders>
              <w:top w:val="single" w:sz="8" w:space="0" w:color="000000"/>
            </w:tcBorders>
          </w:tcPr>
          <w:p>
            <w:pPr>
              <w:pStyle w:val="TableParagraph"/>
              <w:spacing w:line="189" w:lineRule="exact"/>
              <w:ind w:left="426"/>
              <w:rPr>
                <w:sz w:val="18"/>
              </w:rPr>
            </w:pPr>
            <w:r>
              <w:rPr>
                <w:sz w:val="18"/>
              </w:rPr>
              <w:t>DAY</w:t>
            </w:r>
            <w:r>
              <w:rPr>
                <w:spacing w:val="-1"/>
                <w:sz w:val="18"/>
              </w:rPr>
              <w:t> </w:t>
            </w:r>
            <w:r>
              <w:rPr>
                <w:spacing w:val="-10"/>
                <w:sz w:val="18"/>
              </w:rPr>
              <w:t>3</w:t>
            </w:r>
          </w:p>
        </w:tc>
        <w:tc>
          <w:tcPr>
            <w:tcW w:w="1363" w:type="dxa"/>
            <w:tcBorders>
              <w:top w:val="single" w:sz="8" w:space="0" w:color="000000"/>
            </w:tcBorders>
          </w:tcPr>
          <w:p>
            <w:pPr>
              <w:pStyle w:val="TableParagraph"/>
              <w:spacing w:line="240" w:lineRule="auto"/>
              <w:rPr>
                <w:sz w:val="14"/>
              </w:rPr>
            </w:pPr>
          </w:p>
        </w:tc>
        <w:tc>
          <w:tcPr>
            <w:tcW w:w="1392" w:type="dxa"/>
            <w:tcBorders>
              <w:top w:val="single" w:sz="8" w:space="0" w:color="000000"/>
            </w:tcBorders>
          </w:tcPr>
          <w:p>
            <w:pPr>
              <w:pStyle w:val="TableParagraph"/>
              <w:spacing w:line="189" w:lineRule="exact"/>
              <w:ind w:left="451"/>
              <w:rPr>
                <w:sz w:val="18"/>
              </w:rPr>
            </w:pPr>
            <w:r>
              <w:rPr>
                <w:spacing w:val="-4"/>
                <w:sz w:val="18"/>
              </w:rPr>
              <w:t>TOTAL</w:t>
            </w:r>
          </w:p>
        </w:tc>
        <w:tc>
          <w:tcPr>
            <w:tcW w:w="1784" w:type="dxa"/>
            <w:tcBorders>
              <w:top w:val="single" w:sz="8" w:space="0" w:color="000000"/>
            </w:tcBorders>
          </w:tcPr>
          <w:p>
            <w:pPr>
              <w:pStyle w:val="TableParagraph"/>
              <w:spacing w:line="189" w:lineRule="exact"/>
              <w:ind w:left="257"/>
              <w:rPr>
                <w:sz w:val="18"/>
              </w:rPr>
            </w:pPr>
            <w:r>
              <w:rPr>
                <w:sz w:val="18"/>
              </w:rPr>
              <w:t>TOTAL</w:t>
            </w:r>
            <w:r>
              <w:rPr>
                <w:spacing w:val="-3"/>
                <w:sz w:val="18"/>
              </w:rPr>
              <w:t> </w:t>
            </w:r>
            <w:r>
              <w:rPr>
                <w:spacing w:val="-4"/>
                <w:sz w:val="18"/>
              </w:rPr>
              <w:t>MEAN</w:t>
            </w:r>
          </w:p>
        </w:tc>
      </w:tr>
      <w:tr>
        <w:trPr>
          <w:trHeight w:val="207" w:hRule="atLeast"/>
        </w:trPr>
        <w:tc>
          <w:tcPr>
            <w:tcW w:w="1170" w:type="dxa"/>
          </w:tcPr>
          <w:p>
            <w:pPr>
              <w:pStyle w:val="TableParagraph"/>
              <w:spacing w:line="188" w:lineRule="exact"/>
              <w:ind w:left="122"/>
              <w:rPr>
                <w:b/>
                <w:sz w:val="18"/>
              </w:rPr>
            </w:pPr>
            <w:r>
              <w:rPr>
                <w:b/>
                <w:spacing w:val="-4"/>
                <w:sz w:val="18"/>
              </w:rPr>
              <w:t>Cyc.</w:t>
            </w:r>
          </w:p>
        </w:tc>
        <w:tc>
          <w:tcPr>
            <w:tcW w:w="1085" w:type="dxa"/>
          </w:tcPr>
          <w:p>
            <w:pPr>
              <w:pStyle w:val="TableParagraph"/>
              <w:spacing w:line="188" w:lineRule="exact"/>
              <w:ind w:left="149"/>
              <w:rPr>
                <w:sz w:val="18"/>
              </w:rPr>
            </w:pPr>
            <w:r>
              <w:rPr>
                <w:spacing w:val="-4"/>
                <w:sz w:val="18"/>
              </w:rPr>
              <w:t>Abs.</w:t>
            </w:r>
          </w:p>
        </w:tc>
        <w:tc>
          <w:tcPr>
            <w:tcW w:w="865" w:type="dxa"/>
          </w:tcPr>
          <w:p>
            <w:pPr>
              <w:pStyle w:val="TableParagraph"/>
              <w:spacing w:line="188" w:lineRule="exact"/>
              <w:ind w:left="260"/>
              <w:rPr>
                <w:sz w:val="18"/>
              </w:rPr>
            </w:pPr>
            <w:r>
              <w:rPr>
                <w:spacing w:val="-4"/>
                <w:sz w:val="18"/>
              </w:rPr>
              <w:t>Cyc.</w:t>
            </w:r>
          </w:p>
        </w:tc>
        <w:tc>
          <w:tcPr>
            <w:tcW w:w="1184" w:type="dxa"/>
          </w:tcPr>
          <w:p>
            <w:pPr>
              <w:pStyle w:val="TableParagraph"/>
              <w:spacing w:line="188" w:lineRule="exact"/>
              <w:ind w:left="79"/>
              <w:rPr>
                <w:sz w:val="18"/>
              </w:rPr>
            </w:pPr>
            <w:r>
              <w:rPr>
                <w:spacing w:val="-4"/>
                <w:sz w:val="18"/>
              </w:rPr>
              <w:t>Abs.</w:t>
            </w:r>
          </w:p>
        </w:tc>
        <w:tc>
          <w:tcPr>
            <w:tcW w:w="1186" w:type="dxa"/>
          </w:tcPr>
          <w:p>
            <w:pPr>
              <w:pStyle w:val="TableParagraph"/>
              <w:spacing w:line="188" w:lineRule="exact"/>
              <w:ind w:left="426"/>
              <w:rPr>
                <w:sz w:val="18"/>
              </w:rPr>
            </w:pPr>
            <w:r>
              <w:rPr>
                <w:spacing w:val="-4"/>
                <w:sz w:val="18"/>
              </w:rPr>
              <w:t>Cyc.</w:t>
            </w:r>
          </w:p>
        </w:tc>
        <w:tc>
          <w:tcPr>
            <w:tcW w:w="1363" w:type="dxa"/>
          </w:tcPr>
          <w:p>
            <w:pPr>
              <w:pStyle w:val="TableParagraph"/>
              <w:spacing w:line="188" w:lineRule="exact"/>
              <w:ind w:left="230"/>
              <w:rPr>
                <w:sz w:val="18"/>
              </w:rPr>
            </w:pPr>
            <w:r>
              <w:rPr>
                <w:spacing w:val="-4"/>
                <w:sz w:val="18"/>
              </w:rPr>
              <w:t>Abs.</w:t>
            </w:r>
          </w:p>
        </w:tc>
        <w:tc>
          <w:tcPr>
            <w:tcW w:w="1392" w:type="dxa"/>
          </w:tcPr>
          <w:p>
            <w:pPr>
              <w:pStyle w:val="TableParagraph"/>
              <w:spacing w:line="240" w:lineRule="auto"/>
              <w:rPr>
                <w:sz w:val="14"/>
              </w:rPr>
            </w:pPr>
          </w:p>
        </w:tc>
        <w:tc>
          <w:tcPr>
            <w:tcW w:w="1784" w:type="dxa"/>
          </w:tcPr>
          <w:p>
            <w:pPr>
              <w:pStyle w:val="TableParagraph"/>
              <w:spacing w:line="240" w:lineRule="auto"/>
              <w:rPr>
                <w:sz w:val="14"/>
              </w:rPr>
            </w:pPr>
          </w:p>
        </w:tc>
      </w:tr>
      <w:tr>
        <w:trPr>
          <w:trHeight w:val="206" w:hRule="atLeast"/>
        </w:trPr>
        <w:tc>
          <w:tcPr>
            <w:tcW w:w="1170" w:type="dxa"/>
          </w:tcPr>
          <w:p>
            <w:pPr>
              <w:pStyle w:val="TableParagraph"/>
              <w:ind w:left="122"/>
              <w:rPr>
                <w:b/>
                <w:sz w:val="18"/>
              </w:rPr>
            </w:pPr>
            <w:r>
              <w:rPr>
                <w:b/>
                <w:spacing w:val="-10"/>
                <w:sz w:val="18"/>
              </w:rPr>
              <w:t>1</w:t>
            </w:r>
          </w:p>
        </w:tc>
        <w:tc>
          <w:tcPr>
            <w:tcW w:w="1085" w:type="dxa"/>
          </w:tcPr>
          <w:p>
            <w:pPr>
              <w:pStyle w:val="TableParagraph"/>
              <w:ind w:left="149"/>
              <w:rPr>
                <w:sz w:val="18"/>
              </w:rPr>
            </w:pPr>
            <w:r>
              <w:rPr>
                <w:spacing w:val="-2"/>
                <w:sz w:val="18"/>
              </w:rPr>
              <w:t>0.610</w:t>
            </w:r>
          </w:p>
        </w:tc>
        <w:tc>
          <w:tcPr>
            <w:tcW w:w="865" w:type="dxa"/>
          </w:tcPr>
          <w:p>
            <w:pPr>
              <w:pStyle w:val="TableParagraph"/>
              <w:ind w:left="260"/>
              <w:rPr>
                <w:sz w:val="18"/>
              </w:rPr>
            </w:pPr>
            <w:r>
              <w:rPr>
                <w:spacing w:val="-10"/>
                <w:sz w:val="18"/>
              </w:rPr>
              <w:t>1</w:t>
            </w:r>
          </w:p>
        </w:tc>
        <w:tc>
          <w:tcPr>
            <w:tcW w:w="1184" w:type="dxa"/>
          </w:tcPr>
          <w:p>
            <w:pPr>
              <w:pStyle w:val="TableParagraph"/>
              <w:ind w:left="79"/>
              <w:rPr>
                <w:sz w:val="18"/>
              </w:rPr>
            </w:pPr>
            <w:r>
              <w:rPr>
                <w:spacing w:val="-2"/>
                <w:sz w:val="18"/>
              </w:rPr>
              <w:t>0.611</w:t>
            </w:r>
          </w:p>
        </w:tc>
        <w:tc>
          <w:tcPr>
            <w:tcW w:w="1186" w:type="dxa"/>
          </w:tcPr>
          <w:p>
            <w:pPr>
              <w:pStyle w:val="TableParagraph"/>
              <w:ind w:left="426"/>
              <w:rPr>
                <w:sz w:val="18"/>
              </w:rPr>
            </w:pPr>
            <w:r>
              <w:rPr>
                <w:spacing w:val="-10"/>
                <w:sz w:val="18"/>
              </w:rPr>
              <w:t>1</w:t>
            </w:r>
          </w:p>
        </w:tc>
        <w:tc>
          <w:tcPr>
            <w:tcW w:w="1363" w:type="dxa"/>
          </w:tcPr>
          <w:p>
            <w:pPr>
              <w:pStyle w:val="TableParagraph"/>
              <w:ind w:left="230"/>
              <w:rPr>
                <w:sz w:val="18"/>
              </w:rPr>
            </w:pPr>
            <w:r>
              <w:rPr>
                <w:spacing w:val="-2"/>
                <w:sz w:val="18"/>
              </w:rPr>
              <w:t>0.611</w:t>
            </w:r>
          </w:p>
        </w:tc>
        <w:tc>
          <w:tcPr>
            <w:tcW w:w="1392" w:type="dxa"/>
          </w:tcPr>
          <w:p>
            <w:pPr>
              <w:pStyle w:val="TableParagraph"/>
              <w:spacing w:line="240" w:lineRule="auto"/>
              <w:rPr>
                <w:sz w:val="14"/>
              </w:rPr>
            </w:pPr>
          </w:p>
        </w:tc>
        <w:tc>
          <w:tcPr>
            <w:tcW w:w="1784" w:type="dxa"/>
          </w:tcPr>
          <w:p>
            <w:pPr>
              <w:pStyle w:val="TableParagraph"/>
              <w:spacing w:line="240" w:lineRule="auto"/>
              <w:rPr>
                <w:sz w:val="14"/>
              </w:rPr>
            </w:pPr>
          </w:p>
        </w:tc>
      </w:tr>
      <w:tr>
        <w:trPr>
          <w:trHeight w:val="206" w:hRule="atLeast"/>
        </w:trPr>
        <w:tc>
          <w:tcPr>
            <w:tcW w:w="1170" w:type="dxa"/>
          </w:tcPr>
          <w:p>
            <w:pPr>
              <w:pStyle w:val="TableParagraph"/>
              <w:ind w:left="122"/>
              <w:rPr>
                <w:b/>
                <w:sz w:val="18"/>
              </w:rPr>
            </w:pPr>
            <w:r>
              <w:rPr>
                <w:b/>
                <w:spacing w:val="-10"/>
                <w:sz w:val="18"/>
              </w:rPr>
              <w:t>2</w:t>
            </w:r>
          </w:p>
        </w:tc>
        <w:tc>
          <w:tcPr>
            <w:tcW w:w="1085" w:type="dxa"/>
          </w:tcPr>
          <w:p>
            <w:pPr>
              <w:pStyle w:val="TableParagraph"/>
              <w:ind w:left="149"/>
              <w:rPr>
                <w:sz w:val="18"/>
              </w:rPr>
            </w:pPr>
            <w:r>
              <w:rPr>
                <w:spacing w:val="-2"/>
                <w:sz w:val="18"/>
              </w:rPr>
              <w:t>0.611</w:t>
            </w:r>
          </w:p>
        </w:tc>
        <w:tc>
          <w:tcPr>
            <w:tcW w:w="865" w:type="dxa"/>
          </w:tcPr>
          <w:p>
            <w:pPr>
              <w:pStyle w:val="TableParagraph"/>
              <w:ind w:left="260"/>
              <w:rPr>
                <w:sz w:val="18"/>
              </w:rPr>
            </w:pPr>
            <w:r>
              <w:rPr>
                <w:spacing w:val="-10"/>
                <w:sz w:val="18"/>
              </w:rPr>
              <w:t>2</w:t>
            </w:r>
          </w:p>
        </w:tc>
        <w:tc>
          <w:tcPr>
            <w:tcW w:w="1184" w:type="dxa"/>
          </w:tcPr>
          <w:p>
            <w:pPr>
              <w:pStyle w:val="TableParagraph"/>
              <w:ind w:left="79"/>
              <w:rPr>
                <w:sz w:val="18"/>
              </w:rPr>
            </w:pPr>
            <w:r>
              <w:rPr>
                <w:spacing w:val="-2"/>
                <w:sz w:val="18"/>
              </w:rPr>
              <w:t>0.610</w:t>
            </w:r>
          </w:p>
        </w:tc>
        <w:tc>
          <w:tcPr>
            <w:tcW w:w="1186" w:type="dxa"/>
          </w:tcPr>
          <w:p>
            <w:pPr>
              <w:pStyle w:val="TableParagraph"/>
              <w:ind w:left="426"/>
              <w:rPr>
                <w:sz w:val="18"/>
              </w:rPr>
            </w:pPr>
            <w:r>
              <w:rPr>
                <w:spacing w:val="-10"/>
                <w:sz w:val="18"/>
              </w:rPr>
              <w:t>2</w:t>
            </w:r>
          </w:p>
        </w:tc>
        <w:tc>
          <w:tcPr>
            <w:tcW w:w="1363" w:type="dxa"/>
          </w:tcPr>
          <w:p>
            <w:pPr>
              <w:pStyle w:val="TableParagraph"/>
              <w:ind w:left="230"/>
              <w:rPr>
                <w:sz w:val="18"/>
              </w:rPr>
            </w:pPr>
            <w:r>
              <w:rPr>
                <w:spacing w:val="-2"/>
                <w:sz w:val="18"/>
              </w:rPr>
              <w:t>0.608</w:t>
            </w:r>
          </w:p>
        </w:tc>
        <w:tc>
          <w:tcPr>
            <w:tcW w:w="1392" w:type="dxa"/>
          </w:tcPr>
          <w:p>
            <w:pPr>
              <w:pStyle w:val="TableParagraph"/>
              <w:spacing w:line="240" w:lineRule="auto"/>
              <w:rPr>
                <w:sz w:val="14"/>
              </w:rPr>
            </w:pPr>
          </w:p>
        </w:tc>
        <w:tc>
          <w:tcPr>
            <w:tcW w:w="1784" w:type="dxa"/>
          </w:tcPr>
          <w:p>
            <w:pPr>
              <w:pStyle w:val="TableParagraph"/>
              <w:spacing w:line="240" w:lineRule="auto"/>
              <w:rPr>
                <w:sz w:val="14"/>
              </w:rPr>
            </w:pPr>
          </w:p>
        </w:tc>
      </w:tr>
      <w:tr>
        <w:trPr>
          <w:trHeight w:val="207" w:hRule="atLeast"/>
        </w:trPr>
        <w:tc>
          <w:tcPr>
            <w:tcW w:w="1170" w:type="dxa"/>
          </w:tcPr>
          <w:p>
            <w:pPr>
              <w:pStyle w:val="TableParagraph"/>
              <w:spacing w:line="188" w:lineRule="exact"/>
              <w:ind w:left="122"/>
              <w:rPr>
                <w:b/>
                <w:sz w:val="18"/>
              </w:rPr>
            </w:pPr>
            <w:r>
              <w:rPr>
                <w:b/>
                <w:spacing w:val="-10"/>
                <w:sz w:val="18"/>
              </w:rPr>
              <w:t>3</w:t>
            </w:r>
          </w:p>
        </w:tc>
        <w:tc>
          <w:tcPr>
            <w:tcW w:w="1085" w:type="dxa"/>
          </w:tcPr>
          <w:p>
            <w:pPr>
              <w:pStyle w:val="TableParagraph"/>
              <w:spacing w:line="188" w:lineRule="exact"/>
              <w:ind w:left="149"/>
              <w:rPr>
                <w:sz w:val="18"/>
              </w:rPr>
            </w:pPr>
            <w:r>
              <w:rPr>
                <w:spacing w:val="-2"/>
                <w:sz w:val="18"/>
              </w:rPr>
              <w:t>0.610</w:t>
            </w:r>
          </w:p>
        </w:tc>
        <w:tc>
          <w:tcPr>
            <w:tcW w:w="865" w:type="dxa"/>
          </w:tcPr>
          <w:p>
            <w:pPr>
              <w:pStyle w:val="TableParagraph"/>
              <w:spacing w:line="188" w:lineRule="exact"/>
              <w:ind w:left="260"/>
              <w:rPr>
                <w:sz w:val="18"/>
              </w:rPr>
            </w:pPr>
            <w:r>
              <w:rPr>
                <w:spacing w:val="-10"/>
                <w:sz w:val="18"/>
              </w:rPr>
              <w:t>3</w:t>
            </w:r>
          </w:p>
        </w:tc>
        <w:tc>
          <w:tcPr>
            <w:tcW w:w="1184" w:type="dxa"/>
          </w:tcPr>
          <w:p>
            <w:pPr>
              <w:pStyle w:val="TableParagraph"/>
              <w:spacing w:line="188" w:lineRule="exact"/>
              <w:ind w:left="79"/>
              <w:rPr>
                <w:sz w:val="18"/>
              </w:rPr>
            </w:pPr>
            <w:r>
              <w:rPr>
                <w:spacing w:val="-2"/>
                <w:sz w:val="18"/>
              </w:rPr>
              <w:t>0.609</w:t>
            </w:r>
          </w:p>
        </w:tc>
        <w:tc>
          <w:tcPr>
            <w:tcW w:w="1186" w:type="dxa"/>
          </w:tcPr>
          <w:p>
            <w:pPr>
              <w:pStyle w:val="TableParagraph"/>
              <w:spacing w:line="188" w:lineRule="exact"/>
              <w:ind w:left="426"/>
              <w:rPr>
                <w:sz w:val="18"/>
              </w:rPr>
            </w:pPr>
            <w:r>
              <w:rPr>
                <w:spacing w:val="-10"/>
                <w:sz w:val="18"/>
              </w:rPr>
              <w:t>3</w:t>
            </w:r>
          </w:p>
        </w:tc>
        <w:tc>
          <w:tcPr>
            <w:tcW w:w="1363" w:type="dxa"/>
          </w:tcPr>
          <w:p>
            <w:pPr>
              <w:pStyle w:val="TableParagraph"/>
              <w:spacing w:line="188" w:lineRule="exact"/>
              <w:ind w:left="230"/>
              <w:rPr>
                <w:sz w:val="18"/>
              </w:rPr>
            </w:pPr>
            <w:r>
              <w:rPr>
                <w:spacing w:val="-2"/>
                <w:sz w:val="18"/>
              </w:rPr>
              <w:t>0.609</w:t>
            </w:r>
          </w:p>
        </w:tc>
        <w:tc>
          <w:tcPr>
            <w:tcW w:w="1392" w:type="dxa"/>
          </w:tcPr>
          <w:p>
            <w:pPr>
              <w:pStyle w:val="TableParagraph"/>
              <w:spacing w:line="240" w:lineRule="auto"/>
              <w:rPr>
                <w:sz w:val="14"/>
              </w:rPr>
            </w:pPr>
          </w:p>
        </w:tc>
        <w:tc>
          <w:tcPr>
            <w:tcW w:w="1784" w:type="dxa"/>
          </w:tcPr>
          <w:p>
            <w:pPr>
              <w:pStyle w:val="TableParagraph"/>
              <w:spacing w:line="240" w:lineRule="auto"/>
              <w:rPr>
                <w:sz w:val="14"/>
              </w:rPr>
            </w:pPr>
          </w:p>
        </w:tc>
      </w:tr>
      <w:tr>
        <w:trPr>
          <w:trHeight w:val="207" w:hRule="atLeast"/>
        </w:trPr>
        <w:tc>
          <w:tcPr>
            <w:tcW w:w="1170" w:type="dxa"/>
          </w:tcPr>
          <w:p>
            <w:pPr>
              <w:pStyle w:val="TableParagraph"/>
              <w:spacing w:line="188" w:lineRule="exact"/>
              <w:ind w:left="122"/>
              <w:rPr>
                <w:b/>
                <w:sz w:val="18"/>
              </w:rPr>
            </w:pPr>
            <w:r>
              <w:rPr>
                <w:b/>
                <w:spacing w:val="-10"/>
                <w:sz w:val="18"/>
              </w:rPr>
              <w:t>4</w:t>
            </w:r>
          </w:p>
        </w:tc>
        <w:tc>
          <w:tcPr>
            <w:tcW w:w="1085" w:type="dxa"/>
          </w:tcPr>
          <w:p>
            <w:pPr>
              <w:pStyle w:val="TableParagraph"/>
              <w:spacing w:line="188" w:lineRule="exact"/>
              <w:ind w:left="149"/>
              <w:rPr>
                <w:sz w:val="18"/>
              </w:rPr>
            </w:pPr>
            <w:r>
              <w:rPr>
                <w:spacing w:val="-2"/>
                <w:sz w:val="18"/>
              </w:rPr>
              <w:t>0.610</w:t>
            </w:r>
          </w:p>
        </w:tc>
        <w:tc>
          <w:tcPr>
            <w:tcW w:w="865" w:type="dxa"/>
          </w:tcPr>
          <w:p>
            <w:pPr>
              <w:pStyle w:val="TableParagraph"/>
              <w:spacing w:line="188" w:lineRule="exact"/>
              <w:ind w:left="260"/>
              <w:rPr>
                <w:sz w:val="18"/>
              </w:rPr>
            </w:pPr>
            <w:r>
              <w:rPr>
                <w:spacing w:val="-10"/>
                <w:sz w:val="18"/>
              </w:rPr>
              <w:t>4</w:t>
            </w:r>
          </w:p>
        </w:tc>
        <w:tc>
          <w:tcPr>
            <w:tcW w:w="1184" w:type="dxa"/>
          </w:tcPr>
          <w:p>
            <w:pPr>
              <w:pStyle w:val="TableParagraph"/>
              <w:spacing w:line="188" w:lineRule="exact"/>
              <w:ind w:left="79"/>
              <w:rPr>
                <w:sz w:val="18"/>
              </w:rPr>
            </w:pPr>
            <w:r>
              <w:rPr>
                <w:spacing w:val="-2"/>
                <w:sz w:val="18"/>
              </w:rPr>
              <w:t>0.608</w:t>
            </w:r>
          </w:p>
        </w:tc>
        <w:tc>
          <w:tcPr>
            <w:tcW w:w="1186" w:type="dxa"/>
          </w:tcPr>
          <w:p>
            <w:pPr>
              <w:pStyle w:val="TableParagraph"/>
              <w:spacing w:line="188" w:lineRule="exact"/>
              <w:ind w:left="426"/>
              <w:rPr>
                <w:sz w:val="18"/>
              </w:rPr>
            </w:pPr>
            <w:r>
              <w:rPr>
                <w:spacing w:val="-10"/>
                <w:sz w:val="18"/>
              </w:rPr>
              <w:t>4</w:t>
            </w:r>
          </w:p>
        </w:tc>
        <w:tc>
          <w:tcPr>
            <w:tcW w:w="1363" w:type="dxa"/>
          </w:tcPr>
          <w:p>
            <w:pPr>
              <w:pStyle w:val="TableParagraph"/>
              <w:spacing w:line="188" w:lineRule="exact"/>
              <w:ind w:left="230"/>
              <w:rPr>
                <w:sz w:val="18"/>
              </w:rPr>
            </w:pPr>
            <w:r>
              <w:rPr>
                <w:spacing w:val="-2"/>
                <w:sz w:val="18"/>
              </w:rPr>
              <w:t>0.609</w:t>
            </w:r>
          </w:p>
        </w:tc>
        <w:tc>
          <w:tcPr>
            <w:tcW w:w="1392" w:type="dxa"/>
          </w:tcPr>
          <w:p>
            <w:pPr>
              <w:pStyle w:val="TableParagraph"/>
              <w:spacing w:line="240" w:lineRule="auto"/>
              <w:rPr>
                <w:sz w:val="14"/>
              </w:rPr>
            </w:pPr>
          </w:p>
        </w:tc>
        <w:tc>
          <w:tcPr>
            <w:tcW w:w="1784" w:type="dxa"/>
          </w:tcPr>
          <w:p>
            <w:pPr>
              <w:pStyle w:val="TableParagraph"/>
              <w:spacing w:line="240" w:lineRule="auto"/>
              <w:rPr>
                <w:sz w:val="14"/>
              </w:rPr>
            </w:pPr>
          </w:p>
        </w:tc>
      </w:tr>
      <w:tr>
        <w:trPr>
          <w:trHeight w:val="206" w:hRule="atLeast"/>
        </w:trPr>
        <w:tc>
          <w:tcPr>
            <w:tcW w:w="1170" w:type="dxa"/>
          </w:tcPr>
          <w:p>
            <w:pPr>
              <w:pStyle w:val="TableParagraph"/>
              <w:spacing w:line="187" w:lineRule="exact"/>
              <w:ind w:left="122"/>
              <w:rPr>
                <w:b/>
                <w:sz w:val="18"/>
              </w:rPr>
            </w:pPr>
            <w:r>
              <w:rPr>
                <w:b/>
                <w:spacing w:val="-10"/>
                <w:sz w:val="18"/>
              </w:rPr>
              <w:t>5</w:t>
            </w:r>
          </w:p>
        </w:tc>
        <w:tc>
          <w:tcPr>
            <w:tcW w:w="1085" w:type="dxa"/>
          </w:tcPr>
          <w:p>
            <w:pPr>
              <w:pStyle w:val="TableParagraph"/>
              <w:spacing w:line="187" w:lineRule="exact"/>
              <w:ind w:left="149"/>
              <w:rPr>
                <w:sz w:val="18"/>
              </w:rPr>
            </w:pPr>
            <w:r>
              <w:rPr>
                <w:spacing w:val="-2"/>
                <w:sz w:val="18"/>
              </w:rPr>
              <w:t>0.609</w:t>
            </w:r>
          </w:p>
        </w:tc>
        <w:tc>
          <w:tcPr>
            <w:tcW w:w="865" w:type="dxa"/>
          </w:tcPr>
          <w:p>
            <w:pPr>
              <w:pStyle w:val="TableParagraph"/>
              <w:spacing w:line="187" w:lineRule="exact"/>
              <w:ind w:left="260"/>
              <w:rPr>
                <w:sz w:val="18"/>
              </w:rPr>
            </w:pPr>
            <w:r>
              <w:rPr>
                <w:spacing w:val="-10"/>
                <w:sz w:val="18"/>
              </w:rPr>
              <w:t>5</w:t>
            </w:r>
          </w:p>
        </w:tc>
        <w:tc>
          <w:tcPr>
            <w:tcW w:w="1184" w:type="dxa"/>
          </w:tcPr>
          <w:p>
            <w:pPr>
              <w:pStyle w:val="TableParagraph"/>
              <w:spacing w:line="187" w:lineRule="exact"/>
              <w:ind w:left="79"/>
              <w:rPr>
                <w:sz w:val="18"/>
              </w:rPr>
            </w:pPr>
            <w:r>
              <w:rPr>
                <w:spacing w:val="-2"/>
                <w:sz w:val="18"/>
              </w:rPr>
              <w:t>0.610</w:t>
            </w:r>
          </w:p>
        </w:tc>
        <w:tc>
          <w:tcPr>
            <w:tcW w:w="1186" w:type="dxa"/>
          </w:tcPr>
          <w:p>
            <w:pPr>
              <w:pStyle w:val="TableParagraph"/>
              <w:spacing w:line="187" w:lineRule="exact"/>
              <w:ind w:left="426"/>
              <w:rPr>
                <w:sz w:val="18"/>
              </w:rPr>
            </w:pPr>
            <w:r>
              <w:rPr>
                <w:spacing w:val="-10"/>
                <w:sz w:val="18"/>
              </w:rPr>
              <w:t>5</w:t>
            </w:r>
          </w:p>
        </w:tc>
        <w:tc>
          <w:tcPr>
            <w:tcW w:w="1363" w:type="dxa"/>
          </w:tcPr>
          <w:p>
            <w:pPr>
              <w:pStyle w:val="TableParagraph"/>
              <w:spacing w:line="187" w:lineRule="exact"/>
              <w:ind w:left="230"/>
              <w:rPr>
                <w:sz w:val="18"/>
              </w:rPr>
            </w:pPr>
            <w:r>
              <w:rPr>
                <w:spacing w:val="-2"/>
                <w:sz w:val="18"/>
              </w:rPr>
              <w:t>0.610</w:t>
            </w:r>
          </w:p>
        </w:tc>
        <w:tc>
          <w:tcPr>
            <w:tcW w:w="1392" w:type="dxa"/>
          </w:tcPr>
          <w:p>
            <w:pPr>
              <w:pStyle w:val="TableParagraph"/>
              <w:spacing w:line="240" w:lineRule="auto"/>
              <w:rPr>
                <w:sz w:val="14"/>
              </w:rPr>
            </w:pPr>
          </w:p>
        </w:tc>
        <w:tc>
          <w:tcPr>
            <w:tcW w:w="1784" w:type="dxa"/>
          </w:tcPr>
          <w:p>
            <w:pPr>
              <w:pStyle w:val="TableParagraph"/>
              <w:spacing w:line="240" w:lineRule="auto"/>
              <w:rPr>
                <w:sz w:val="14"/>
              </w:rPr>
            </w:pPr>
          </w:p>
        </w:tc>
      </w:tr>
      <w:tr>
        <w:trPr>
          <w:trHeight w:val="206" w:hRule="atLeast"/>
        </w:trPr>
        <w:tc>
          <w:tcPr>
            <w:tcW w:w="1170" w:type="dxa"/>
          </w:tcPr>
          <w:p>
            <w:pPr>
              <w:pStyle w:val="TableParagraph"/>
              <w:spacing w:line="187" w:lineRule="exact"/>
              <w:ind w:left="122"/>
              <w:rPr>
                <w:b/>
                <w:sz w:val="18"/>
              </w:rPr>
            </w:pPr>
            <w:r>
              <w:rPr>
                <w:b/>
                <w:spacing w:val="-2"/>
                <w:sz w:val="18"/>
              </w:rPr>
              <w:t>AVERAGE</w:t>
            </w:r>
          </w:p>
        </w:tc>
        <w:tc>
          <w:tcPr>
            <w:tcW w:w="1085" w:type="dxa"/>
          </w:tcPr>
          <w:p>
            <w:pPr>
              <w:pStyle w:val="TableParagraph"/>
              <w:spacing w:line="187" w:lineRule="exact"/>
              <w:ind w:left="149"/>
              <w:rPr>
                <w:sz w:val="18"/>
              </w:rPr>
            </w:pPr>
            <w:r>
              <w:rPr>
                <w:spacing w:val="-2"/>
                <w:sz w:val="18"/>
              </w:rPr>
              <w:t>0.610</w:t>
            </w:r>
          </w:p>
        </w:tc>
        <w:tc>
          <w:tcPr>
            <w:tcW w:w="865" w:type="dxa"/>
          </w:tcPr>
          <w:p>
            <w:pPr>
              <w:pStyle w:val="TableParagraph"/>
              <w:spacing w:line="240" w:lineRule="auto"/>
              <w:rPr>
                <w:sz w:val="14"/>
              </w:rPr>
            </w:pPr>
          </w:p>
        </w:tc>
        <w:tc>
          <w:tcPr>
            <w:tcW w:w="1184" w:type="dxa"/>
          </w:tcPr>
          <w:p>
            <w:pPr>
              <w:pStyle w:val="TableParagraph"/>
              <w:spacing w:line="187" w:lineRule="exact"/>
              <w:ind w:left="79"/>
              <w:rPr>
                <w:sz w:val="18"/>
              </w:rPr>
            </w:pPr>
            <w:r>
              <w:rPr>
                <w:spacing w:val="-2"/>
                <w:sz w:val="18"/>
              </w:rPr>
              <w:t>0.610</w:t>
            </w:r>
          </w:p>
        </w:tc>
        <w:tc>
          <w:tcPr>
            <w:tcW w:w="1186" w:type="dxa"/>
          </w:tcPr>
          <w:p>
            <w:pPr>
              <w:pStyle w:val="TableParagraph"/>
              <w:spacing w:line="240" w:lineRule="auto"/>
              <w:rPr>
                <w:sz w:val="14"/>
              </w:rPr>
            </w:pPr>
          </w:p>
        </w:tc>
        <w:tc>
          <w:tcPr>
            <w:tcW w:w="1363" w:type="dxa"/>
          </w:tcPr>
          <w:p>
            <w:pPr>
              <w:pStyle w:val="TableParagraph"/>
              <w:spacing w:line="187" w:lineRule="exact"/>
              <w:ind w:left="230"/>
              <w:rPr>
                <w:sz w:val="18"/>
              </w:rPr>
            </w:pPr>
            <w:r>
              <w:rPr>
                <w:spacing w:val="-2"/>
                <w:sz w:val="18"/>
              </w:rPr>
              <w:t>0.609</w:t>
            </w:r>
          </w:p>
        </w:tc>
        <w:tc>
          <w:tcPr>
            <w:tcW w:w="1392" w:type="dxa"/>
          </w:tcPr>
          <w:p>
            <w:pPr>
              <w:pStyle w:val="TableParagraph"/>
              <w:spacing w:line="187" w:lineRule="exact"/>
              <w:ind w:left="451"/>
              <w:rPr>
                <w:sz w:val="18"/>
              </w:rPr>
            </w:pPr>
            <w:r>
              <w:rPr>
                <w:spacing w:val="-2"/>
                <w:sz w:val="18"/>
              </w:rPr>
              <w:t>1.829</w:t>
            </w:r>
          </w:p>
        </w:tc>
        <w:tc>
          <w:tcPr>
            <w:tcW w:w="1784" w:type="dxa"/>
          </w:tcPr>
          <w:p>
            <w:pPr>
              <w:pStyle w:val="TableParagraph"/>
              <w:spacing w:line="187" w:lineRule="exact"/>
              <w:ind w:left="257"/>
              <w:rPr>
                <w:sz w:val="18"/>
              </w:rPr>
            </w:pPr>
            <w:r>
              <w:rPr>
                <w:spacing w:val="-2"/>
                <w:sz w:val="18"/>
              </w:rPr>
              <w:t>0.610</w:t>
            </w:r>
          </w:p>
        </w:tc>
      </w:tr>
      <w:tr>
        <w:trPr>
          <w:trHeight w:val="207" w:hRule="atLeast"/>
        </w:trPr>
        <w:tc>
          <w:tcPr>
            <w:tcW w:w="1170" w:type="dxa"/>
          </w:tcPr>
          <w:p>
            <w:pPr>
              <w:pStyle w:val="TableParagraph"/>
              <w:spacing w:line="188" w:lineRule="exact"/>
              <w:ind w:left="122"/>
              <w:rPr>
                <w:b/>
                <w:sz w:val="18"/>
              </w:rPr>
            </w:pPr>
            <w:r>
              <w:rPr>
                <w:b/>
                <w:spacing w:val="-5"/>
                <w:sz w:val="18"/>
              </w:rPr>
              <w:t>SD</w:t>
            </w:r>
          </w:p>
        </w:tc>
        <w:tc>
          <w:tcPr>
            <w:tcW w:w="1085" w:type="dxa"/>
          </w:tcPr>
          <w:p>
            <w:pPr>
              <w:pStyle w:val="TableParagraph"/>
              <w:spacing w:line="188" w:lineRule="exact"/>
              <w:ind w:left="149"/>
              <w:rPr>
                <w:sz w:val="18"/>
              </w:rPr>
            </w:pPr>
            <w:r>
              <w:rPr>
                <w:spacing w:val="-2"/>
                <w:sz w:val="18"/>
              </w:rPr>
              <w:t>0.000632</w:t>
            </w:r>
          </w:p>
        </w:tc>
        <w:tc>
          <w:tcPr>
            <w:tcW w:w="865" w:type="dxa"/>
          </w:tcPr>
          <w:p>
            <w:pPr>
              <w:pStyle w:val="TableParagraph"/>
              <w:spacing w:line="240" w:lineRule="auto"/>
              <w:rPr>
                <w:sz w:val="14"/>
              </w:rPr>
            </w:pPr>
          </w:p>
        </w:tc>
        <w:tc>
          <w:tcPr>
            <w:tcW w:w="1184" w:type="dxa"/>
          </w:tcPr>
          <w:p>
            <w:pPr>
              <w:pStyle w:val="TableParagraph"/>
              <w:spacing w:line="188" w:lineRule="exact"/>
              <w:ind w:left="79"/>
              <w:rPr>
                <w:sz w:val="18"/>
              </w:rPr>
            </w:pPr>
            <w:r>
              <w:rPr>
                <w:spacing w:val="-2"/>
                <w:sz w:val="18"/>
              </w:rPr>
              <w:t>0.00102</w:t>
            </w:r>
          </w:p>
        </w:tc>
        <w:tc>
          <w:tcPr>
            <w:tcW w:w="1186" w:type="dxa"/>
          </w:tcPr>
          <w:p>
            <w:pPr>
              <w:pStyle w:val="TableParagraph"/>
              <w:spacing w:line="240" w:lineRule="auto"/>
              <w:rPr>
                <w:sz w:val="14"/>
              </w:rPr>
            </w:pPr>
          </w:p>
        </w:tc>
        <w:tc>
          <w:tcPr>
            <w:tcW w:w="1363" w:type="dxa"/>
          </w:tcPr>
          <w:p>
            <w:pPr>
              <w:pStyle w:val="TableParagraph"/>
              <w:spacing w:line="188" w:lineRule="exact"/>
              <w:ind w:left="230"/>
              <w:rPr>
                <w:sz w:val="18"/>
              </w:rPr>
            </w:pPr>
            <w:r>
              <w:rPr>
                <w:spacing w:val="-2"/>
                <w:sz w:val="18"/>
              </w:rPr>
              <w:t>0.00102</w:t>
            </w:r>
          </w:p>
        </w:tc>
        <w:tc>
          <w:tcPr>
            <w:tcW w:w="1392" w:type="dxa"/>
          </w:tcPr>
          <w:p>
            <w:pPr>
              <w:pStyle w:val="TableParagraph"/>
              <w:spacing w:line="188" w:lineRule="exact"/>
              <w:ind w:left="451"/>
              <w:rPr>
                <w:sz w:val="18"/>
              </w:rPr>
            </w:pPr>
            <w:r>
              <w:rPr>
                <w:spacing w:val="-2"/>
                <w:sz w:val="18"/>
              </w:rPr>
              <w:t>0.002672</w:t>
            </w:r>
          </w:p>
        </w:tc>
        <w:tc>
          <w:tcPr>
            <w:tcW w:w="1784" w:type="dxa"/>
          </w:tcPr>
          <w:p>
            <w:pPr>
              <w:pStyle w:val="TableParagraph"/>
              <w:spacing w:line="188" w:lineRule="exact"/>
              <w:ind w:left="257"/>
              <w:rPr>
                <w:sz w:val="18"/>
              </w:rPr>
            </w:pPr>
            <w:r>
              <w:rPr>
                <w:spacing w:val="-2"/>
                <w:sz w:val="18"/>
              </w:rPr>
              <w:t>0.000891</w:t>
            </w:r>
          </w:p>
        </w:tc>
      </w:tr>
      <w:tr>
        <w:trPr>
          <w:trHeight w:val="205" w:hRule="atLeast"/>
        </w:trPr>
        <w:tc>
          <w:tcPr>
            <w:tcW w:w="1170" w:type="dxa"/>
            <w:tcBorders>
              <w:bottom w:val="single" w:sz="8" w:space="0" w:color="000000"/>
            </w:tcBorders>
          </w:tcPr>
          <w:p>
            <w:pPr>
              <w:pStyle w:val="TableParagraph"/>
              <w:ind w:left="122"/>
              <w:rPr>
                <w:b/>
                <w:sz w:val="18"/>
              </w:rPr>
            </w:pPr>
            <w:r>
              <w:rPr>
                <w:b/>
                <w:spacing w:val="-4"/>
                <w:sz w:val="18"/>
              </w:rPr>
              <w:t>%RSD</w:t>
            </w:r>
          </w:p>
        </w:tc>
        <w:tc>
          <w:tcPr>
            <w:tcW w:w="1085" w:type="dxa"/>
            <w:tcBorders>
              <w:bottom w:val="single" w:sz="8" w:space="0" w:color="000000"/>
            </w:tcBorders>
          </w:tcPr>
          <w:p>
            <w:pPr>
              <w:pStyle w:val="TableParagraph"/>
              <w:ind w:left="149"/>
              <w:rPr>
                <w:sz w:val="18"/>
              </w:rPr>
            </w:pPr>
            <w:r>
              <w:rPr>
                <w:spacing w:val="-2"/>
                <w:sz w:val="18"/>
              </w:rPr>
              <w:t>0.103681</w:t>
            </w:r>
          </w:p>
        </w:tc>
        <w:tc>
          <w:tcPr>
            <w:tcW w:w="865" w:type="dxa"/>
            <w:tcBorders>
              <w:bottom w:val="single" w:sz="8" w:space="0" w:color="000000"/>
            </w:tcBorders>
          </w:tcPr>
          <w:p>
            <w:pPr>
              <w:pStyle w:val="TableParagraph"/>
              <w:spacing w:line="240" w:lineRule="auto"/>
              <w:rPr>
                <w:sz w:val="14"/>
              </w:rPr>
            </w:pPr>
          </w:p>
        </w:tc>
        <w:tc>
          <w:tcPr>
            <w:tcW w:w="1184" w:type="dxa"/>
            <w:tcBorders>
              <w:bottom w:val="single" w:sz="8" w:space="0" w:color="000000"/>
            </w:tcBorders>
          </w:tcPr>
          <w:p>
            <w:pPr>
              <w:pStyle w:val="TableParagraph"/>
              <w:ind w:left="79"/>
              <w:rPr>
                <w:sz w:val="18"/>
              </w:rPr>
            </w:pPr>
            <w:r>
              <w:rPr>
                <w:spacing w:val="-2"/>
                <w:sz w:val="18"/>
              </w:rPr>
              <w:t>0.167291</w:t>
            </w:r>
          </w:p>
        </w:tc>
        <w:tc>
          <w:tcPr>
            <w:tcW w:w="1186" w:type="dxa"/>
            <w:tcBorders>
              <w:bottom w:val="single" w:sz="8" w:space="0" w:color="000000"/>
            </w:tcBorders>
          </w:tcPr>
          <w:p>
            <w:pPr>
              <w:pStyle w:val="TableParagraph"/>
              <w:spacing w:line="240" w:lineRule="auto"/>
              <w:rPr>
                <w:sz w:val="14"/>
              </w:rPr>
            </w:pPr>
          </w:p>
        </w:tc>
        <w:tc>
          <w:tcPr>
            <w:tcW w:w="1363" w:type="dxa"/>
            <w:tcBorders>
              <w:bottom w:val="single" w:sz="8" w:space="0" w:color="000000"/>
            </w:tcBorders>
          </w:tcPr>
          <w:p>
            <w:pPr>
              <w:pStyle w:val="TableParagraph"/>
              <w:ind w:left="230"/>
              <w:rPr>
                <w:sz w:val="18"/>
              </w:rPr>
            </w:pPr>
            <w:r>
              <w:rPr>
                <w:spacing w:val="-2"/>
                <w:sz w:val="18"/>
              </w:rPr>
              <w:t>0.167346</w:t>
            </w:r>
          </w:p>
        </w:tc>
        <w:tc>
          <w:tcPr>
            <w:tcW w:w="1392" w:type="dxa"/>
            <w:tcBorders>
              <w:bottom w:val="single" w:sz="8" w:space="0" w:color="000000"/>
            </w:tcBorders>
          </w:tcPr>
          <w:p>
            <w:pPr>
              <w:pStyle w:val="TableParagraph"/>
              <w:ind w:left="451"/>
              <w:rPr>
                <w:sz w:val="18"/>
              </w:rPr>
            </w:pPr>
            <w:r>
              <w:rPr>
                <w:spacing w:val="-2"/>
                <w:sz w:val="18"/>
              </w:rPr>
              <w:t>0.438317</w:t>
            </w:r>
          </w:p>
        </w:tc>
        <w:tc>
          <w:tcPr>
            <w:tcW w:w="1784" w:type="dxa"/>
            <w:tcBorders>
              <w:bottom w:val="single" w:sz="8" w:space="0" w:color="000000"/>
            </w:tcBorders>
          </w:tcPr>
          <w:p>
            <w:pPr>
              <w:pStyle w:val="TableParagraph"/>
              <w:ind w:left="257"/>
              <w:rPr>
                <w:sz w:val="18"/>
              </w:rPr>
            </w:pPr>
            <w:r>
              <w:rPr>
                <w:spacing w:val="-2"/>
                <w:sz w:val="18"/>
              </w:rPr>
              <w:t>0.146106</w:t>
            </w:r>
          </w:p>
        </w:tc>
      </w:tr>
    </w:tbl>
    <w:p>
      <w:pPr>
        <w:spacing w:after="0"/>
        <w:rPr>
          <w:sz w:val="18"/>
        </w:rPr>
        <w:sectPr>
          <w:pgSz w:w="12240" w:h="15840"/>
          <w:pgMar w:header="0" w:footer="1015" w:top="1360" w:bottom="1200" w:left="240" w:right="0"/>
        </w:sectPr>
      </w:pPr>
    </w:p>
    <w:p>
      <w:pPr>
        <w:spacing w:before="72"/>
        <w:ind w:left="1254" w:right="1494" w:firstLine="0"/>
        <w:jc w:val="center"/>
        <w:rPr>
          <w:sz w:val="18"/>
        </w:rPr>
      </w:pPr>
      <w:r>
        <w:rPr>
          <w:sz w:val="18"/>
        </w:rPr>
        <w:t>METHOD</w:t>
      </w:r>
      <w:r>
        <w:rPr>
          <w:spacing w:val="-5"/>
          <w:sz w:val="18"/>
        </w:rPr>
        <w:t> </w:t>
      </w:r>
      <w:r>
        <w:rPr>
          <w:spacing w:val="-10"/>
          <w:sz w:val="18"/>
        </w:rPr>
        <w:t>3</w:t>
      </w:r>
    </w:p>
    <w:p>
      <w:pPr>
        <w:pStyle w:val="BodyText"/>
        <w:rPr>
          <w:sz w:val="20"/>
        </w:rPr>
      </w:pPr>
    </w:p>
    <w:p>
      <w:pPr>
        <w:pStyle w:val="BodyText"/>
        <w:spacing w:before="99" w:after="1"/>
        <w:rPr>
          <w:sz w:val="20"/>
        </w:r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3"/>
        <w:gridCol w:w="1080"/>
        <w:gridCol w:w="629"/>
        <w:gridCol w:w="1081"/>
        <w:gridCol w:w="540"/>
        <w:gridCol w:w="1080"/>
        <w:gridCol w:w="540"/>
        <w:gridCol w:w="1080"/>
        <w:gridCol w:w="631"/>
        <w:gridCol w:w="1080"/>
        <w:gridCol w:w="539"/>
        <w:gridCol w:w="1079"/>
        <w:gridCol w:w="1079"/>
      </w:tblGrid>
      <w:tr>
        <w:trPr>
          <w:trHeight w:val="206" w:hRule="atLeast"/>
        </w:trPr>
        <w:tc>
          <w:tcPr>
            <w:tcW w:w="11701" w:type="dxa"/>
            <w:gridSpan w:val="13"/>
          </w:tcPr>
          <w:p>
            <w:pPr>
              <w:pStyle w:val="TableParagraph"/>
              <w:ind w:left="3216"/>
              <w:rPr>
                <w:sz w:val="18"/>
              </w:rPr>
            </w:pPr>
            <w:r>
              <w:rPr>
                <w:sz w:val="18"/>
              </w:rPr>
              <w:t>INTRA</w:t>
            </w:r>
            <w:r>
              <w:rPr>
                <w:spacing w:val="-5"/>
                <w:sz w:val="18"/>
              </w:rPr>
              <w:t> </w:t>
            </w:r>
            <w:r>
              <w:rPr>
                <w:sz w:val="18"/>
              </w:rPr>
              <w:t>DAY</w:t>
            </w:r>
            <w:r>
              <w:rPr>
                <w:spacing w:val="-2"/>
                <w:sz w:val="18"/>
              </w:rPr>
              <w:t> </w:t>
            </w:r>
            <w:r>
              <w:rPr>
                <w:sz w:val="18"/>
              </w:rPr>
              <w:t>FOR</w:t>
            </w:r>
            <w:r>
              <w:rPr>
                <w:spacing w:val="-1"/>
                <w:sz w:val="18"/>
              </w:rPr>
              <w:t> </w:t>
            </w:r>
            <w:r>
              <w:rPr>
                <w:sz w:val="18"/>
              </w:rPr>
              <w:t>METHOD</w:t>
            </w:r>
            <w:r>
              <w:rPr>
                <w:spacing w:val="-1"/>
                <w:sz w:val="18"/>
              </w:rPr>
              <w:t> </w:t>
            </w:r>
            <w:r>
              <w:rPr>
                <w:spacing w:val="-10"/>
                <w:sz w:val="18"/>
              </w:rPr>
              <w:t>3</w:t>
            </w:r>
          </w:p>
        </w:tc>
      </w:tr>
      <w:tr>
        <w:trPr>
          <w:trHeight w:val="414" w:hRule="atLeast"/>
        </w:trPr>
        <w:tc>
          <w:tcPr>
            <w:tcW w:w="2343" w:type="dxa"/>
            <w:gridSpan w:val="2"/>
          </w:tcPr>
          <w:p>
            <w:pPr>
              <w:pStyle w:val="TableParagraph"/>
              <w:spacing w:line="202" w:lineRule="exact"/>
              <w:ind w:left="107"/>
              <w:rPr>
                <w:sz w:val="18"/>
              </w:rPr>
            </w:pPr>
            <w:r>
              <w:rPr>
                <w:sz w:val="18"/>
              </w:rPr>
              <w:t>0</w:t>
            </w:r>
            <w:r>
              <w:rPr>
                <w:spacing w:val="1"/>
                <w:sz w:val="18"/>
              </w:rPr>
              <w:t> </w:t>
            </w:r>
            <w:r>
              <w:rPr>
                <w:spacing w:val="-2"/>
                <w:sz w:val="18"/>
              </w:rPr>
              <w:t>(hrs)</w:t>
            </w:r>
          </w:p>
        </w:tc>
        <w:tc>
          <w:tcPr>
            <w:tcW w:w="1710" w:type="dxa"/>
            <w:gridSpan w:val="2"/>
          </w:tcPr>
          <w:p>
            <w:pPr>
              <w:pStyle w:val="TableParagraph"/>
              <w:spacing w:line="202" w:lineRule="exact"/>
              <w:ind w:left="105"/>
              <w:rPr>
                <w:sz w:val="18"/>
              </w:rPr>
            </w:pPr>
            <w:r>
              <w:rPr>
                <w:spacing w:val="-2"/>
                <w:sz w:val="18"/>
              </w:rPr>
              <w:t>1(hrs)</w:t>
            </w:r>
          </w:p>
        </w:tc>
        <w:tc>
          <w:tcPr>
            <w:tcW w:w="1620" w:type="dxa"/>
            <w:gridSpan w:val="2"/>
          </w:tcPr>
          <w:p>
            <w:pPr>
              <w:pStyle w:val="TableParagraph"/>
              <w:spacing w:line="202" w:lineRule="exact"/>
              <w:ind w:left="107"/>
              <w:rPr>
                <w:sz w:val="18"/>
              </w:rPr>
            </w:pPr>
            <w:r>
              <w:rPr>
                <w:sz w:val="18"/>
              </w:rPr>
              <w:t>2</w:t>
            </w:r>
            <w:r>
              <w:rPr>
                <w:spacing w:val="1"/>
                <w:sz w:val="18"/>
              </w:rPr>
              <w:t> </w:t>
            </w:r>
            <w:r>
              <w:rPr>
                <w:spacing w:val="-2"/>
                <w:sz w:val="18"/>
              </w:rPr>
              <w:t>(hrs)</w:t>
            </w:r>
          </w:p>
        </w:tc>
        <w:tc>
          <w:tcPr>
            <w:tcW w:w="1620" w:type="dxa"/>
            <w:gridSpan w:val="2"/>
          </w:tcPr>
          <w:p>
            <w:pPr>
              <w:pStyle w:val="TableParagraph"/>
              <w:spacing w:line="202" w:lineRule="exact"/>
              <w:ind w:left="107"/>
              <w:rPr>
                <w:sz w:val="18"/>
              </w:rPr>
            </w:pPr>
            <w:r>
              <w:rPr>
                <w:sz w:val="18"/>
              </w:rPr>
              <w:t>3</w:t>
            </w:r>
            <w:r>
              <w:rPr>
                <w:spacing w:val="1"/>
                <w:sz w:val="18"/>
              </w:rPr>
              <w:t> </w:t>
            </w:r>
            <w:r>
              <w:rPr>
                <w:spacing w:val="-2"/>
                <w:sz w:val="18"/>
              </w:rPr>
              <w:t>(hrs)</w:t>
            </w:r>
          </w:p>
        </w:tc>
        <w:tc>
          <w:tcPr>
            <w:tcW w:w="1711" w:type="dxa"/>
            <w:gridSpan w:val="2"/>
          </w:tcPr>
          <w:p>
            <w:pPr>
              <w:pStyle w:val="TableParagraph"/>
              <w:spacing w:line="202" w:lineRule="exact"/>
              <w:ind w:left="107"/>
              <w:rPr>
                <w:sz w:val="18"/>
              </w:rPr>
            </w:pPr>
            <w:r>
              <w:rPr>
                <w:sz w:val="18"/>
              </w:rPr>
              <w:t>4</w:t>
            </w:r>
            <w:r>
              <w:rPr>
                <w:spacing w:val="1"/>
                <w:sz w:val="18"/>
              </w:rPr>
              <w:t> </w:t>
            </w:r>
            <w:r>
              <w:rPr>
                <w:spacing w:val="-2"/>
                <w:sz w:val="18"/>
              </w:rPr>
              <w:t>(hrs)</w:t>
            </w:r>
          </w:p>
        </w:tc>
        <w:tc>
          <w:tcPr>
            <w:tcW w:w="1618" w:type="dxa"/>
            <w:gridSpan w:val="2"/>
          </w:tcPr>
          <w:p>
            <w:pPr>
              <w:pStyle w:val="TableParagraph"/>
              <w:spacing w:line="202" w:lineRule="exact"/>
              <w:ind w:left="105"/>
              <w:rPr>
                <w:sz w:val="18"/>
              </w:rPr>
            </w:pPr>
            <w:r>
              <w:rPr>
                <w:sz w:val="18"/>
              </w:rPr>
              <w:t>5</w:t>
            </w:r>
            <w:r>
              <w:rPr>
                <w:spacing w:val="1"/>
                <w:sz w:val="18"/>
              </w:rPr>
              <w:t> </w:t>
            </w:r>
            <w:r>
              <w:rPr>
                <w:spacing w:val="-2"/>
                <w:sz w:val="18"/>
              </w:rPr>
              <w:t>(hrs)</w:t>
            </w:r>
          </w:p>
        </w:tc>
        <w:tc>
          <w:tcPr>
            <w:tcW w:w="1079" w:type="dxa"/>
          </w:tcPr>
          <w:p>
            <w:pPr>
              <w:pStyle w:val="TableParagraph"/>
              <w:spacing w:line="202" w:lineRule="exact"/>
              <w:ind w:left="107"/>
              <w:rPr>
                <w:sz w:val="18"/>
              </w:rPr>
            </w:pPr>
            <w:r>
              <w:rPr>
                <w:spacing w:val="-4"/>
                <w:sz w:val="18"/>
              </w:rPr>
              <w:t>TOTAL</w:t>
            </w:r>
          </w:p>
          <w:p>
            <w:pPr>
              <w:pStyle w:val="TableParagraph"/>
              <w:spacing w:line="191" w:lineRule="exact" w:before="2"/>
              <w:ind w:left="107"/>
              <w:rPr>
                <w:sz w:val="18"/>
              </w:rPr>
            </w:pPr>
            <w:r>
              <w:rPr>
                <w:spacing w:val="-4"/>
                <w:sz w:val="18"/>
              </w:rPr>
              <w:t>MEAN</w:t>
            </w:r>
          </w:p>
        </w:tc>
      </w:tr>
      <w:tr>
        <w:trPr>
          <w:trHeight w:val="414" w:hRule="atLeast"/>
        </w:trPr>
        <w:tc>
          <w:tcPr>
            <w:tcW w:w="1263" w:type="dxa"/>
          </w:tcPr>
          <w:p>
            <w:pPr>
              <w:pStyle w:val="TableParagraph"/>
              <w:spacing w:line="202" w:lineRule="exact"/>
              <w:ind w:left="107"/>
              <w:rPr>
                <w:sz w:val="18"/>
              </w:rPr>
            </w:pPr>
            <w:r>
              <w:rPr>
                <w:spacing w:val="-4"/>
                <w:sz w:val="18"/>
              </w:rPr>
              <w:t>Cyc.</w:t>
            </w:r>
          </w:p>
        </w:tc>
        <w:tc>
          <w:tcPr>
            <w:tcW w:w="1080" w:type="dxa"/>
          </w:tcPr>
          <w:p>
            <w:pPr>
              <w:pStyle w:val="TableParagraph"/>
              <w:spacing w:line="202" w:lineRule="exact"/>
              <w:ind w:left="105"/>
              <w:rPr>
                <w:sz w:val="18"/>
              </w:rPr>
            </w:pPr>
            <w:r>
              <w:rPr>
                <w:spacing w:val="-4"/>
                <w:sz w:val="18"/>
              </w:rPr>
              <w:t>Abs.</w:t>
            </w:r>
          </w:p>
        </w:tc>
        <w:tc>
          <w:tcPr>
            <w:tcW w:w="629" w:type="dxa"/>
          </w:tcPr>
          <w:p>
            <w:pPr>
              <w:pStyle w:val="TableParagraph"/>
              <w:spacing w:line="202" w:lineRule="exact"/>
              <w:ind w:left="105"/>
              <w:rPr>
                <w:sz w:val="18"/>
              </w:rPr>
            </w:pPr>
            <w:r>
              <w:rPr>
                <w:spacing w:val="-4"/>
                <w:sz w:val="18"/>
              </w:rPr>
              <w:t>Cyc.</w:t>
            </w:r>
          </w:p>
        </w:tc>
        <w:tc>
          <w:tcPr>
            <w:tcW w:w="1081" w:type="dxa"/>
          </w:tcPr>
          <w:p>
            <w:pPr>
              <w:pStyle w:val="TableParagraph"/>
              <w:spacing w:line="202" w:lineRule="exact"/>
              <w:ind w:left="107"/>
              <w:rPr>
                <w:sz w:val="18"/>
              </w:rPr>
            </w:pPr>
            <w:r>
              <w:rPr>
                <w:spacing w:val="-4"/>
                <w:sz w:val="18"/>
              </w:rPr>
              <w:t>Abs.</w:t>
            </w:r>
          </w:p>
        </w:tc>
        <w:tc>
          <w:tcPr>
            <w:tcW w:w="540" w:type="dxa"/>
          </w:tcPr>
          <w:p>
            <w:pPr>
              <w:pStyle w:val="TableParagraph"/>
              <w:spacing w:line="202" w:lineRule="exact"/>
              <w:ind w:left="107"/>
              <w:rPr>
                <w:sz w:val="18"/>
              </w:rPr>
            </w:pPr>
            <w:r>
              <w:rPr>
                <w:spacing w:val="-5"/>
                <w:sz w:val="18"/>
              </w:rPr>
              <w:t>Cyc</w:t>
            </w:r>
          </w:p>
          <w:p>
            <w:pPr>
              <w:pStyle w:val="TableParagraph"/>
              <w:spacing w:line="193" w:lineRule="exact"/>
              <w:ind w:left="107"/>
              <w:rPr>
                <w:sz w:val="18"/>
              </w:rPr>
            </w:pPr>
            <w:r>
              <w:rPr>
                <w:spacing w:val="-10"/>
                <w:sz w:val="18"/>
              </w:rPr>
              <w:t>.</w:t>
            </w:r>
          </w:p>
        </w:tc>
        <w:tc>
          <w:tcPr>
            <w:tcW w:w="1080" w:type="dxa"/>
          </w:tcPr>
          <w:p>
            <w:pPr>
              <w:pStyle w:val="TableParagraph"/>
              <w:spacing w:line="202" w:lineRule="exact"/>
              <w:ind w:left="107"/>
              <w:rPr>
                <w:sz w:val="18"/>
              </w:rPr>
            </w:pPr>
            <w:r>
              <w:rPr>
                <w:spacing w:val="-4"/>
                <w:sz w:val="18"/>
              </w:rPr>
              <w:t>Abs.</w:t>
            </w:r>
          </w:p>
        </w:tc>
        <w:tc>
          <w:tcPr>
            <w:tcW w:w="540" w:type="dxa"/>
          </w:tcPr>
          <w:p>
            <w:pPr>
              <w:pStyle w:val="TableParagraph"/>
              <w:spacing w:line="202" w:lineRule="exact"/>
              <w:ind w:left="107"/>
              <w:rPr>
                <w:sz w:val="18"/>
              </w:rPr>
            </w:pPr>
            <w:r>
              <w:rPr>
                <w:spacing w:val="-5"/>
                <w:sz w:val="18"/>
              </w:rPr>
              <w:t>Cyc</w:t>
            </w:r>
          </w:p>
          <w:p>
            <w:pPr>
              <w:pStyle w:val="TableParagraph"/>
              <w:spacing w:line="193" w:lineRule="exact"/>
              <w:ind w:left="107"/>
              <w:rPr>
                <w:sz w:val="18"/>
              </w:rPr>
            </w:pPr>
            <w:r>
              <w:rPr>
                <w:spacing w:val="-10"/>
                <w:sz w:val="18"/>
              </w:rPr>
              <w:t>.</w:t>
            </w:r>
          </w:p>
        </w:tc>
        <w:tc>
          <w:tcPr>
            <w:tcW w:w="1080" w:type="dxa"/>
          </w:tcPr>
          <w:p>
            <w:pPr>
              <w:pStyle w:val="TableParagraph"/>
              <w:spacing w:line="202" w:lineRule="exact"/>
              <w:ind w:left="107"/>
              <w:rPr>
                <w:sz w:val="18"/>
              </w:rPr>
            </w:pPr>
            <w:r>
              <w:rPr>
                <w:spacing w:val="-4"/>
                <w:sz w:val="18"/>
              </w:rPr>
              <w:t>Abs.</w:t>
            </w:r>
          </w:p>
        </w:tc>
        <w:tc>
          <w:tcPr>
            <w:tcW w:w="631" w:type="dxa"/>
          </w:tcPr>
          <w:p>
            <w:pPr>
              <w:pStyle w:val="TableParagraph"/>
              <w:spacing w:line="202" w:lineRule="exact"/>
              <w:ind w:left="107"/>
              <w:rPr>
                <w:sz w:val="18"/>
              </w:rPr>
            </w:pPr>
            <w:r>
              <w:rPr>
                <w:spacing w:val="-4"/>
                <w:sz w:val="18"/>
              </w:rPr>
              <w:t>Cyc.</w:t>
            </w:r>
          </w:p>
        </w:tc>
        <w:tc>
          <w:tcPr>
            <w:tcW w:w="1080" w:type="dxa"/>
          </w:tcPr>
          <w:p>
            <w:pPr>
              <w:pStyle w:val="TableParagraph"/>
              <w:spacing w:line="202" w:lineRule="exact"/>
              <w:ind w:left="105"/>
              <w:rPr>
                <w:sz w:val="18"/>
              </w:rPr>
            </w:pPr>
            <w:r>
              <w:rPr>
                <w:spacing w:val="-4"/>
                <w:sz w:val="18"/>
              </w:rPr>
              <w:t>Abs.</w:t>
            </w:r>
          </w:p>
        </w:tc>
        <w:tc>
          <w:tcPr>
            <w:tcW w:w="539" w:type="dxa"/>
          </w:tcPr>
          <w:p>
            <w:pPr>
              <w:pStyle w:val="TableParagraph"/>
              <w:spacing w:line="202" w:lineRule="exact"/>
              <w:ind w:left="105"/>
              <w:rPr>
                <w:sz w:val="18"/>
              </w:rPr>
            </w:pPr>
            <w:r>
              <w:rPr>
                <w:spacing w:val="-5"/>
                <w:sz w:val="18"/>
              </w:rPr>
              <w:t>Cyc</w:t>
            </w:r>
          </w:p>
          <w:p>
            <w:pPr>
              <w:pStyle w:val="TableParagraph"/>
              <w:spacing w:line="193" w:lineRule="exact"/>
              <w:ind w:left="105"/>
              <w:rPr>
                <w:sz w:val="18"/>
              </w:rPr>
            </w:pPr>
            <w:r>
              <w:rPr>
                <w:spacing w:val="-10"/>
                <w:sz w:val="18"/>
              </w:rPr>
              <w:t>.</w:t>
            </w:r>
          </w:p>
        </w:tc>
        <w:tc>
          <w:tcPr>
            <w:tcW w:w="1079" w:type="dxa"/>
          </w:tcPr>
          <w:p>
            <w:pPr>
              <w:pStyle w:val="TableParagraph"/>
              <w:spacing w:line="202" w:lineRule="exact"/>
              <w:ind w:left="106"/>
              <w:rPr>
                <w:sz w:val="18"/>
              </w:rPr>
            </w:pPr>
            <w:r>
              <w:rPr>
                <w:spacing w:val="-4"/>
                <w:sz w:val="18"/>
              </w:rPr>
              <w:t>Abs.</w:t>
            </w:r>
          </w:p>
        </w:tc>
        <w:tc>
          <w:tcPr>
            <w:tcW w:w="1079" w:type="dxa"/>
          </w:tcPr>
          <w:p>
            <w:pPr>
              <w:pStyle w:val="TableParagraph"/>
              <w:spacing w:line="240" w:lineRule="auto"/>
              <w:rPr>
                <w:sz w:val="18"/>
              </w:rPr>
            </w:pPr>
          </w:p>
        </w:tc>
      </w:tr>
      <w:tr>
        <w:trPr>
          <w:trHeight w:val="205" w:hRule="atLeast"/>
        </w:trPr>
        <w:tc>
          <w:tcPr>
            <w:tcW w:w="1263" w:type="dxa"/>
          </w:tcPr>
          <w:p>
            <w:pPr>
              <w:pStyle w:val="TableParagraph"/>
              <w:ind w:left="107"/>
              <w:rPr>
                <w:sz w:val="18"/>
              </w:rPr>
            </w:pPr>
            <w:r>
              <w:rPr>
                <w:spacing w:val="-10"/>
                <w:sz w:val="18"/>
              </w:rPr>
              <w:t>1</w:t>
            </w:r>
          </w:p>
        </w:tc>
        <w:tc>
          <w:tcPr>
            <w:tcW w:w="1080" w:type="dxa"/>
          </w:tcPr>
          <w:p>
            <w:pPr>
              <w:pStyle w:val="TableParagraph"/>
              <w:ind w:left="105"/>
              <w:rPr>
                <w:sz w:val="18"/>
              </w:rPr>
            </w:pPr>
            <w:r>
              <w:rPr>
                <w:spacing w:val="-2"/>
                <w:sz w:val="18"/>
              </w:rPr>
              <w:t>0.098</w:t>
            </w:r>
          </w:p>
        </w:tc>
        <w:tc>
          <w:tcPr>
            <w:tcW w:w="629" w:type="dxa"/>
          </w:tcPr>
          <w:p>
            <w:pPr>
              <w:pStyle w:val="TableParagraph"/>
              <w:ind w:left="105"/>
              <w:rPr>
                <w:sz w:val="18"/>
              </w:rPr>
            </w:pPr>
            <w:r>
              <w:rPr>
                <w:spacing w:val="-10"/>
                <w:sz w:val="18"/>
              </w:rPr>
              <w:t>1</w:t>
            </w:r>
          </w:p>
        </w:tc>
        <w:tc>
          <w:tcPr>
            <w:tcW w:w="1081" w:type="dxa"/>
          </w:tcPr>
          <w:p>
            <w:pPr>
              <w:pStyle w:val="TableParagraph"/>
              <w:ind w:left="107"/>
              <w:rPr>
                <w:sz w:val="18"/>
              </w:rPr>
            </w:pPr>
            <w:r>
              <w:rPr>
                <w:spacing w:val="-2"/>
                <w:sz w:val="18"/>
              </w:rPr>
              <w:t>0.097</w:t>
            </w:r>
          </w:p>
        </w:tc>
        <w:tc>
          <w:tcPr>
            <w:tcW w:w="540" w:type="dxa"/>
          </w:tcPr>
          <w:p>
            <w:pPr>
              <w:pStyle w:val="TableParagraph"/>
              <w:ind w:left="107"/>
              <w:rPr>
                <w:sz w:val="18"/>
              </w:rPr>
            </w:pPr>
            <w:r>
              <w:rPr>
                <w:spacing w:val="-10"/>
                <w:sz w:val="18"/>
              </w:rPr>
              <w:t>1</w:t>
            </w:r>
          </w:p>
        </w:tc>
        <w:tc>
          <w:tcPr>
            <w:tcW w:w="1080" w:type="dxa"/>
          </w:tcPr>
          <w:p>
            <w:pPr>
              <w:pStyle w:val="TableParagraph"/>
              <w:ind w:left="107"/>
              <w:rPr>
                <w:sz w:val="18"/>
              </w:rPr>
            </w:pPr>
            <w:r>
              <w:rPr>
                <w:spacing w:val="-2"/>
                <w:sz w:val="18"/>
              </w:rPr>
              <w:t>0.099</w:t>
            </w:r>
          </w:p>
        </w:tc>
        <w:tc>
          <w:tcPr>
            <w:tcW w:w="540" w:type="dxa"/>
          </w:tcPr>
          <w:p>
            <w:pPr>
              <w:pStyle w:val="TableParagraph"/>
              <w:ind w:left="107"/>
              <w:rPr>
                <w:sz w:val="18"/>
              </w:rPr>
            </w:pPr>
            <w:r>
              <w:rPr>
                <w:spacing w:val="-10"/>
                <w:sz w:val="18"/>
              </w:rPr>
              <w:t>1</w:t>
            </w:r>
          </w:p>
        </w:tc>
        <w:tc>
          <w:tcPr>
            <w:tcW w:w="1080" w:type="dxa"/>
          </w:tcPr>
          <w:p>
            <w:pPr>
              <w:pStyle w:val="TableParagraph"/>
              <w:ind w:left="107"/>
              <w:rPr>
                <w:sz w:val="18"/>
              </w:rPr>
            </w:pPr>
            <w:r>
              <w:rPr>
                <w:spacing w:val="-2"/>
                <w:sz w:val="18"/>
              </w:rPr>
              <w:t>0.097</w:t>
            </w:r>
          </w:p>
        </w:tc>
        <w:tc>
          <w:tcPr>
            <w:tcW w:w="631" w:type="dxa"/>
          </w:tcPr>
          <w:p>
            <w:pPr>
              <w:pStyle w:val="TableParagraph"/>
              <w:ind w:left="107"/>
              <w:rPr>
                <w:sz w:val="18"/>
              </w:rPr>
            </w:pPr>
            <w:r>
              <w:rPr>
                <w:spacing w:val="-10"/>
                <w:sz w:val="18"/>
              </w:rPr>
              <w:t>1</w:t>
            </w:r>
          </w:p>
        </w:tc>
        <w:tc>
          <w:tcPr>
            <w:tcW w:w="1080" w:type="dxa"/>
          </w:tcPr>
          <w:p>
            <w:pPr>
              <w:pStyle w:val="TableParagraph"/>
              <w:ind w:left="105"/>
              <w:rPr>
                <w:sz w:val="18"/>
              </w:rPr>
            </w:pPr>
            <w:r>
              <w:rPr>
                <w:spacing w:val="-2"/>
                <w:sz w:val="18"/>
              </w:rPr>
              <w:t>0.099</w:t>
            </w:r>
          </w:p>
        </w:tc>
        <w:tc>
          <w:tcPr>
            <w:tcW w:w="539" w:type="dxa"/>
          </w:tcPr>
          <w:p>
            <w:pPr>
              <w:pStyle w:val="TableParagraph"/>
              <w:ind w:left="105"/>
              <w:rPr>
                <w:sz w:val="18"/>
              </w:rPr>
            </w:pPr>
            <w:r>
              <w:rPr>
                <w:spacing w:val="-10"/>
                <w:sz w:val="18"/>
              </w:rPr>
              <w:t>1</w:t>
            </w:r>
          </w:p>
        </w:tc>
        <w:tc>
          <w:tcPr>
            <w:tcW w:w="1079" w:type="dxa"/>
          </w:tcPr>
          <w:p>
            <w:pPr>
              <w:pStyle w:val="TableParagraph"/>
              <w:ind w:left="106"/>
              <w:rPr>
                <w:sz w:val="18"/>
              </w:rPr>
            </w:pPr>
            <w:r>
              <w:rPr>
                <w:spacing w:val="-2"/>
                <w:sz w:val="18"/>
              </w:rPr>
              <w:t>0.099</w:t>
            </w:r>
          </w:p>
        </w:tc>
        <w:tc>
          <w:tcPr>
            <w:tcW w:w="1079" w:type="dxa"/>
          </w:tcPr>
          <w:p>
            <w:pPr>
              <w:pStyle w:val="TableParagraph"/>
              <w:spacing w:line="240" w:lineRule="auto"/>
              <w:rPr>
                <w:sz w:val="14"/>
              </w:rPr>
            </w:pPr>
          </w:p>
        </w:tc>
      </w:tr>
      <w:tr>
        <w:trPr>
          <w:trHeight w:val="205" w:hRule="atLeast"/>
        </w:trPr>
        <w:tc>
          <w:tcPr>
            <w:tcW w:w="1263" w:type="dxa"/>
          </w:tcPr>
          <w:p>
            <w:pPr>
              <w:pStyle w:val="TableParagraph"/>
              <w:ind w:left="107"/>
              <w:rPr>
                <w:sz w:val="18"/>
              </w:rPr>
            </w:pPr>
            <w:r>
              <w:rPr>
                <w:spacing w:val="-10"/>
                <w:sz w:val="18"/>
              </w:rPr>
              <w:t>2</w:t>
            </w:r>
          </w:p>
        </w:tc>
        <w:tc>
          <w:tcPr>
            <w:tcW w:w="1080" w:type="dxa"/>
          </w:tcPr>
          <w:p>
            <w:pPr>
              <w:pStyle w:val="TableParagraph"/>
              <w:ind w:left="105"/>
              <w:rPr>
                <w:sz w:val="18"/>
              </w:rPr>
            </w:pPr>
            <w:r>
              <w:rPr>
                <w:spacing w:val="-2"/>
                <w:sz w:val="18"/>
              </w:rPr>
              <w:t>0.095</w:t>
            </w:r>
          </w:p>
        </w:tc>
        <w:tc>
          <w:tcPr>
            <w:tcW w:w="629" w:type="dxa"/>
          </w:tcPr>
          <w:p>
            <w:pPr>
              <w:pStyle w:val="TableParagraph"/>
              <w:ind w:left="105"/>
              <w:rPr>
                <w:sz w:val="18"/>
              </w:rPr>
            </w:pPr>
            <w:r>
              <w:rPr>
                <w:spacing w:val="-10"/>
                <w:sz w:val="18"/>
              </w:rPr>
              <w:t>2</w:t>
            </w:r>
          </w:p>
        </w:tc>
        <w:tc>
          <w:tcPr>
            <w:tcW w:w="1081" w:type="dxa"/>
          </w:tcPr>
          <w:p>
            <w:pPr>
              <w:pStyle w:val="TableParagraph"/>
              <w:ind w:left="107"/>
              <w:rPr>
                <w:sz w:val="18"/>
              </w:rPr>
            </w:pPr>
            <w:r>
              <w:rPr>
                <w:spacing w:val="-2"/>
                <w:sz w:val="18"/>
              </w:rPr>
              <w:t>0.097</w:t>
            </w:r>
          </w:p>
        </w:tc>
        <w:tc>
          <w:tcPr>
            <w:tcW w:w="540" w:type="dxa"/>
          </w:tcPr>
          <w:p>
            <w:pPr>
              <w:pStyle w:val="TableParagraph"/>
              <w:ind w:left="107"/>
              <w:rPr>
                <w:sz w:val="18"/>
              </w:rPr>
            </w:pPr>
            <w:r>
              <w:rPr>
                <w:spacing w:val="-10"/>
                <w:sz w:val="18"/>
              </w:rPr>
              <w:t>2</w:t>
            </w:r>
          </w:p>
        </w:tc>
        <w:tc>
          <w:tcPr>
            <w:tcW w:w="1080" w:type="dxa"/>
          </w:tcPr>
          <w:p>
            <w:pPr>
              <w:pStyle w:val="TableParagraph"/>
              <w:ind w:left="107"/>
              <w:rPr>
                <w:sz w:val="18"/>
              </w:rPr>
            </w:pPr>
            <w:r>
              <w:rPr>
                <w:spacing w:val="-2"/>
                <w:sz w:val="18"/>
              </w:rPr>
              <w:t>0.099</w:t>
            </w:r>
          </w:p>
        </w:tc>
        <w:tc>
          <w:tcPr>
            <w:tcW w:w="540" w:type="dxa"/>
          </w:tcPr>
          <w:p>
            <w:pPr>
              <w:pStyle w:val="TableParagraph"/>
              <w:ind w:left="107"/>
              <w:rPr>
                <w:sz w:val="18"/>
              </w:rPr>
            </w:pPr>
            <w:r>
              <w:rPr>
                <w:spacing w:val="-10"/>
                <w:sz w:val="18"/>
              </w:rPr>
              <w:t>2</w:t>
            </w:r>
          </w:p>
        </w:tc>
        <w:tc>
          <w:tcPr>
            <w:tcW w:w="1080" w:type="dxa"/>
          </w:tcPr>
          <w:p>
            <w:pPr>
              <w:pStyle w:val="TableParagraph"/>
              <w:ind w:left="107"/>
              <w:rPr>
                <w:sz w:val="18"/>
              </w:rPr>
            </w:pPr>
            <w:r>
              <w:rPr>
                <w:spacing w:val="-2"/>
                <w:sz w:val="18"/>
              </w:rPr>
              <w:t>0.097</w:t>
            </w:r>
          </w:p>
        </w:tc>
        <w:tc>
          <w:tcPr>
            <w:tcW w:w="631" w:type="dxa"/>
          </w:tcPr>
          <w:p>
            <w:pPr>
              <w:pStyle w:val="TableParagraph"/>
              <w:ind w:left="107"/>
              <w:rPr>
                <w:sz w:val="18"/>
              </w:rPr>
            </w:pPr>
            <w:r>
              <w:rPr>
                <w:spacing w:val="-10"/>
                <w:sz w:val="18"/>
              </w:rPr>
              <w:t>2</w:t>
            </w:r>
          </w:p>
        </w:tc>
        <w:tc>
          <w:tcPr>
            <w:tcW w:w="1080" w:type="dxa"/>
          </w:tcPr>
          <w:p>
            <w:pPr>
              <w:pStyle w:val="TableParagraph"/>
              <w:ind w:left="105"/>
              <w:rPr>
                <w:sz w:val="18"/>
              </w:rPr>
            </w:pPr>
            <w:r>
              <w:rPr>
                <w:spacing w:val="-2"/>
                <w:sz w:val="18"/>
              </w:rPr>
              <w:t>0.098</w:t>
            </w:r>
          </w:p>
        </w:tc>
        <w:tc>
          <w:tcPr>
            <w:tcW w:w="539" w:type="dxa"/>
          </w:tcPr>
          <w:p>
            <w:pPr>
              <w:pStyle w:val="TableParagraph"/>
              <w:ind w:left="105"/>
              <w:rPr>
                <w:sz w:val="18"/>
              </w:rPr>
            </w:pPr>
            <w:r>
              <w:rPr>
                <w:spacing w:val="-10"/>
                <w:sz w:val="18"/>
              </w:rPr>
              <w:t>2</w:t>
            </w:r>
          </w:p>
        </w:tc>
        <w:tc>
          <w:tcPr>
            <w:tcW w:w="1079" w:type="dxa"/>
          </w:tcPr>
          <w:p>
            <w:pPr>
              <w:pStyle w:val="TableParagraph"/>
              <w:ind w:left="106"/>
              <w:rPr>
                <w:sz w:val="18"/>
              </w:rPr>
            </w:pPr>
            <w:r>
              <w:rPr>
                <w:spacing w:val="-2"/>
                <w:sz w:val="18"/>
              </w:rPr>
              <w:t>0.098</w:t>
            </w:r>
          </w:p>
        </w:tc>
        <w:tc>
          <w:tcPr>
            <w:tcW w:w="1079" w:type="dxa"/>
          </w:tcPr>
          <w:p>
            <w:pPr>
              <w:pStyle w:val="TableParagraph"/>
              <w:spacing w:line="240" w:lineRule="auto"/>
              <w:rPr>
                <w:sz w:val="14"/>
              </w:rPr>
            </w:pPr>
          </w:p>
        </w:tc>
      </w:tr>
      <w:tr>
        <w:trPr>
          <w:trHeight w:val="208" w:hRule="atLeast"/>
        </w:trPr>
        <w:tc>
          <w:tcPr>
            <w:tcW w:w="1263" w:type="dxa"/>
          </w:tcPr>
          <w:p>
            <w:pPr>
              <w:pStyle w:val="TableParagraph"/>
              <w:spacing w:line="188" w:lineRule="exact"/>
              <w:ind w:left="107"/>
              <w:rPr>
                <w:sz w:val="18"/>
              </w:rPr>
            </w:pPr>
            <w:r>
              <w:rPr>
                <w:spacing w:val="-10"/>
                <w:sz w:val="18"/>
              </w:rPr>
              <w:t>3</w:t>
            </w:r>
          </w:p>
        </w:tc>
        <w:tc>
          <w:tcPr>
            <w:tcW w:w="1080" w:type="dxa"/>
          </w:tcPr>
          <w:p>
            <w:pPr>
              <w:pStyle w:val="TableParagraph"/>
              <w:spacing w:line="188" w:lineRule="exact"/>
              <w:ind w:left="105"/>
              <w:rPr>
                <w:sz w:val="18"/>
              </w:rPr>
            </w:pPr>
            <w:r>
              <w:rPr>
                <w:spacing w:val="-2"/>
                <w:sz w:val="18"/>
              </w:rPr>
              <w:t>0.094</w:t>
            </w:r>
          </w:p>
        </w:tc>
        <w:tc>
          <w:tcPr>
            <w:tcW w:w="629" w:type="dxa"/>
          </w:tcPr>
          <w:p>
            <w:pPr>
              <w:pStyle w:val="TableParagraph"/>
              <w:spacing w:line="188" w:lineRule="exact"/>
              <w:ind w:left="105"/>
              <w:rPr>
                <w:sz w:val="18"/>
              </w:rPr>
            </w:pPr>
            <w:r>
              <w:rPr>
                <w:spacing w:val="-10"/>
                <w:sz w:val="18"/>
              </w:rPr>
              <w:t>3</w:t>
            </w:r>
          </w:p>
        </w:tc>
        <w:tc>
          <w:tcPr>
            <w:tcW w:w="1081" w:type="dxa"/>
          </w:tcPr>
          <w:p>
            <w:pPr>
              <w:pStyle w:val="TableParagraph"/>
              <w:spacing w:line="188" w:lineRule="exact"/>
              <w:ind w:left="107"/>
              <w:rPr>
                <w:sz w:val="18"/>
              </w:rPr>
            </w:pPr>
            <w:r>
              <w:rPr>
                <w:spacing w:val="-2"/>
                <w:sz w:val="18"/>
              </w:rPr>
              <w:t>0.095</w:t>
            </w:r>
          </w:p>
        </w:tc>
        <w:tc>
          <w:tcPr>
            <w:tcW w:w="540" w:type="dxa"/>
          </w:tcPr>
          <w:p>
            <w:pPr>
              <w:pStyle w:val="TableParagraph"/>
              <w:spacing w:line="188" w:lineRule="exact"/>
              <w:ind w:left="107"/>
              <w:rPr>
                <w:sz w:val="18"/>
              </w:rPr>
            </w:pPr>
            <w:r>
              <w:rPr>
                <w:spacing w:val="-10"/>
                <w:sz w:val="18"/>
              </w:rPr>
              <w:t>3</w:t>
            </w:r>
          </w:p>
        </w:tc>
        <w:tc>
          <w:tcPr>
            <w:tcW w:w="1080" w:type="dxa"/>
          </w:tcPr>
          <w:p>
            <w:pPr>
              <w:pStyle w:val="TableParagraph"/>
              <w:spacing w:line="188" w:lineRule="exact"/>
              <w:ind w:left="107"/>
              <w:rPr>
                <w:sz w:val="18"/>
              </w:rPr>
            </w:pPr>
            <w:r>
              <w:rPr>
                <w:spacing w:val="-2"/>
                <w:sz w:val="18"/>
              </w:rPr>
              <w:t>0.096</w:t>
            </w:r>
          </w:p>
        </w:tc>
        <w:tc>
          <w:tcPr>
            <w:tcW w:w="540" w:type="dxa"/>
          </w:tcPr>
          <w:p>
            <w:pPr>
              <w:pStyle w:val="TableParagraph"/>
              <w:spacing w:line="188" w:lineRule="exact"/>
              <w:ind w:left="107"/>
              <w:rPr>
                <w:sz w:val="18"/>
              </w:rPr>
            </w:pPr>
            <w:r>
              <w:rPr>
                <w:spacing w:val="-10"/>
                <w:sz w:val="18"/>
              </w:rPr>
              <w:t>3</w:t>
            </w:r>
          </w:p>
        </w:tc>
        <w:tc>
          <w:tcPr>
            <w:tcW w:w="1080" w:type="dxa"/>
          </w:tcPr>
          <w:p>
            <w:pPr>
              <w:pStyle w:val="TableParagraph"/>
              <w:spacing w:line="188" w:lineRule="exact"/>
              <w:ind w:left="107"/>
              <w:rPr>
                <w:sz w:val="18"/>
              </w:rPr>
            </w:pPr>
            <w:r>
              <w:rPr>
                <w:spacing w:val="-2"/>
                <w:sz w:val="18"/>
              </w:rPr>
              <w:t>0.095</w:t>
            </w:r>
          </w:p>
        </w:tc>
        <w:tc>
          <w:tcPr>
            <w:tcW w:w="631" w:type="dxa"/>
          </w:tcPr>
          <w:p>
            <w:pPr>
              <w:pStyle w:val="TableParagraph"/>
              <w:spacing w:line="188" w:lineRule="exact"/>
              <w:ind w:left="107"/>
              <w:rPr>
                <w:sz w:val="18"/>
              </w:rPr>
            </w:pPr>
            <w:r>
              <w:rPr>
                <w:spacing w:val="-10"/>
                <w:sz w:val="18"/>
              </w:rPr>
              <w:t>3</w:t>
            </w:r>
          </w:p>
        </w:tc>
        <w:tc>
          <w:tcPr>
            <w:tcW w:w="1080" w:type="dxa"/>
          </w:tcPr>
          <w:p>
            <w:pPr>
              <w:pStyle w:val="TableParagraph"/>
              <w:spacing w:line="188" w:lineRule="exact"/>
              <w:ind w:left="105"/>
              <w:rPr>
                <w:sz w:val="18"/>
              </w:rPr>
            </w:pPr>
            <w:r>
              <w:rPr>
                <w:spacing w:val="-2"/>
                <w:sz w:val="18"/>
              </w:rPr>
              <w:t>0.097</w:t>
            </w:r>
          </w:p>
        </w:tc>
        <w:tc>
          <w:tcPr>
            <w:tcW w:w="539" w:type="dxa"/>
          </w:tcPr>
          <w:p>
            <w:pPr>
              <w:pStyle w:val="TableParagraph"/>
              <w:spacing w:line="188" w:lineRule="exact"/>
              <w:ind w:left="105"/>
              <w:rPr>
                <w:sz w:val="18"/>
              </w:rPr>
            </w:pPr>
            <w:r>
              <w:rPr>
                <w:spacing w:val="-10"/>
                <w:sz w:val="18"/>
              </w:rPr>
              <w:t>3</w:t>
            </w:r>
          </w:p>
        </w:tc>
        <w:tc>
          <w:tcPr>
            <w:tcW w:w="1079" w:type="dxa"/>
          </w:tcPr>
          <w:p>
            <w:pPr>
              <w:pStyle w:val="TableParagraph"/>
              <w:spacing w:line="188" w:lineRule="exact"/>
              <w:ind w:left="106"/>
              <w:rPr>
                <w:sz w:val="18"/>
              </w:rPr>
            </w:pPr>
            <w:r>
              <w:rPr>
                <w:spacing w:val="-2"/>
                <w:sz w:val="18"/>
              </w:rPr>
              <w:t>0.099</w:t>
            </w:r>
          </w:p>
        </w:tc>
        <w:tc>
          <w:tcPr>
            <w:tcW w:w="1079" w:type="dxa"/>
          </w:tcPr>
          <w:p>
            <w:pPr>
              <w:pStyle w:val="TableParagraph"/>
              <w:spacing w:line="240" w:lineRule="auto"/>
              <w:rPr>
                <w:sz w:val="14"/>
              </w:rPr>
            </w:pPr>
          </w:p>
        </w:tc>
      </w:tr>
      <w:tr>
        <w:trPr>
          <w:trHeight w:val="205" w:hRule="atLeast"/>
        </w:trPr>
        <w:tc>
          <w:tcPr>
            <w:tcW w:w="1263" w:type="dxa"/>
          </w:tcPr>
          <w:p>
            <w:pPr>
              <w:pStyle w:val="TableParagraph"/>
              <w:ind w:left="107"/>
              <w:rPr>
                <w:sz w:val="18"/>
              </w:rPr>
            </w:pPr>
            <w:r>
              <w:rPr>
                <w:spacing w:val="-10"/>
                <w:sz w:val="18"/>
              </w:rPr>
              <w:t>4</w:t>
            </w:r>
          </w:p>
        </w:tc>
        <w:tc>
          <w:tcPr>
            <w:tcW w:w="1080" w:type="dxa"/>
          </w:tcPr>
          <w:p>
            <w:pPr>
              <w:pStyle w:val="TableParagraph"/>
              <w:ind w:left="105"/>
              <w:rPr>
                <w:sz w:val="18"/>
              </w:rPr>
            </w:pPr>
            <w:r>
              <w:rPr>
                <w:spacing w:val="-2"/>
                <w:sz w:val="18"/>
              </w:rPr>
              <w:t>0.096</w:t>
            </w:r>
          </w:p>
        </w:tc>
        <w:tc>
          <w:tcPr>
            <w:tcW w:w="629" w:type="dxa"/>
          </w:tcPr>
          <w:p>
            <w:pPr>
              <w:pStyle w:val="TableParagraph"/>
              <w:ind w:left="105"/>
              <w:rPr>
                <w:sz w:val="18"/>
              </w:rPr>
            </w:pPr>
            <w:r>
              <w:rPr>
                <w:spacing w:val="-10"/>
                <w:sz w:val="18"/>
              </w:rPr>
              <w:t>4</w:t>
            </w:r>
          </w:p>
        </w:tc>
        <w:tc>
          <w:tcPr>
            <w:tcW w:w="1081" w:type="dxa"/>
          </w:tcPr>
          <w:p>
            <w:pPr>
              <w:pStyle w:val="TableParagraph"/>
              <w:ind w:left="107"/>
              <w:rPr>
                <w:sz w:val="18"/>
              </w:rPr>
            </w:pPr>
            <w:r>
              <w:rPr>
                <w:spacing w:val="-2"/>
                <w:sz w:val="18"/>
              </w:rPr>
              <w:t>0.096</w:t>
            </w:r>
          </w:p>
        </w:tc>
        <w:tc>
          <w:tcPr>
            <w:tcW w:w="540" w:type="dxa"/>
          </w:tcPr>
          <w:p>
            <w:pPr>
              <w:pStyle w:val="TableParagraph"/>
              <w:ind w:left="107"/>
              <w:rPr>
                <w:sz w:val="18"/>
              </w:rPr>
            </w:pPr>
            <w:r>
              <w:rPr>
                <w:spacing w:val="-10"/>
                <w:sz w:val="18"/>
              </w:rPr>
              <w:t>4</w:t>
            </w:r>
          </w:p>
        </w:tc>
        <w:tc>
          <w:tcPr>
            <w:tcW w:w="1080" w:type="dxa"/>
          </w:tcPr>
          <w:p>
            <w:pPr>
              <w:pStyle w:val="TableParagraph"/>
              <w:ind w:left="107"/>
              <w:rPr>
                <w:sz w:val="18"/>
              </w:rPr>
            </w:pPr>
            <w:r>
              <w:rPr>
                <w:spacing w:val="-2"/>
                <w:sz w:val="18"/>
              </w:rPr>
              <w:t>0.094</w:t>
            </w:r>
          </w:p>
        </w:tc>
        <w:tc>
          <w:tcPr>
            <w:tcW w:w="540" w:type="dxa"/>
          </w:tcPr>
          <w:p>
            <w:pPr>
              <w:pStyle w:val="TableParagraph"/>
              <w:ind w:left="107"/>
              <w:rPr>
                <w:sz w:val="18"/>
              </w:rPr>
            </w:pPr>
            <w:r>
              <w:rPr>
                <w:spacing w:val="-10"/>
                <w:sz w:val="18"/>
              </w:rPr>
              <w:t>4</w:t>
            </w:r>
          </w:p>
        </w:tc>
        <w:tc>
          <w:tcPr>
            <w:tcW w:w="1080" w:type="dxa"/>
          </w:tcPr>
          <w:p>
            <w:pPr>
              <w:pStyle w:val="TableParagraph"/>
              <w:ind w:left="107"/>
              <w:rPr>
                <w:sz w:val="18"/>
              </w:rPr>
            </w:pPr>
            <w:r>
              <w:rPr>
                <w:spacing w:val="-2"/>
                <w:sz w:val="18"/>
              </w:rPr>
              <w:t>0.096</w:t>
            </w:r>
          </w:p>
        </w:tc>
        <w:tc>
          <w:tcPr>
            <w:tcW w:w="631" w:type="dxa"/>
          </w:tcPr>
          <w:p>
            <w:pPr>
              <w:pStyle w:val="TableParagraph"/>
              <w:ind w:left="107"/>
              <w:rPr>
                <w:sz w:val="18"/>
              </w:rPr>
            </w:pPr>
            <w:r>
              <w:rPr>
                <w:spacing w:val="-10"/>
                <w:sz w:val="18"/>
              </w:rPr>
              <w:t>4</w:t>
            </w:r>
          </w:p>
        </w:tc>
        <w:tc>
          <w:tcPr>
            <w:tcW w:w="1080" w:type="dxa"/>
          </w:tcPr>
          <w:p>
            <w:pPr>
              <w:pStyle w:val="TableParagraph"/>
              <w:ind w:left="105"/>
              <w:rPr>
                <w:sz w:val="18"/>
              </w:rPr>
            </w:pPr>
            <w:r>
              <w:rPr>
                <w:spacing w:val="-2"/>
                <w:sz w:val="18"/>
              </w:rPr>
              <w:t>0.095</w:t>
            </w:r>
          </w:p>
        </w:tc>
        <w:tc>
          <w:tcPr>
            <w:tcW w:w="539" w:type="dxa"/>
          </w:tcPr>
          <w:p>
            <w:pPr>
              <w:pStyle w:val="TableParagraph"/>
              <w:ind w:left="105"/>
              <w:rPr>
                <w:sz w:val="18"/>
              </w:rPr>
            </w:pPr>
            <w:r>
              <w:rPr>
                <w:spacing w:val="-10"/>
                <w:sz w:val="18"/>
              </w:rPr>
              <w:t>4</w:t>
            </w:r>
          </w:p>
        </w:tc>
        <w:tc>
          <w:tcPr>
            <w:tcW w:w="1079" w:type="dxa"/>
          </w:tcPr>
          <w:p>
            <w:pPr>
              <w:pStyle w:val="TableParagraph"/>
              <w:ind w:left="106"/>
              <w:rPr>
                <w:sz w:val="18"/>
              </w:rPr>
            </w:pPr>
            <w:r>
              <w:rPr>
                <w:spacing w:val="-2"/>
                <w:sz w:val="18"/>
              </w:rPr>
              <w:t>0.099</w:t>
            </w:r>
          </w:p>
        </w:tc>
        <w:tc>
          <w:tcPr>
            <w:tcW w:w="1079" w:type="dxa"/>
          </w:tcPr>
          <w:p>
            <w:pPr>
              <w:pStyle w:val="TableParagraph"/>
              <w:spacing w:line="240" w:lineRule="auto"/>
              <w:rPr>
                <w:sz w:val="14"/>
              </w:rPr>
            </w:pPr>
          </w:p>
        </w:tc>
      </w:tr>
      <w:tr>
        <w:trPr>
          <w:trHeight w:val="208" w:hRule="atLeast"/>
        </w:trPr>
        <w:tc>
          <w:tcPr>
            <w:tcW w:w="1263" w:type="dxa"/>
          </w:tcPr>
          <w:p>
            <w:pPr>
              <w:pStyle w:val="TableParagraph"/>
              <w:spacing w:line="188" w:lineRule="exact"/>
              <w:ind w:left="107"/>
              <w:rPr>
                <w:sz w:val="18"/>
              </w:rPr>
            </w:pPr>
            <w:r>
              <w:rPr>
                <w:spacing w:val="-10"/>
                <w:sz w:val="18"/>
              </w:rPr>
              <w:t>5</w:t>
            </w:r>
          </w:p>
        </w:tc>
        <w:tc>
          <w:tcPr>
            <w:tcW w:w="1080" w:type="dxa"/>
          </w:tcPr>
          <w:p>
            <w:pPr>
              <w:pStyle w:val="TableParagraph"/>
              <w:spacing w:line="188" w:lineRule="exact"/>
              <w:ind w:left="105"/>
              <w:rPr>
                <w:sz w:val="18"/>
              </w:rPr>
            </w:pPr>
            <w:r>
              <w:rPr>
                <w:spacing w:val="-2"/>
                <w:sz w:val="18"/>
              </w:rPr>
              <w:t>0.099</w:t>
            </w:r>
          </w:p>
        </w:tc>
        <w:tc>
          <w:tcPr>
            <w:tcW w:w="629" w:type="dxa"/>
          </w:tcPr>
          <w:p>
            <w:pPr>
              <w:pStyle w:val="TableParagraph"/>
              <w:spacing w:line="188" w:lineRule="exact"/>
              <w:ind w:left="105"/>
              <w:rPr>
                <w:sz w:val="18"/>
              </w:rPr>
            </w:pPr>
            <w:r>
              <w:rPr>
                <w:spacing w:val="-10"/>
                <w:sz w:val="18"/>
              </w:rPr>
              <w:t>5</w:t>
            </w:r>
          </w:p>
        </w:tc>
        <w:tc>
          <w:tcPr>
            <w:tcW w:w="1081" w:type="dxa"/>
          </w:tcPr>
          <w:p>
            <w:pPr>
              <w:pStyle w:val="TableParagraph"/>
              <w:spacing w:line="188" w:lineRule="exact"/>
              <w:ind w:left="107"/>
              <w:rPr>
                <w:sz w:val="18"/>
              </w:rPr>
            </w:pPr>
            <w:r>
              <w:rPr>
                <w:spacing w:val="-2"/>
                <w:sz w:val="18"/>
              </w:rPr>
              <w:t>0.096</w:t>
            </w:r>
          </w:p>
        </w:tc>
        <w:tc>
          <w:tcPr>
            <w:tcW w:w="540" w:type="dxa"/>
          </w:tcPr>
          <w:p>
            <w:pPr>
              <w:pStyle w:val="TableParagraph"/>
              <w:spacing w:line="188" w:lineRule="exact"/>
              <w:ind w:left="107"/>
              <w:rPr>
                <w:sz w:val="18"/>
              </w:rPr>
            </w:pPr>
            <w:r>
              <w:rPr>
                <w:spacing w:val="-10"/>
                <w:sz w:val="18"/>
              </w:rPr>
              <w:t>5</w:t>
            </w:r>
          </w:p>
        </w:tc>
        <w:tc>
          <w:tcPr>
            <w:tcW w:w="1080" w:type="dxa"/>
          </w:tcPr>
          <w:p>
            <w:pPr>
              <w:pStyle w:val="TableParagraph"/>
              <w:spacing w:line="188" w:lineRule="exact"/>
              <w:ind w:left="107"/>
              <w:rPr>
                <w:sz w:val="18"/>
              </w:rPr>
            </w:pPr>
            <w:r>
              <w:rPr>
                <w:spacing w:val="-2"/>
                <w:sz w:val="18"/>
              </w:rPr>
              <w:t>0.095</w:t>
            </w:r>
          </w:p>
        </w:tc>
        <w:tc>
          <w:tcPr>
            <w:tcW w:w="540" w:type="dxa"/>
          </w:tcPr>
          <w:p>
            <w:pPr>
              <w:pStyle w:val="TableParagraph"/>
              <w:spacing w:line="188" w:lineRule="exact"/>
              <w:ind w:left="107"/>
              <w:rPr>
                <w:sz w:val="18"/>
              </w:rPr>
            </w:pPr>
            <w:r>
              <w:rPr>
                <w:spacing w:val="-10"/>
                <w:sz w:val="18"/>
              </w:rPr>
              <w:t>5</w:t>
            </w:r>
          </w:p>
        </w:tc>
        <w:tc>
          <w:tcPr>
            <w:tcW w:w="1080" w:type="dxa"/>
          </w:tcPr>
          <w:p>
            <w:pPr>
              <w:pStyle w:val="TableParagraph"/>
              <w:spacing w:line="188" w:lineRule="exact"/>
              <w:ind w:left="107"/>
              <w:rPr>
                <w:sz w:val="18"/>
              </w:rPr>
            </w:pPr>
            <w:r>
              <w:rPr>
                <w:spacing w:val="-2"/>
                <w:sz w:val="18"/>
              </w:rPr>
              <w:t>0.096</w:t>
            </w:r>
          </w:p>
        </w:tc>
        <w:tc>
          <w:tcPr>
            <w:tcW w:w="631" w:type="dxa"/>
          </w:tcPr>
          <w:p>
            <w:pPr>
              <w:pStyle w:val="TableParagraph"/>
              <w:spacing w:line="188" w:lineRule="exact"/>
              <w:ind w:left="107"/>
              <w:rPr>
                <w:sz w:val="18"/>
              </w:rPr>
            </w:pPr>
            <w:r>
              <w:rPr>
                <w:spacing w:val="-10"/>
                <w:sz w:val="18"/>
              </w:rPr>
              <w:t>5</w:t>
            </w:r>
          </w:p>
        </w:tc>
        <w:tc>
          <w:tcPr>
            <w:tcW w:w="1080" w:type="dxa"/>
          </w:tcPr>
          <w:p>
            <w:pPr>
              <w:pStyle w:val="TableParagraph"/>
              <w:spacing w:line="188" w:lineRule="exact"/>
              <w:ind w:left="105"/>
              <w:rPr>
                <w:sz w:val="18"/>
              </w:rPr>
            </w:pPr>
            <w:r>
              <w:rPr>
                <w:spacing w:val="-2"/>
                <w:sz w:val="18"/>
              </w:rPr>
              <w:t>0.096</w:t>
            </w:r>
          </w:p>
        </w:tc>
        <w:tc>
          <w:tcPr>
            <w:tcW w:w="539" w:type="dxa"/>
          </w:tcPr>
          <w:p>
            <w:pPr>
              <w:pStyle w:val="TableParagraph"/>
              <w:spacing w:line="188" w:lineRule="exact"/>
              <w:ind w:left="105"/>
              <w:rPr>
                <w:sz w:val="18"/>
              </w:rPr>
            </w:pPr>
            <w:r>
              <w:rPr>
                <w:spacing w:val="-10"/>
                <w:sz w:val="18"/>
              </w:rPr>
              <w:t>5</w:t>
            </w:r>
          </w:p>
        </w:tc>
        <w:tc>
          <w:tcPr>
            <w:tcW w:w="1079" w:type="dxa"/>
          </w:tcPr>
          <w:p>
            <w:pPr>
              <w:pStyle w:val="TableParagraph"/>
              <w:spacing w:line="188" w:lineRule="exact"/>
              <w:ind w:left="106"/>
              <w:rPr>
                <w:sz w:val="18"/>
              </w:rPr>
            </w:pPr>
            <w:r>
              <w:rPr>
                <w:spacing w:val="-2"/>
                <w:sz w:val="18"/>
              </w:rPr>
              <w:t>0.097</w:t>
            </w:r>
          </w:p>
        </w:tc>
        <w:tc>
          <w:tcPr>
            <w:tcW w:w="1079" w:type="dxa"/>
          </w:tcPr>
          <w:p>
            <w:pPr>
              <w:pStyle w:val="TableParagraph"/>
              <w:spacing w:line="240" w:lineRule="auto"/>
              <w:rPr>
                <w:sz w:val="14"/>
              </w:rPr>
            </w:pPr>
          </w:p>
        </w:tc>
      </w:tr>
      <w:tr>
        <w:trPr>
          <w:trHeight w:val="205" w:hRule="atLeast"/>
        </w:trPr>
        <w:tc>
          <w:tcPr>
            <w:tcW w:w="1263" w:type="dxa"/>
          </w:tcPr>
          <w:p>
            <w:pPr>
              <w:pStyle w:val="TableParagraph"/>
              <w:ind w:left="107"/>
              <w:rPr>
                <w:sz w:val="18"/>
              </w:rPr>
            </w:pPr>
            <w:r>
              <w:rPr>
                <w:spacing w:val="-2"/>
                <w:sz w:val="18"/>
              </w:rPr>
              <w:t>AVERAGE</w:t>
            </w:r>
          </w:p>
        </w:tc>
        <w:tc>
          <w:tcPr>
            <w:tcW w:w="1080" w:type="dxa"/>
          </w:tcPr>
          <w:p>
            <w:pPr>
              <w:pStyle w:val="TableParagraph"/>
              <w:ind w:left="105"/>
              <w:rPr>
                <w:sz w:val="18"/>
              </w:rPr>
            </w:pPr>
            <w:r>
              <w:rPr>
                <w:spacing w:val="-2"/>
                <w:sz w:val="18"/>
              </w:rPr>
              <w:t>0.096</w:t>
            </w:r>
          </w:p>
        </w:tc>
        <w:tc>
          <w:tcPr>
            <w:tcW w:w="629" w:type="dxa"/>
          </w:tcPr>
          <w:p>
            <w:pPr>
              <w:pStyle w:val="TableParagraph"/>
              <w:spacing w:line="240" w:lineRule="auto"/>
              <w:rPr>
                <w:sz w:val="14"/>
              </w:rPr>
            </w:pPr>
          </w:p>
        </w:tc>
        <w:tc>
          <w:tcPr>
            <w:tcW w:w="1081" w:type="dxa"/>
          </w:tcPr>
          <w:p>
            <w:pPr>
              <w:pStyle w:val="TableParagraph"/>
              <w:ind w:left="107"/>
              <w:rPr>
                <w:sz w:val="18"/>
              </w:rPr>
            </w:pPr>
            <w:r>
              <w:rPr>
                <w:spacing w:val="-2"/>
                <w:sz w:val="18"/>
              </w:rPr>
              <w:t>0.096</w:t>
            </w:r>
          </w:p>
        </w:tc>
        <w:tc>
          <w:tcPr>
            <w:tcW w:w="540" w:type="dxa"/>
          </w:tcPr>
          <w:p>
            <w:pPr>
              <w:pStyle w:val="TableParagraph"/>
              <w:spacing w:line="240" w:lineRule="auto"/>
              <w:rPr>
                <w:sz w:val="14"/>
              </w:rPr>
            </w:pPr>
          </w:p>
        </w:tc>
        <w:tc>
          <w:tcPr>
            <w:tcW w:w="1080" w:type="dxa"/>
          </w:tcPr>
          <w:p>
            <w:pPr>
              <w:pStyle w:val="TableParagraph"/>
              <w:ind w:left="107"/>
              <w:rPr>
                <w:sz w:val="18"/>
              </w:rPr>
            </w:pPr>
            <w:r>
              <w:rPr>
                <w:spacing w:val="-2"/>
                <w:sz w:val="18"/>
              </w:rPr>
              <w:t>0.097</w:t>
            </w:r>
          </w:p>
        </w:tc>
        <w:tc>
          <w:tcPr>
            <w:tcW w:w="540" w:type="dxa"/>
          </w:tcPr>
          <w:p>
            <w:pPr>
              <w:pStyle w:val="TableParagraph"/>
              <w:spacing w:line="240" w:lineRule="auto"/>
              <w:rPr>
                <w:sz w:val="14"/>
              </w:rPr>
            </w:pPr>
          </w:p>
        </w:tc>
        <w:tc>
          <w:tcPr>
            <w:tcW w:w="1080" w:type="dxa"/>
          </w:tcPr>
          <w:p>
            <w:pPr>
              <w:pStyle w:val="TableParagraph"/>
              <w:ind w:left="107"/>
              <w:rPr>
                <w:sz w:val="18"/>
              </w:rPr>
            </w:pPr>
            <w:r>
              <w:rPr>
                <w:spacing w:val="-2"/>
                <w:sz w:val="18"/>
              </w:rPr>
              <w:t>0.096</w:t>
            </w:r>
          </w:p>
        </w:tc>
        <w:tc>
          <w:tcPr>
            <w:tcW w:w="631" w:type="dxa"/>
          </w:tcPr>
          <w:p>
            <w:pPr>
              <w:pStyle w:val="TableParagraph"/>
              <w:spacing w:line="240" w:lineRule="auto"/>
              <w:rPr>
                <w:sz w:val="14"/>
              </w:rPr>
            </w:pPr>
          </w:p>
        </w:tc>
        <w:tc>
          <w:tcPr>
            <w:tcW w:w="1080" w:type="dxa"/>
          </w:tcPr>
          <w:p>
            <w:pPr>
              <w:pStyle w:val="TableParagraph"/>
              <w:ind w:left="105"/>
              <w:rPr>
                <w:sz w:val="18"/>
              </w:rPr>
            </w:pPr>
            <w:r>
              <w:rPr>
                <w:spacing w:val="-2"/>
                <w:sz w:val="18"/>
              </w:rPr>
              <w:t>0.097</w:t>
            </w:r>
          </w:p>
        </w:tc>
        <w:tc>
          <w:tcPr>
            <w:tcW w:w="539" w:type="dxa"/>
          </w:tcPr>
          <w:p>
            <w:pPr>
              <w:pStyle w:val="TableParagraph"/>
              <w:spacing w:line="240" w:lineRule="auto"/>
              <w:rPr>
                <w:sz w:val="14"/>
              </w:rPr>
            </w:pPr>
          </w:p>
        </w:tc>
        <w:tc>
          <w:tcPr>
            <w:tcW w:w="1079" w:type="dxa"/>
          </w:tcPr>
          <w:p>
            <w:pPr>
              <w:pStyle w:val="TableParagraph"/>
              <w:ind w:left="106"/>
              <w:rPr>
                <w:sz w:val="18"/>
              </w:rPr>
            </w:pPr>
            <w:r>
              <w:rPr>
                <w:spacing w:val="-2"/>
                <w:sz w:val="18"/>
              </w:rPr>
              <w:t>0.098</w:t>
            </w:r>
          </w:p>
        </w:tc>
        <w:tc>
          <w:tcPr>
            <w:tcW w:w="1079" w:type="dxa"/>
          </w:tcPr>
          <w:p>
            <w:pPr>
              <w:pStyle w:val="TableParagraph"/>
              <w:ind w:left="107"/>
              <w:rPr>
                <w:sz w:val="18"/>
              </w:rPr>
            </w:pPr>
            <w:r>
              <w:rPr>
                <w:spacing w:val="-2"/>
                <w:sz w:val="18"/>
              </w:rPr>
              <w:t>0.097</w:t>
            </w:r>
          </w:p>
        </w:tc>
      </w:tr>
      <w:tr>
        <w:trPr>
          <w:trHeight w:val="205" w:hRule="atLeast"/>
        </w:trPr>
        <w:tc>
          <w:tcPr>
            <w:tcW w:w="1263" w:type="dxa"/>
          </w:tcPr>
          <w:p>
            <w:pPr>
              <w:pStyle w:val="TableParagraph"/>
              <w:ind w:left="107"/>
              <w:rPr>
                <w:sz w:val="18"/>
              </w:rPr>
            </w:pPr>
            <w:r>
              <w:rPr>
                <w:spacing w:val="-5"/>
                <w:sz w:val="18"/>
              </w:rPr>
              <w:t>SD</w:t>
            </w:r>
          </w:p>
        </w:tc>
        <w:tc>
          <w:tcPr>
            <w:tcW w:w="1080" w:type="dxa"/>
          </w:tcPr>
          <w:p>
            <w:pPr>
              <w:pStyle w:val="TableParagraph"/>
              <w:ind w:left="105"/>
              <w:rPr>
                <w:sz w:val="18"/>
              </w:rPr>
            </w:pPr>
            <w:r>
              <w:rPr>
                <w:spacing w:val="-2"/>
                <w:sz w:val="18"/>
              </w:rPr>
              <w:t>0.001855</w:t>
            </w:r>
          </w:p>
        </w:tc>
        <w:tc>
          <w:tcPr>
            <w:tcW w:w="629" w:type="dxa"/>
          </w:tcPr>
          <w:p>
            <w:pPr>
              <w:pStyle w:val="TableParagraph"/>
              <w:spacing w:line="240" w:lineRule="auto"/>
              <w:rPr>
                <w:sz w:val="14"/>
              </w:rPr>
            </w:pPr>
          </w:p>
        </w:tc>
        <w:tc>
          <w:tcPr>
            <w:tcW w:w="1081" w:type="dxa"/>
          </w:tcPr>
          <w:p>
            <w:pPr>
              <w:pStyle w:val="TableParagraph"/>
              <w:ind w:left="107"/>
              <w:rPr>
                <w:sz w:val="18"/>
              </w:rPr>
            </w:pPr>
            <w:r>
              <w:rPr>
                <w:spacing w:val="-2"/>
                <w:sz w:val="18"/>
              </w:rPr>
              <w:t>0.000748</w:t>
            </w:r>
          </w:p>
        </w:tc>
        <w:tc>
          <w:tcPr>
            <w:tcW w:w="540" w:type="dxa"/>
          </w:tcPr>
          <w:p>
            <w:pPr>
              <w:pStyle w:val="TableParagraph"/>
              <w:spacing w:line="240" w:lineRule="auto"/>
              <w:rPr>
                <w:sz w:val="14"/>
              </w:rPr>
            </w:pPr>
          </w:p>
        </w:tc>
        <w:tc>
          <w:tcPr>
            <w:tcW w:w="1080" w:type="dxa"/>
          </w:tcPr>
          <w:p>
            <w:pPr>
              <w:pStyle w:val="TableParagraph"/>
              <w:ind w:left="107"/>
              <w:rPr>
                <w:sz w:val="18"/>
              </w:rPr>
            </w:pPr>
            <w:r>
              <w:rPr>
                <w:spacing w:val="-2"/>
                <w:sz w:val="18"/>
              </w:rPr>
              <w:t>0.002059</w:t>
            </w:r>
          </w:p>
        </w:tc>
        <w:tc>
          <w:tcPr>
            <w:tcW w:w="540" w:type="dxa"/>
          </w:tcPr>
          <w:p>
            <w:pPr>
              <w:pStyle w:val="TableParagraph"/>
              <w:spacing w:line="240" w:lineRule="auto"/>
              <w:rPr>
                <w:sz w:val="14"/>
              </w:rPr>
            </w:pPr>
          </w:p>
        </w:tc>
        <w:tc>
          <w:tcPr>
            <w:tcW w:w="1080" w:type="dxa"/>
          </w:tcPr>
          <w:p>
            <w:pPr>
              <w:pStyle w:val="TableParagraph"/>
              <w:ind w:left="107"/>
              <w:rPr>
                <w:sz w:val="18"/>
              </w:rPr>
            </w:pPr>
            <w:r>
              <w:rPr>
                <w:spacing w:val="-2"/>
                <w:sz w:val="18"/>
              </w:rPr>
              <w:t>0.000748</w:t>
            </w:r>
          </w:p>
        </w:tc>
        <w:tc>
          <w:tcPr>
            <w:tcW w:w="631" w:type="dxa"/>
          </w:tcPr>
          <w:p>
            <w:pPr>
              <w:pStyle w:val="TableParagraph"/>
              <w:spacing w:line="240" w:lineRule="auto"/>
              <w:rPr>
                <w:sz w:val="14"/>
              </w:rPr>
            </w:pPr>
          </w:p>
        </w:tc>
        <w:tc>
          <w:tcPr>
            <w:tcW w:w="1080" w:type="dxa"/>
          </w:tcPr>
          <w:p>
            <w:pPr>
              <w:pStyle w:val="TableParagraph"/>
              <w:ind w:left="105"/>
              <w:rPr>
                <w:sz w:val="18"/>
              </w:rPr>
            </w:pPr>
            <w:r>
              <w:rPr>
                <w:spacing w:val="-2"/>
                <w:sz w:val="18"/>
              </w:rPr>
              <w:t>0.001414</w:t>
            </w:r>
          </w:p>
        </w:tc>
        <w:tc>
          <w:tcPr>
            <w:tcW w:w="539" w:type="dxa"/>
          </w:tcPr>
          <w:p>
            <w:pPr>
              <w:pStyle w:val="TableParagraph"/>
              <w:spacing w:line="240" w:lineRule="auto"/>
              <w:rPr>
                <w:sz w:val="14"/>
              </w:rPr>
            </w:pPr>
          </w:p>
        </w:tc>
        <w:tc>
          <w:tcPr>
            <w:tcW w:w="1079" w:type="dxa"/>
          </w:tcPr>
          <w:p>
            <w:pPr>
              <w:pStyle w:val="TableParagraph"/>
              <w:ind w:left="106"/>
              <w:rPr>
                <w:sz w:val="18"/>
              </w:rPr>
            </w:pPr>
            <w:r>
              <w:rPr>
                <w:spacing w:val="-2"/>
                <w:sz w:val="18"/>
              </w:rPr>
              <w:t>0.0008</w:t>
            </w:r>
          </w:p>
        </w:tc>
        <w:tc>
          <w:tcPr>
            <w:tcW w:w="1079" w:type="dxa"/>
          </w:tcPr>
          <w:p>
            <w:pPr>
              <w:pStyle w:val="TableParagraph"/>
              <w:ind w:left="107"/>
              <w:rPr>
                <w:sz w:val="18"/>
              </w:rPr>
            </w:pPr>
            <w:r>
              <w:rPr>
                <w:spacing w:val="-2"/>
                <w:sz w:val="18"/>
              </w:rPr>
              <w:t>0.001271</w:t>
            </w:r>
          </w:p>
        </w:tc>
      </w:tr>
      <w:tr>
        <w:trPr>
          <w:trHeight w:val="208" w:hRule="atLeast"/>
        </w:trPr>
        <w:tc>
          <w:tcPr>
            <w:tcW w:w="1263" w:type="dxa"/>
          </w:tcPr>
          <w:p>
            <w:pPr>
              <w:pStyle w:val="TableParagraph"/>
              <w:spacing w:line="188" w:lineRule="exact"/>
              <w:ind w:left="107"/>
              <w:rPr>
                <w:sz w:val="18"/>
              </w:rPr>
            </w:pPr>
            <w:r>
              <w:rPr>
                <w:spacing w:val="-4"/>
                <w:sz w:val="18"/>
              </w:rPr>
              <w:t>%RSD</w:t>
            </w:r>
          </w:p>
        </w:tc>
        <w:tc>
          <w:tcPr>
            <w:tcW w:w="1080" w:type="dxa"/>
          </w:tcPr>
          <w:p>
            <w:pPr>
              <w:pStyle w:val="TableParagraph"/>
              <w:spacing w:line="188" w:lineRule="exact"/>
              <w:ind w:left="105"/>
              <w:rPr>
                <w:sz w:val="18"/>
              </w:rPr>
            </w:pPr>
            <w:r>
              <w:rPr>
                <w:spacing w:val="-2"/>
                <w:sz w:val="18"/>
              </w:rPr>
              <w:t>1.923987</w:t>
            </w:r>
          </w:p>
        </w:tc>
        <w:tc>
          <w:tcPr>
            <w:tcW w:w="629" w:type="dxa"/>
          </w:tcPr>
          <w:p>
            <w:pPr>
              <w:pStyle w:val="TableParagraph"/>
              <w:spacing w:line="240" w:lineRule="auto"/>
              <w:rPr>
                <w:sz w:val="14"/>
              </w:rPr>
            </w:pPr>
          </w:p>
        </w:tc>
        <w:tc>
          <w:tcPr>
            <w:tcW w:w="1081" w:type="dxa"/>
          </w:tcPr>
          <w:p>
            <w:pPr>
              <w:pStyle w:val="TableParagraph"/>
              <w:spacing w:line="188" w:lineRule="exact"/>
              <w:ind w:left="107"/>
              <w:rPr>
                <w:sz w:val="18"/>
              </w:rPr>
            </w:pPr>
            <w:r>
              <w:rPr>
                <w:spacing w:val="-2"/>
                <w:sz w:val="18"/>
              </w:rPr>
              <w:t>0.777891</w:t>
            </w:r>
          </w:p>
        </w:tc>
        <w:tc>
          <w:tcPr>
            <w:tcW w:w="540" w:type="dxa"/>
          </w:tcPr>
          <w:p>
            <w:pPr>
              <w:pStyle w:val="TableParagraph"/>
              <w:spacing w:line="240" w:lineRule="auto"/>
              <w:rPr>
                <w:sz w:val="14"/>
              </w:rPr>
            </w:pPr>
          </w:p>
        </w:tc>
        <w:tc>
          <w:tcPr>
            <w:tcW w:w="1080" w:type="dxa"/>
          </w:tcPr>
          <w:p>
            <w:pPr>
              <w:pStyle w:val="TableParagraph"/>
              <w:spacing w:line="188" w:lineRule="exact"/>
              <w:ind w:left="107"/>
              <w:rPr>
                <w:sz w:val="18"/>
              </w:rPr>
            </w:pPr>
            <w:r>
              <w:rPr>
                <w:spacing w:val="-2"/>
                <w:sz w:val="18"/>
              </w:rPr>
              <w:t>2.1316</w:t>
            </w:r>
          </w:p>
        </w:tc>
        <w:tc>
          <w:tcPr>
            <w:tcW w:w="540" w:type="dxa"/>
          </w:tcPr>
          <w:p>
            <w:pPr>
              <w:pStyle w:val="TableParagraph"/>
              <w:spacing w:line="240" w:lineRule="auto"/>
              <w:rPr>
                <w:sz w:val="14"/>
              </w:rPr>
            </w:pPr>
          </w:p>
        </w:tc>
        <w:tc>
          <w:tcPr>
            <w:tcW w:w="1080" w:type="dxa"/>
          </w:tcPr>
          <w:p>
            <w:pPr>
              <w:pStyle w:val="TableParagraph"/>
              <w:spacing w:line="188" w:lineRule="exact"/>
              <w:ind w:left="107"/>
              <w:rPr>
                <w:sz w:val="18"/>
              </w:rPr>
            </w:pPr>
            <w:r>
              <w:rPr>
                <w:spacing w:val="-2"/>
                <w:sz w:val="18"/>
              </w:rPr>
              <w:t>0.777891</w:t>
            </w:r>
          </w:p>
        </w:tc>
        <w:tc>
          <w:tcPr>
            <w:tcW w:w="631" w:type="dxa"/>
          </w:tcPr>
          <w:p>
            <w:pPr>
              <w:pStyle w:val="TableParagraph"/>
              <w:spacing w:line="240" w:lineRule="auto"/>
              <w:rPr>
                <w:sz w:val="14"/>
              </w:rPr>
            </w:pPr>
          </w:p>
        </w:tc>
        <w:tc>
          <w:tcPr>
            <w:tcW w:w="1080" w:type="dxa"/>
          </w:tcPr>
          <w:p>
            <w:pPr>
              <w:pStyle w:val="TableParagraph"/>
              <w:spacing w:line="188" w:lineRule="exact"/>
              <w:ind w:left="105"/>
              <w:rPr>
                <w:sz w:val="18"/>
              </w:rPr>
            </w:pPr>
            <w:r>
              <w:rPr>
                <w:spacing w:val="-2"/>
                <w:sz w:val="18"/>
              </w:rPr>
              <w:t>1.457952</w:t>
            </w:r>
          </w:p>
        </w:tc>
        <w:tc>
          <w:tcPr>
            <w:tcW w:w="539" w:type="dxa"/>
          </w:tcPr>
          <w:p>
            <w:pPr>
              <w:pStyle w:val="TableParagraph"/>
              <w:spacing w:line="240" w:lineRule="auto"/>
              <w:rPr>
                <w:sz w:val="14"/>
              </w:rPr>
            </w:pPr>
          </w:p>
        </w:tc>
        <w:tc>
          <w:tcPr>
            <w:tcW w:w="1079" w:type="dxa"/>
          </w:tcPr>
          <w:p>
            <w:pPr>
              <w:pStyle w:val="TableParagraph"/>
              <w:spacing w:line="188" w:lineRule="exact"/>
              <w:ind w:left="106"/>
              <w:rPr>
                <w:sz w:val="18"/>
              </w:rPr>
            </w:pPr>
            <w:r>
              <w:rPr>
                <w:spacing w:val="-2"/>
                <w:sz w:val="18"/>
              </w:rPr>
              <w:t>0.813008</w:t>
            </w:r>
          </w:p>
        </w:tc>
        <w:tc>
          <w:tcPr>
            <w:tcW w:w="1079" w:type="dxa"/>
          </w:tcPr>
          <w:p>
            <w:pPr>
              <w:pStyle w:val="TableParagraph"/>
              <w:spacing w:line="188" w:lineRule="exact"/>
              <w:ind w:left="107"/>
              <w:rPr>
                <w:sz w:val="18"/>
              </w:rPr>
            </w:pPr>
            <w:r>
              <w:rPr>
                <w:spacing w:val="-2"/>
                <w:sz w:val="18"/>
              </w:rPr>
              <w:t>1.313722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3"/>
        <w:rPr>
          <w:sz w:val="20"/>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6"/>
        <w:gridCol w:w="1019"/>
        <w:gridCol w:w="751"/>
        <w:gridCol w:w="948"/>
        <w:gridCol w:w="899"/>
        <w:gridCol w:w="1219"/>
        <w:gridCol w:w="1547"/>
        <w:gridCol w:w="2042"/>
      </w:tblGrid>
      <w:tr>
        <w:trPr>
          <w:trHeight w:val="205" w:hRule="atLeast"/>
        </w:trPr>
        <w:tc>
          <w:tcPr>
            <w:tcW w:w="9591" w:type="dxa"/>
            <w:gridSpan w:val="8"/>
            <w:tcBorders>
              <w:top w:val="single" w:sz="8" w:space="0" w:color="000000"/>
              <w:bottom w:val="single" w:sz="8" w:space="0" w:color="000000"/>
            </w:tcBorders>
          </w:tcPr>
          <w:p>
            <w:pPr>
              <w:pStyle w:val="TableParagraph"/>
              <w:ind w:left="1924"/>
              <w:rPr>
                <w:b/>
                <w:sz w:val="18"/>
              </w:rPr>
            </w:pPr>
            <w:r>
              <w:rPr>
                <w:b/>
                <w:sz w:val="18"/>
              </w:rPr>
              <w:t>INTER</w:t>
            </w:r>
            <w:r>
              <w:rPr>
                <w:b/>
                <w:spacing w:val="-4"/>
                <w:sz w:val="18"/>
              </w:rPr>
              <w:t> </w:t>
            </w:r>
            <w:r>
              <w:rPr>
                <w:b/>
                <w:sz w:val="18"/>
              </w:rPr>
              <w:t>DAY</w:t>
            </w:r>
            <w:r>
              <w:rPr>
                <w:b/>
                <w:spacing w:val="-1"/>
                <w:sz w:val="18"/>
              </w:rPr>
              <w:t> </w:t>
            </w:r>
            <w:r>
              <w:rPr>
                <w:b/>
                <w:sz w:val="18"/>
              </w:rPr>
              <w:t>FOR</w:t>
            </w:r>
            <w:r>
              <w:rPr>
                <w:b/>
                <w:spacing w:val="-1"/>
                <w:sz w:val="18"/>
              </w:rPr>
              <w:t> </w:t>
            </w:r>
            <w:r>
              <w:rPr>
                <w:b/>
                <w:sz w:val="18"/>
              </w:rPr>
              <w:t>METHOD </w:t>
            </w:r>
            <w:r>
              <w:rPr>
                <w:b/>
                <w:spacing w:val="-12"/>
                <w:sz w:val="18"/>
              </w:rPr>
              <w:t>3</w:t>
            </w:r>
          </w:p>
        </w:tc>
      </w:tr>
      <w:tr>
        <w:trPr>
          <w:trHeight w:val="210" w:hRule="atLeast"/>
        </w:trPr>
        <w:tc>
          <w:tcPr>
            <w:tcW w:w="1166" w:type="dxa"/>
            <w:tcBorders>
              <w:top w:val="single" w:sz="8" w:space="0" w:color="000000"/>
            </w:tcBorders>
          </w:tcPr>
          <w:p>
            <w:pPr>
              <w:pStyle w:val="TableParagraph"/>
              <w:spacing w:line="188" w:lineRule="exact" w:before="2"/>
              <w:ind w:left="122"/>
              <w:rPr>
                <w:b/>
                <w:sz w:val="18"/>
              </w:rPr>
            </w:pPr>
            <w:r>
              <w:rPr>
                <w:b/>
                <w:sz w:val="18"/>
              </w:rPr>
              <w:t>DAY</w:t>
            </w:r>
            <w:r>
              <w:rPr>
                <w:b/>
                <w:spacing w:val="-1"/>
                <w:sz w:val="18"/>
              </w:rPr>
              <w:t> </w:t>
            </w:r>
            <w:r>
              <w:rPr>
                <w:b/>
                <w:spacing w:val="-10"/>
                <w:sz w:val="18"/>
              </w:rPr>
              <w:t>I</w:t>
            </w:r>
          </w:p>
        </w:tc>
        <w:tc>
          <w:tcPr>
            <w:tcW w:w="1019" w:type="dxa"/>
            <w:tcBorders>
              <w:top w:val="single" w:sz="8" w:space="0" w:color="000000"/>
            </w:tcBorders>
          </w:tcPr>
          <w:p>
            <w:pPr>
              <w:pStyle w:val="TableParagraph"/>
              <w:spacing w:line="240" w:lineRule="auto"/>
              <w:rPr>
                <w:sz w:val="14"/>
              </w:rPr>
            </w:pPr>
          </w:p>
        </w:tc>
        <w:tc>
          <w:tcPr>
            <w:tcW w:w="751" w:type="dxa"/>
            <w:tcBorders>
              <w:top w:val="single" w:sz="8" w:space="0" w:color="000000"/>
            </w:tcBorders>
          </w:tcPr>
          <w:p>
            <w:pPr>
              <w:pStyle w:val="TableParagraph"/>
              <w:spacing w:line="190" w:lineRule="exact"/>
              <w:ind w:left="198"/>
              <w:rPr>
                <w:sz w:val="18"/>
              </w:rPr>
            </w:pPr>
            <w:r>
              <w:rPr>
                <w:sz w:val="18"/>
              </w:rPr>
              <w:t>DAY</w:t>
            </w:r>
            <w:r>
              <w:rPr>
                <w:spacing w:val="-1"/>
                <w:sz w:val="18"/>
              </w:rPr>
              <w:t> </w:t>
            </w:r>
            <w:r>
              <w:rPr>
                <w:spacing w:val="-10"/>
                <w:sz w:val="18"/>
              </w:rPr>
              <w:t>2</w:t>
            </w:r>
          </w:p>
        </w:tc>
        <w:tc>
          <w:tcPr>
            <w:tcW w:w="948" w:type="dxa"/>
            <w:tcBorders>
              <w:top w:val="single" w:sz="8" w:space="0" w:color="000000"/>
            </w:tcBorders>
          </w:tcPr>
          <w:p>
            <w:pPr>
              <w:pStyle w:val="TableParagraph"/>
              <w:spacing w:line="240" w:lineRule="auto"/>
              <w:rPr>
                <w:sz w:val="14"/>
              </w:rPr>
            </w:pPr>
          </w:p>
        </w:tc>
        <w:tc>
          <w:tcPr>
            <w:tcW w:w="899" w:type="dxa"/>
            <w:tcBorders>
              <w:top w:val="single" w:sz="8" w:space="0" w:color="000000"/>
            </w:tcBorders>
          </w:tcPr>
          <w:p>
            <w:pPr>
              <w:pStyle w:val="TableParagraph"/>
              <w:spacing w:line="190" w:lineRule="exact"/>
              <w:ind w:left="244"/>
              <w:rPr>
                <w:sz w:val="18"/>
              </w:rPr>
            </w:pPr>
            <w:r>
              <w:rPr>
                <w:sz w:val="18"/>
              </w:rPr>
              <w:t>DAY</w:t>
            </w:r>
            <w:r>
              <w:rPr>
                <w:spacing w:val="-1"/>
                <w:sz w:val="18"/>
              </w:rPr>
              <w:t> </w:t>
            </w:r>
            <w:r>
              <w:rPr>
                <w:spacing w:val="-10"/>
                <w:sz w:val="18"/>
              </w:rPr>
              <w:t>3</w:t>
            </w:r>
          </w:p>
        </w:tc>
        <w:tc>
          <w:tcPr>
            <w:tcW w:w="1219" w:type="dxa"/>
            <w:tcBorders>
              <w:top w:val="single" w:sz="8" w:space="0" w:color="000000"/>
            </w:tcBorders>
          </w:tcPr>
          <w:p>
            <w:pPr>
              <w:pStyle w:val="TableParagraph"/>
              <w:spacing w:line="240" w:lineRule="auto"/>
              <w:rPr>
                <w:sz w:val="14"/>
              </w:rPr>
            </w:pPr>
          </w:p>
        </w:tc>
        <w:tc>
          <w:tcPr>
            <w:tcW w:w="1547" w:type="dxa"/>
            <w:tcBorders>
              <w:top w:val="single" w:sz="8" w:space="0" w:color="000000"/>
            </w:tcBorders>
          </w:tcPr>
          <w:p>
            <w:pPr>
              <w:pStyle w:val="TableParagraph"/>
              <w:spacing w:line="190" w:lineRule="exact"/>
              <w:ind w:left="414"/>
              <w:rPr>
                <w:sz w:val="18"/>
              </w:rPr>
            </w:pPr>
            <w:r>
              <w:rPr>
                <w:spacing w:val="-4"/>
                <w:sz w:val="18"/>
              </w:rPr>
              <w:t>TOTAL</w:t>
            </w:r>
          </w:p>
        </w:tc>
        <w:tc>
          <w:tcPr>
            <w:tcW w:w="2042" w:type="dxa"/>
            <w:tcBorders>
              <w:top w:val="single" w:sz="8" w:space="0" w:color="000000"/>
            </w:tcBorders>
          </w:tcPr>
          <w:p>
            <w:pPr>
              <w:pStyle w:val="TableParagraph"/>
              <w:spacing w:line="190" w:lineRule="exact"/>
              <w:ind w:left="458"/>
              <w:rPr>
                <w:sz w:val="18"/>
              </w:rPr>
            </w:pPr>
            <w:r>
              <w:rPr>
                <w:sz w:val="18"/>
              </w:rPr>
              <w:t>TOTAL</w:t>
            </w:r>
            <w:r>
              <w:rPr>
                <w:spacing w:val="-3"/>
                <w:sz w:val="18"/>
              </w:rPr>
              <w:t> </w:t>
            </w:r>
            <w:r>
              <w:rPr>
                <w:spacing w:val="-4"/>
                <w:sz w:val="18"/>
              </w:rPr>
              <w:t>MEAN</w:t>
            </w:r>
          </w:p>
        </w:tc>
      </w:tr>
      <w:tr>
        <w:trPr>
          <w:trHeight w:val="206" w:hRule="atLeast"/>
        </w:trPr>
        <w:tc>
          <w:tcPr>
            <w:tcW w:w="1166" w:type="dxa"/>
          </w:tcPr>
          <w:p>
            <w:pPr>
              <w:pStyle w:val="TableParagraph"/>
              <w:ind w:left="122"/>
              <w:rPr>
                <w:b/>
                <w:sz w:val="18"/>
              </w:rPr>
            </w:pPr>
            <w:r>
              <w:rPr>
                <w:b/>
                <w:spacing w:val="-4"/>
                <w:sz w:val="18"/>
              </w:rPr>
              <w:t>Cyc.</w:t>
            </w:r>
          </w:p>
        </w:tc>
        <w:tc>
          <w:tcPr>
            <w:tcW w:w="1019" w:type="dxa"/>
          </w:tcPr>
          <w:p>
            <w:pPr>
              <w:pStyle w:val="TableParagraph"/>
              <w:ind w:left="146"/>
              <w:rPr>
                <w:sz w:val="18"/>
              </w:rPr>
            </w:pPr>
            <w:r>
              <w:rPr>
                <w:spacing w:val="-4"/>
                <w:sz w:val="18"/>
              </w:rPr>
              <w:t>Abs.</w:t>
            </w:r>
          </w:p>
        </w:tc>
        <w:tc>
          <w:tcPr>
            <w:tcW w:w="751" w:type="dxa"/>
          </w:tcPr>
          <w:p>
            <w:pPr>
              <w:pStyle w:val="TableParagraph"/>
              <w:ind w:left="198"/>
              <w:rPr>
                <w:sz w:val="18"/>
              </w:rPr>
            </w:pPr>
            <w:r>
              <w:rPr>
                <w:spacing w:val="-4"/>
                <w:sz w:val="18"/>
              </w:rPr>
              <w:t>Cyc.</w:t>
            </w:r>
          </w:p>
        </w:tc>
        <w:tc>
          <w:tcPr>
            <w:tcW w:w="948" w:type="dxa"/>
          </w:tcPr>
          <w:p>
            <w:pPr>
              <w:pStyle w:val="TableParagraph"/>
              <w:ind w:left="28"/>
              <w:rPr>
                <w:sz w:val="18"/>
              </w:rPr>
            </w:pPr>
            <w:r>
              <w:rPr>
                <w:spacing w:val="-4"/>
                <w:sz w:val="18"/>
              </w:rPr>
              <w:t>Abs.</w:t>
            </w:r>
          </w:p>
        </w:tc>
        <w:tc>
          <w:tcPr>
            <w:tcW w:w="899" w:type="dxa"/>
          </w:tcPr>
          <w:p>
            <w:pPr>
              <w:pStyle w:val="TableParagraph"/>
              <w:ind w:left="244"/>
              <w:rPr>
                <w:sz w:val="18"/>
              </w:rPr>
            </w:pPr>
            <w:r>
              <w:rPr>
                <w:spacing w:val="-4"/>
                <w:sz w:val="18"/>
              </w:rPr>
              <w:t>Cyc.</w:t>
            </w:r>
          </w:p>
        </w:tc>
        <w:tc>
          <w:tcPr>
            <w:tcW w:w="1219" w:type="dxa"/>
          </w:tcPr>
          <w:p>
            <w:pPr>
              <w:pStyle w:val="TableParagraph"/>
              <w:ind w:left="130"/>
              <w:rPr>
                <w:sz w:val="18"/>
              </w:rPr>
            </w:pPr>
            <w:r>
              <w:rPr>
                <w:spacing w:val="-4"/>
                <w:sz w:val="18"/>
              </w:rPr>
              <w:t>Abs.</w:t>
            </w:r>
          </w:p>
        </w:tc>
        <w:tc>
          <w:tcPr>
            <w:tcW w:w="1547" w:type="dxa"/>
          </w:tcPr>
          <w:p>
            <w:pPr>
              <w:pStyle w:val="TableParagraph"/>
              <w:spacing w:line="240" w:lineRule="auto"/>
              <w:rPr>
                <w:sz w:val="14"/>
              </w:rPr>
            </w:pPr>
          </w:p>
        </w:tc>
        <w:tc>
          <w:tcPr>
            <w:tcW w:w="2042" w:type="dxa"/>
          </w:tcPr>
          <w:p>
            <w:pPr>
              <w:pStyle w:val="TableParagraph"/>
              <w:spacing w:line="240" w:lineRule="auto"/>
              <w:rPr>
                <w:sz w:val="14"/>
              </w:rPr>
            </w:pPr>
          </w:p>
        </w:tc>
      </w:tr>
      <w:tr>
        <w:trPr>
          <w:trHeight w:val="206" w:hRule="atLeast"/>
        </w:trPr>
        <w:tc>
          <w:tcPr>
            <w:tcW w:w="1166" w:type="dxa"/>
          </w:tcPr>
          <w:p>
            <w:pPr>
              <w:pStyle w:val="TableParagraph"/>
              <w:ind w:left="122"/>
              <w:rPr>
                <w:b/>
                <w:sz w:val="18"/>
              </w:rPr>
            </w:pPr>
            <w:r>
              <w:rPr>
                <w:b/>
                <w:spacing w:val="-10"/>
                <w:sz w:val="18"/>
              </w:rPr>
              <w:t>1</w:t>
            </w:r>
          </w:p>
        </w:tc>
        <w:tc>
          <w:tcPr>
            <w:tcW w:w="1019" w:type="dxa"/>
          </w:tcPr>
          <w:p>
            <w:pPr>
              <w:pStyle w:val="TableParagraph"/>
              <w:ind w:left="146"/>
              <w:rPr>
                <w:sz w:val="18"/>
              </w:rPr>
            </w:pPr>
            <w:r>
              <w:rPr>
                <w:spacing w:val="-2"/>
                <w:sz w:val="18"/>
              </w:rPr>
              <w:t>0.098</w:t>
            </w:r>
          </w:p>
        </w:tc>
        <w:tc>
          <w:tcPr>
            <w:tcW w:w="751" w:type="dxa"/>
          </w:tcPr>
          <w:p>
            <w:pPr>
              <w:pStyle w:val="TableParagraph"/>
              <w:ind w:left="198"/>
              <w:rPr>
                <w:sz w:val="18"/>
              </w:rPr>
            </w:pPr>
            <w:r>
              <w:rPr>
                <w:spacing w:val="-10"/>
                <w:sz w:val="18"/>
              </w:rPr>
              <w:t>1</w:t>
            </w:r>
          </w:p>
        </w:tc>
        <w:tc>
          <w:tcPr>
            <w:tcW w:w="948" w:type="dxa"/>
          </w:tcPr>
          <w:p>
            <w:pPr>
              <w:pStyle w:val="TableParagraph"/>
              <w:ind w:left="28"/>
              <w:rPr>
                <w:sz w:val="18"/>
              </w:rPr>
            </w:pPr>
            <w:r>
              <w:rPr>
                <w:spacing w:val="-2"/>
                <w:sz w:val="18"/>
              </w:rPr>
              <w:t>0.097</w:t>
            </w:r>
          </w:p>
        </w:tc>
        <w:tc>
          <w:tcPr>
            <w:tcW w:w="899" w:type="dxa"/>
          </w:tcPr>
          <w:p>
            <w:pPr>
              <w:pStyle w:val="TableParagraph"/>
              <w:ind w:left="244"/>
              <w:rPr>
                <w:sz w:val="18"/>
              </w:rPr>
            </w:pPr>
            <w:r>
              <w:rPr>
                <w:spacing w:val="-10"/>
                <w:sz w:val="18"/>
              </w:rPr>
              <w:t>1</w:t>
            </w:r>
          </w:p>
        </w:tc>
        <w:tc>
          <w:tcPr>
            <w:tcW w:w="1219" w:type="dxa"/>
          </w:tcPr>
          <w:p>
            <w:pPr>
              <w:pStyle w:val="TableParagraph"/>
              <w:ind w:left="130"/>
              <w:rPr>
                <w:sz w:val="18"/>
              </w:rPr>
            </w:pPr>
            <w:r>
              <w:rPr>
                <w:spacing w:val="-2"/>
                <w:sz w:val="18"/>
              </w:rPr>
              <w:t>0.099</w:t>
            </w:r>
          </w:p>
        </w:tc>
        <w:tc>
          <w:tcPr>
            <w:tcW w:w="1547" w:type="dxa"/>
          </w:tcPr>
          <w:p>
            <w:pPr>
              <w:pStyle w:val="TableParagraph"/>
              <w:spacing w:line="240" w:lineRule="auto"/>
              <w:rPr>
                <w:sz w:val="14"/>
              </w:rPr>
            </w:pPr>
          </w:p>
        </w:tc>
        <w:tc>
          <w:tcPr>
            <w:tcW w:w="2042" w:type="dxa"/>
          </w:tcPr>
          <w:p>
            <w:pPr>
              <w:pStyle w:val="TableParagraph"/>
              <w:spacing w:line="240" w:lineRule="auto"/>
              <w:rPr>
                <w:sz w:val="14"/>
              </w:rPr>
            </w:pPr>
          </w:p>
        </w:tc>
      </w:tr>
      <w:tr>
        <w:trPr>
          <w:trHeight w:val="207" w:hRule="atLeast"/>
        </w:trPr>
        <w:tc>
          <w:tcPr>
            <w:tcW w:w="1166" w:type="dxa"/>
          </w:tcPr>
          <w:p>
            <w:pPr>
              <w:pStyle w:val="TableParagraph"/>
              <w:spacing w:line="188" w:lineRule="exact"/>
              <w:ind w:left="122"/>
              <w:rPr>
                <w:b/>
                <w:sz w:val="18"/>
              </w:rPr>
            </w:pPr>
            <w:r>
              <w:rPr>
                <w:b/>
                <w:spacing w:val="-10"/>
                <w:sz w:val="18"/>
              </w:rPr>
              <w:t>2</w:t>
            </w:r>
          </w:p>
        </w:tc>
        <w:tc>
          <w:tcPr>
            <w:tcW w:w="1019" w:type="dxa"/>
          </w:tcPr>
          <w:p>
            <w:pPr>
              <w:pStyle w:val="TableParagraph"/>
              <w:spacing w:line="188" w:lineRule="exact"/>
              <w:ind w:left="146"/>
              <w:rPr>
                <w:sz w:val="18"/>
              </w:rPr>
            </w:pPr>
            <w:r>
              <w:rPr>
                <w:spacing w:val="-2"/>
                <w:sz w:val="18"/>
              </w:rPr>
              <w:t>0.095</w:t>
            </w:r>
          </w:p>
        </w:tc>
        <w:tc>
          <w:tcPr>
            <w:tcW w:w="751" w:type="dxa"/>
          </w:tcPr>
          <w:p>
            <w:pPr>
              <w:pStyle w:val="TableParagraph"/>
              <w:spacing w:line="188" w:lineRule="exact"/>
              <w:ind w:left="198"/>
              <w:rPr>
                <w:sz w:val="18"/>
              </w:rPr>
            </w:pPr>
            <w:r>
              <w:rPr>
                <w:spacing w:val="-10"/>
                <w:sz w:val="18"/>
              </w:rPr>
              <w:t>2</w:t>
            </w:r>
          </w:p>
        </w:tc>
        <w:tc>
          <w:tcPr>
            <w:tcW w:w="948" w:type="dxa"/>
          </w:tcPr>
          <w:p>
            <w:pPr>
              <w:pStyle w:val="TableParagraph"/>
              <w:spacing w:line="188" w:lineRule="exact"/>
              <w:ind w:left="28"/>
              <w:rPr>
                <w:sz w:val="18"/>
              </w:rPr>
            </w:pPr>
            <w:r>
              <w:rPr>
                <w:spacing w:val="-2"/>
                <w:sz w:val="18"/>
              </w:rPr>
              <w:t>0.097</w:t>
            </w:r>
          </w:p>
        </w:tc>
        <w:tc>
          <w:tcPr>
            <w:tcW w:w="899" w:type="dxa"/>
          </w:tcPr>
          <w:p>
            <w:pPr>
              <w:pStyle w:val="TableParagraph"/>
              <w:spacing w:line="188" w:lineRule="exact"/>
              <w:ind w:left="244"/>
              <w:rPr>
                <w:sz w:val="18"/>
              </w:rPr>
            </w:pPr>
            <w:r>
              <w:rPr>
                <w:spacing w:val="-10"/>
                <w:sz w:val="18"/>
              </w:rPr>
              <w:t>2</w:t>
            </w:r>
          </w:p>
        </w:tc>
        <w:tc>
          <w:tcPr>
            <w:tcW w:w="1219" w:type="dxa"/>
          </w:tcPr>
          <w:p>
            <w:pPr>
              <w:pStyle w:val="TableParagraph"/>
              <w:spacing w:line="188" w:lineRule="exact"/>
              <w:ind w:left="130"/>
              <w:rPr>
                <w:sz w:val="18"/>
              </w:rPr>
            </w:pPr>
            <w:r>
              <w:rPr>
                <w:spacing w:val="-2"/>
                <w:sz w:val="18"/>
              </w:rPr>
              <w:t>0.098</w:t>
            </w:r>
          </w:p>
        </w:tc>
        <w:tc>
          <w:tcPr>
            <w:tcW w:w="1547" w:type="dxa"/>
          </w:tcPr>
          <w:p>
            <w:pPr>
              <w:pStyle w:val="TableParagraph"/>
              <w:spacing w:line="240" w:lineRule="auto"/>
              <w:rPr>
                <w:sz w:val="14"/>
              </w:rPr>
            </w:pPr>
          </w:p>
        </w:tc>
        <w:tc>
          <w:tcPr>
            <w:tcW w:w="2042" w:type="dxa"/>
          </w:tcPr>
          <w:p>
            <w:pPr>
              <w:pStyle w:val="TableParagraph"/>
              <w:spacing w:line="240" w:lineRule="auto"/>
              <w:rPr>
                <w:sz w:val="14"/>
              </w:rPr>
            </w:pPr>
          </w:p>
        </w:tc>
      </w:tr>
      <w:tr>
        <w:trPr>
          <w:trHeight w:val="207" w:hRule="atLeast"/>
        </w:trPr>
        <w:tc>
          <w:tcPr>
            <w:tcW w:w="1166" w:type="dxa"/>
          </w:tcPr>
          <w:p>
            <w:pPr>
              <w:pStyle w:val="TableParagraph"/>
              <w:spacing w:line="188" w:lineRule="exact"/>
              <w:ind w:left="122"/>
              <w:rPr>
                <w:b/>
                <w:sz w:val="18"/>
              </w:rPr>
            </w:pPr>
            <w:r>
              <w:rPr>
                <w:b/>
                <w:spacing w:val="-10"/>
                <w:sz w:val="18"/>
              </w:rPr>
              <w:t>3</w:t>
            </w:r>
          </w:p>
        </w:tc>
        <w:tc>
          <w:tcPr>
            <w:tcW w:w="1019" w:type="dxa"/>
          </w:tcPr>
          <w:p>
            <w:pPr>
              <w:pStyle w:val="TableParagraph"/>
              <w:spacing w:line="188" w:lineRule="exact"/>
              <w:ind w:left="146"/>
              <w:rPr>
                <w:sz w:val="18"/>
              </w:rPr>
            </w:pPr>
            <w:r>
              <w:rPr>
                <w:spacing w:val="-2"/>
                <w:sz w:val="18"/>
              </w:rPr>
              <w:t>0.094</w:t>
            </w:r>
          </w:p>
        </w:tc>
        <w:tc>
          <w:tcPr>
            <w:tcW w:w="751" w:type="dxa"/>
          </w:tcPr>
          <w:p>
            <w:pPr>
              <w:pStyle w:val="TableParagraph"/>
              <w:spacing w:line="188" w:lineRule="exact"/>
              <w:ind w:left="198"/>
              <w:rPr>
                <w:sz w:val="18"/>
              </w:rPr>
            </w:pPr>
            <w:r>
              <w:rPr>
                <w:spacing w:val="-10"/>
                <w:sz w:val="18"/>
              </w:rPr>
              <w:t>3</w:t>
            </w:r>
          </w:p>
        </w:tc>
        <w:tc>
          <w:tcPr>
            <w:tcW w:w="948" w:type="dxa"/>
          </w:tcPr>
          <w:p>
            <w:pPr>
              <w:pStyle w:val="TableParagraph"/>
              <w:spacing w:line="188" w:lineRule="exact"/>
              <w:ind w:left="28"/>
              <w:rPr>
                <w:sz w:val="18"/>
              </w:rPr>
            </w:pPr>
            <w:r>
              <w:rPr>
                <w:spacing w:val="-2"/>
                <w:sz w:val="18"/>
              </w:rPr>
              <w:t>0.095</w:t>
            </w:r>
          </w:p>
        </w:tc>
        <w:tc>
          <w:tcPr>
            <w:tcW w:w="899" w:type="dxa"/>
          </w:tcPr>
          <w:p>
            <w:pPr>
              <w:pStyle w:val="TableParagraph"/>
              <w:spacing w:line="188" w:lineRule="exact"/>
              <w:ind w:left="244"/>
              <w:rPr>
                <w:sz w:val="18"/>
              </w:rPr>
            </w:pPr>
            <w:r>
              <w:rPr>
                <w:spacing w:val="-10"/>
                <w:sz w:val="18"/>
              </w:rPr>
              <w:t>3</w:t>
            </w:r>
          </w:p>
        </w:tc>
        <w:tc>
          <w:tcPr>
            <w:tcW w:w="1219" w:type="dxa"/>
          </w:tcPr>
          <w:p>
            <w:pPr>
              <w:pStyle w:val="TableParagraph"/>
              <w:spacing w:line="188" w:lineRule="exact"/>
              <w:ind w:left="130"/>
              <w:rPr>
                <w:sz w:val="18"/>
              </w:rPr>
            </w:pPr>
            <w:r>
              <w:rPr>
                <w:spacing w:val="-2"/>
                <w:sz w:val="18"/>
              </w:rPr>
              <w:t>0.099</w:t>
            </w:r>
          </w:p>
        </w:tc>
        <w:tc>
          <w:tcPr>
            <w:tcW w:w="1547" w:type="dxa"/>
          </w:tcPr>
          <w:p>
            <w:pPr>
              <w:pStyle w:val="TableParagraph"/>
              <w:spacing w:line="240" w:lineRule="auto"/>
              <w:rPr>
                <w:sz w:val="14"/>
              </w:rPr>
            </w:pPr>
          </w:p>
        </w:tc>
        <w:tc>
          <w:tcPr>
            <w:tcW w:w="2042" w:type="dxa"/>
          </w:tcPr>
          <w:p>
            <w:pPr>
              <w:pStyle w:val="TableParagraph"/>
              <w:spacing w:line="240" w:lineRule="auto"/>
              <w:rPr>
                <w:sz w:val="14"/>
              </w:rPr>
            </w:pPr>
          </w:p>
        </w:tc>
      </w:tr>
      <w:tr>
        <w:trPr>
          <w:trHeight w:val="206" w:hRule="atLeast"/>
        </w:trPr>
        <w:tc>
          <w:tcPr>
            <w:tcW w:w="1166" w:type="dxa"/>
          </w:tcPr>
          <w:p>
            <w:pPr>
              <w:pStyle w:val="TableParagraph"/>
              <w:ind w:left="122"/>
              <w:rPr>
                <w:b/>
                <w:sz w:val="18"/>
              </w:rPr>
            </w:pPr>
            <w:r>
              <w:rPr>
                <w:b/>
                <w:spacing w:val="-10"/>
                <w:sz w:val="18"/>
              </w:rPr>
              <w:t>4</w:t>
            </w:r>
          </w:p>
        </w:tc>
        <w:tc>
          <w:tcPr>
            <w:tcW w:w="1019" w:type="dxa"/>
          </w:tcPr>
          <w:p>
            <w:pPr>
              <w:pStyle w:val="TableParagraph"/>
              <w:ind w:left="146"/>
              <w:rPr>
                <w:sz w:val="18"/>
              </w:rPr>
            </w:pPr>
            <w:r>
              <w:rPr>
                <w:spacing w:val="-2"/>
                <w:sz w:val="18"/>
              </w:rPr>
              <w:t>0.096</w:t>
            </w:r>
          </w:p>
        </w:tc>
        <w:tc>
          <w:tcPr>
            <w:tcW w:w="751" w:type="dxa"/>
          </w:tcPr>
          <w:p>
            <w:pPr>
              <w:pStyle w:val="TableParagraph"/>
              <w:ind w:left="198"/>
              <w:rPr>
                <w:sz w:val="18"/>
              </w:rPr>
            </w:pPr>
            <w:r>
              <w:rPr>
                <w:spacing w:val="-10"/>
                <w:sz w:val="18"/>
              </w:rPr>
              <w:t>4</w:t>
            </w:r>
          </w:p>
        </w:tc>
        <w:tc>
          <w:tcPr>
            <w:tcW w:w="948" w:type="dxa"/>
          </w:tcPr>
          <w:p>
            <w:pPr>
              <w:pStyle w:val="TableParagraph"/>
              <w:ind w:left="28"/>
              <w:rPr>
                <w:sz w:val="18"/>
              </w:rPr>
            </w:pPr>
            <w:r>
              <w:rPr>
                <w:spacing w:val="-2"/>
                <w:sz w:val="18"/>
              </w:rPr>
              <w:t>0.096</w:t>
            </w:r>
          </w:p>
        </w:tc>
        <w:tc>
          <w:tcPr>
            <w:tcW w:w="899" w:type="dxa"/>
          </w:tcPr>
          <w:p>
            <w:pPr>
              <w:pStyle w:val="TableParagraph"/>
              <w:ind w:left="244"/>
              <w:rPr>
                <w:sz w:val="18"/>
              </w:rPr>
            </w:pPr>
            <w:r>
              <w:rPr>
                <w:spacing w:val="-10"/>
                <w:sz w:val="18"/>
              </w:rPr>
              <w:t>4</w:t>
            </w:r>
          </w:p>
        </w:tc>
        <w:tc>
          <w:tcPr>
            <w:tcW w:w="1219" w:type="dxa"/>
          </w:tcPr>
          <w:p>
            <w:pPr>
              <w:pStyle w:val="TableParagraph"/>
              <w:ind w:left="130"/>
              <w:rPr>
                <w:sz w:val="18"/>
              </w:rPr>
            </w:pPr>
            <w:r>
              <w:rPr>
                <w:spacing w:val="-2"/>
                <w:sz w:val="18"/>
              </w:rPr>
              <w:t>0.099</w:t>
            </w:r>
          </w:p>
        </w:tc>
        <w:tc>
          <w:tcPr>
            <w:tcW w:w="1547" w:type="dxa"/>
          </w:tcPr>
          <w:p>
            <w:pPr>
              <w:pStyle w:val="TableParagraph"/>
              <w:spacing w:line="240" w:lineRule="auto"/>
              <w:rPr>
                <w:sz w:val="14"/>
              </w:rPr>
            </w:pPr>
          </w:p>
        </w:tc>
        <w:tc>
          <w:tcPr>
            <w:tcW w:w="2042" w:type="dxa"/>
          </w:tcPr>
          <w:p>
            <w:pPr>
              <w:pStyle w:val="TableParagraph"/>
              <w:spacing w:line="240" w:lineRule="auto"/>
              <w:rPr>
                <w:sz w:val="14"/>
              </w:rPr>
            </w:pPr>
          </w:p>
        </w:tc>
      </w:tr>
      <w:tr>
        <w:trPr>
          <w:trHeight w:val="206" w:hRule="atLeast"/>
        </w:trPr>
        <w:tc>
          <w:tcPr>
            <w:tcW w:w="1166" w:type="dxa"/>
          </w:tcPr>
          <w:p>
            <w:pPr>
              <w:pStyle w:val="TableParagraph"/>
              <w:ind w:left="122"/>
              <w:rPr>
                <w:b/>
                <w:sz w:val="18"/>
              </w:rPr>
            </w:pPr>
            <w:r>
              <w:rPr>
                <w:b/>
                <w:spacing w:val="-10"/>
                <w:sz w:val="18"/>
              </w:rPr>
              <w:t>5</w:t>
            </w:r>
          </w:p>
        </w:tc>
        <w:tc>
          <w:tcPr>
            <w:tcW w:w="1019" w:type="dxa"/>
          </w:tcPr>
          <w:p>
            <w:pPr>
              <w:pStyle w:val="TableParagraph"/>
              <w:ind w:left="146"/>
              <w:rPr>
                <w:sz w:val="18"/>
              </w:rPr>
            </w:pPr>
            <w:r>
              <w:rPr>
                <w:spacing w:val="-2"/>
                <w:sz w:val="18"/>
              </w:rPr>
              <w:t>0.099</w:t>
            </w:r>
          </w:p>
        </w:tc>
        <w:tc>
          <w:tcPr>
            <w:tcW w:w="751" w:type="dxa"/>
          </w:tcPr>
          <w:p>
            <w:pPr>
              <w:pStyle w:val="TableParagraph"/>
              <w:ind w:left="198"/>
              <w:rPr>
                <w:sz w:val="18"/>
              </w:rPr>
            </w:pPr>
            <w:r>
              <w:rPr>
                <w:spacing w:val="-10"/>
                <w:sz w:val="18"/>
              </w:rPr>
              <w:t>5</w:t>
            </w:r>
          </w:p>
        </w:tc>
        <w:tc>
          <w:tcPr>
            <w:tcW w:w="948" w:type="dxa"/>
          </w:tcPr>
          <w:p>
            <w:pPr>
              <w:pStyle w:val="TableParagraph"/>
              <w:ind w:left="28"/>
              <w:rPr>
                <w:sz w:val="18"/>
              </w:rPr>
            </w:pPr>
            <w:r>
              <w:rPr>
                <w:spacing w:val="-2"/>
                <w:sz w:val="18"/>
              </w:rPr>
              <w:t>0.096</w:t>
            </w:r>
          </w:p>
        </w:tc>
        <w:tc>
          <w:tcPr>
            <w:tcW w:w="899" w:type="dxa"/>
          </w:tcPr>
          <w:p>
            <w:pPr>
              <w:pStyle w:val="TableParagraph"/>
              <w:ind w:left="244"/>
              <w:rPr>
                <w:sz w:val="18"/>
              </w:rPr>
            </w:pPr>
            <w:r>
              <w:rPr>
                <w:spacing w:val="-10"/>
                <w:sz w:val="18"/>
              </w:rPr>
              <w:t>5</w:t>
            </w:r>
          </w:p>
        </w:tc>
        <w:tc>
          <w:tcPr>
            <w:tcW w:w="1219" w:type="dxa"/>
          </w:tcPr>
          <w:p>
            <w:pPr>
              <w:pStyle w:val="TableParagraph"/>
              <w:ind w:left="130"/>
              <w:rPr>
                <w:sz w:val="18"/>
              </w:rPr>
            </w:pPr>
            <w:r>
              <w:rPr>
                <w:spacing w:val="-2"/>
                <w:sz w:val="18"/>
              </w:rPr>
              <w:t>0.097</w:t>
            </w:r>
          </w:p>
        </w:tc>
        <w:tc>
          <w:tcPr>
            <w:tcW w:w="1547" w:type="dxa"/>
          </w:tcPr>
          <w:p>
            <w:pPr>
              <w:pStyle w:val="TableParagraph"/>
              <w:spacing w:line="240" w:lineRule="auto"/>
              <w:rPr>
                <w:sz w:val="14"/>
              </w:rPr>
            </w:pPr>
          </w:p>
        </w:tc>
        <w:tc>
          <w:tcPr>
            <w:tcW w:w="2042" w:type="dxa"/>
          </w:tcPr>
          <w:p>
            <w:pPr>
              <w:pStyle w:val="TableParagraph"/>
              <w:spacing w:line="240" w:lineRule="auto"/>
              <w:rPr>
                <w:sz w:val="14"/>
              </w:rPr>
            </w:pPr>
          </w:p>
        </w:tc>
      </w:tr>
      <w:tr>
        <w:trPr>
          <w:trHeight w:val="207" w:hRule="atLeast"/>
        </w:trPr>
        <w:tc>
          <w:tcPr>
            <w:tcW w:w="1166" w:type="dxa"/>
          </w:tcPr>
          <w:p>
            <w:pPr>
              <w:pStyle w:val="TableParagraph"/>
              <w:spacing w:line="188" w:lineRule="exact"/>
              <w:ind w:left="122"/>
              <w:rPr>
                <w:b/>
                <w:sz w:val="18"/>
              </w:rPr>
            </w:pPr>
            <w:r>
              <w:rPr>
                <w:b/>
                <w:spacing w:val="-2"/>
                <w:sz w:val="18"/>
              </w:rPr>
              <w:t>AVERAGE</w:t>
            </w:r>
          </w:p>
        </w:tc>
        <w:tc>
          <w:tcPr>
            <w:tcW w:w="1019" w:type="dxa"/>
          </w:tcPr>
          <w:p>
            <w:pPr>
              <w:pStyle w:val="TableParagraph"/>
              <w:spacing w:line="188" w:lineRule="exact"/>
              <w:ind w:left="146"/>
              <w:rPr>
                <w:sz w:val="18"/>
              </w:rPr>
            </w:pPr>
            <w:r>
              <w:rPr>
                <w:spacing w:val="-2"/>
                <w:sz w:val="18"/>
              </w:rPr>
              <w:t>0.096</w:t>
            </w:r>
          </w:p>
        </w:tc>
        <w:tc>
          <w:tcPr>
            <w:tcW w:w="751" w:type="dxa"/>
          </w:tcPr>
          <w:p>
            <w:pPr>
              <w:pStyle w:val="TableParagraph"/>
              <w:spacing w:line="240" w:lineRule="auto"/>
              <w:rPr>
                <w:sz w:val="14"/>
              </w:rPr>
            </w:pPr>
          </w:p>
        </w:tc>
        <w:tc>
          <w:tcPr>
            <w:tcW w:w="948" w:type="dxa"/>
          </w:tcPr>
          <w:p>
            <w:pPr>
              <w:pStyle w:val="TableParagraph"/>
              <w:spacing w:line="188" w:lineRule="exact"/>
              <w:ind w:left="28"/>
              <w:rPr>
                <w:sz w:val="18"/>
              </w:rPr>
            </w:pPr>
            <w:r>
              <w:rPr>
                <w:spacing w:val="-2"/>
                <w:sz w:val="18"/>
              </w:rPr>
              <w:t>0.096</w:t>
            </w:r>
          </w:p>
        </w:tc>
        <w:tc>
          <w:tcPr>
            <w:tcW w:w="899" w:type="dxa"/>
          </w:tcPr>
          <w:p>
            <w:pPr>
              <w:pStyle w:val="TableParagraph"/>
              <w:spacing w:line="240" w:lineRule="auto"/>
              <w:rPr>
                <w:sz w:val="14"/>
              </w:rPr>
            </w:pPr>
          </w:p>
        </w:tc>
        <w:tc>
          <w:tcPr>
            <w:tcW w:w="1219" w:type="dxa"/>
          </w:tcPr>
          <w:p>
            <w:pPr>
              <w:pStyle w:val="TableParagraph"/>
              <w:spacing w:line="188" w:lineRule="exact"/>
              <w:ind w:left="130"/>
              <w:rPr>
                <w:sz w:val="18"/>
              </w:rPr>
            </w:pPr>
            <w:r>
              <w:rPr>
                <w:spacing w:val="-2"/>
                <w:sz w:val="18"/>
              </w:rPr>
              <w:t>0.098</w:t>
            </w:r>
          </w:p>
        </w:tc>
        <w:tc>
          <w:tcPr>
            <w:tcW w:w="1547" w:type="dxa"/>
          </w:tcPr>
          <w:p>
            <w:pPr>
              <w:pStyle w:val="TableParagraph"/>
              <w:spacing w:line="188" w:lineRule="exact"/>
              <w:ind w:left="414"/>
              <w:rPr>
                <w:sz w:val="18"/>
              </w:rPr>
            </w:pPr>
            <w:r>
              <w:rPr>
                <w:spacing w:val="-2"/>
                <w:sz w:val="18"/>
              </w:rPr>
              <w:t>0.291</w:t>
            </w:r>
          </w:p>
        </w:tc>
        <w:tc>
          <w:tcPr>
            <w:tcW w:w="2042" w:type="dxa"/>
          </w:tcPr>
          <w:p>
            <w:pPr>
              <w:pStyle w:val="TableParagraph"/>
              <w:spacing w:line="188" w:lineRule="exact"/>
              <w:ind w:left="458"/>
              <w:rPr>
                <w:sz w:val="18"/>
              </w:rPr>
            </w:pPr>
            <w:r>
              <w:rPr>
                <w:spacing w:val="-2"/>
                <w:sz w:val="18"/>
              </w:rPr>
              <w:t>0.097</w:t>
            </w:r>
          </w:p>
        </w:tc>
      </w:tr>
      <w:tr>
        <w:trPr>
          <w:trHeight w:val="207" w:hRule="atLeast"/>
        </w:trPr>
        <w:tc>
          <w:tcPr>
            <w:tcW w:w="1166" w:type="dxa"/>
          </w:tcPr>
          <w:p>
            <w:pPr>
              <w:pStyle w:val="TableParagraph"/>
              <w:spacing w:line="188" w:lineRule="exact"/>
              <w:ind w:left="122"/>
              <w:rPr>
                <w:b/>
                <w:sz w:val="18"/>
              </w:rPr>
            </w:pPr>
            <w:r>
              <w:rPr>
                <w:b/>
                <w:spacing w:val="-5"/>
                <w:sz w:val="18"/>
              </w:rPr>
              <w:t>SD</w:t>
            </w:r>
          </w:p>
        </w:tc>
        <w:tc>
          <w:tcPr>
            <w:tcW w:w="1019" w:type="dxa"/>
          </w:tcPr>
          <w:p>
            <w:pPr>
              <w:pStyle w:val="TableParagraph"/>
              <w:spacing w:line="188" w:lineRule="exact"/>
              <w:ind w:left="146"/>
              <w:rPr>
                <w:sz w:val="18"/>
              </w:rPr>
            </w:pPr>
            <w:r>
              <w:rPr>
                <w:spacing w:val="-2"/>
                <w:sz w:val="18"/>
              </w:rPr>
              <w:t>0.001855</w:t>
            </w:r>
          </w:p>
        </w:tc>
        <w:tc>
          <w:tcPr>
            <w:tcW w:w="751" w:type="dxa"/>
          </w:tcPr>
          <w:p>
            <w:pPr>
              <w:pStyle w:val="TableParagraph"/>
              <w:spacing w:line="240" w:lineRule="auto"/>
              <w:rPr>
                <w:sz w:val="14"/>
              </w:rPr>
            </w:pPr>
          </w:p>
        </w:tc>
        <w:tc>
          <w:tcPr>
            <w:tcW w:w="948" w:type="dxa"/>
          </w:tcPr>
          <w:p>
            <w:pPr>
              <w:pStyle w:val="TableParagraph"/>
              <w:spacing w:line="188" w:lineRule="exact"/>
              <w:ind w:left="28"/>
              <w:rPr>
                <w:sz w:val="18"/>
              </w:rPr>
            </w:pPr>
            <w:r>
              <w:rPr>
                <w:spacing w:val="-2"/>
                <w:sz w:val="18"/>
              </w:rPr>
              <w:t>0.000748</w:t>
            </w:r>
          </w:p>
        </w:tc>
        <w:tc>
          <w:tcPr>
            <w:tcW w:w="899" w:type="dxa"/>
          </w:tcPr>
          <w:p>
            <w:pPr>
              <w:pStyle w:val="TableParagraph"/>
              <w:spacing w:line="240" w:lineRule="auto"/>
              <w:rPr>
                <w:sz w:val="14"/>
              </w:rPr>
            </w:pPr>
          </w:p>
        </w:tc>
        <w:tc>
          <w:tcPr>
            <w:tcW w:w="1219" w:type="dxa"/>
          </w:tcPr>
          <w:p>
            <w:pPr>
              <w:pStyle w:val="TableParagraph"/>
              <w:spacing w:line="188" w:lineRule="exact"/>
              <w:ind w:left="130"/>
              <w:rPr>
                <w:sz w:val="18"/>
              </w:rPr>
            </w:pPr>
            <w:r>
              <w:rPr>
                <w:spacing w:val="-2"/>
                <w:sz w:val="18"/>
              </w:rPr>
              <w:t>0.0008</w:t>
            </w:r>
          </w:p>
        </w:tc>
        <w:tc>
          <w:tcPr>
            <w:tcW w:w="1547" w:type="dxa"/>
          </w:tcPr>
          <w:p>
            <w:pPr>
              <w:pStyle w:val="TableParagraph"/>
              <w:spacing w:line="188" w:lineRule="exact"/>
              <w:ind w:left="414"/>
              <w:rPr>
                <w:sz w:val="18"/>
              </w:rPr>
            </w:pPr>
            <w:r>
              <w:rPr>
                <w:spacing w:val="-2"/>
                <w:sz w:val="18"/>
              </w:rPr>
              <w:t>0.003403</w:t>
            </w:r>
          </w:p>
        </w:tc>
        <w:tc>
          <w:tcPr>
            <w:tcW w:w="2042" w:type="dxa"/>
          </w:tcPr>
          <w:p>
            <w:pPr>
              <w:pStyle w:val="TableParagraph"/>
              <w:spacing w:line="188" w:lineRule="exact"/>
              <w:ind w:left="458"/>
              <w:rPr>
                <w:sz w:val="18"/>
              </w:rPr>
            </w:pPr>
            <w:r>
              <w:rPr>
                <w:spacing w:val="-2"/>
                <w:sz w:val="18"/>
              </w:rPr>
              <w:t>0.001134</w:t>
            </w:r>
          </w:p>
        </w:tc>
      </w:tr>
      <w:tr>
        <w:trPr>
          <w:trHeight w:val="204" w:hRule="atLeast"/>
        </w:trPr>
        <w:tc>
          <w:tcPr>
            <w:tcW w:w="1166" w:type="dxa"/>
            <w:tcBorders>
              <w:bottom w:val="single" w:sz="8" w:space="0" w:color="000000"/>
            </w:tcBorders>
          </w:tcPr>
          <w:p>
            <w:pPr>
              <w:pStyle w:val="TableParagraph"/>
              <w:spacing w:line="184" w:lineRule="exact"/>
              <w:ind w:left="122"/>
              <w:rPr>
                <w:b/>
                <w:sz w:val="18"/>
              </w:rPr>
            </w:pPr>
            <w:r>
              <w:rPr>
                <w:b/>
                <w:spacing w:val="-4"/>
                <w:sz w:val="18"/>
              </w:rPr>
              <w:t>%RSD</w:t>
            </w:r>
          </w:p>
        </w:tc>
        <w:tc>
          <w:tcPr>
            <w:tcW w:w="1019" w:type="dxa"/>
            <w:tcBorders>
              <w:bottom w:val="single" w:sz="8" w:space="0" w:color="000000"/>
            </w:tcBorders>
          </w:tcPr>
          <w:p>
            <w:pPr>
              <w:pStyle w:val="TableParagraph"/>
              <w:spacing w:line="184" w:lineRule="exact"/>
              <w:ind w:left="146"/>
              <w:rPr>
                <w:sz w:val="18"/>
              </w:rPr>
            </w:pPr>
            <w:r>
              <w:rPr>
                <w:spacing w:val="-2"/>
                <w:sz w:val="18"/>
              </w:rPr>
              <w:t>1.923987</w:t>
            </w:r>
          </w:p>
        </w:tc>
        <w:tc>
          <w:tcPr>
            <w:tcW w:w="751" w:type="dxa"/>
            <w:tcBorders>
              <w:bottom w:val="single" w:sz="8" w:space="0" w:color="000000"/>
            </w:tcBorders>
          </w:tcPr>
          <w:p>
            <w:pPr>
              <w:pStyle w:val="TableParagraph"/>
              <w:spacing w:line="240" w:lineRule="auto"/>
              <w:rPr>
                <w:sz w:val="14"/>
              </w:rPr>
            </w:pPr>
          </w:p>
        </w:tc>
        <w:tc>
          <w:tcPr>
            <w:tcW w:w="948" w:type="dxa"/>
            <w:tcBorders>
              <w:bottom w:val="single" w:sz="8" w:space="0" w:color="000000"/>
            </w:tcBorders>
          </w:tcPr>
          <w:p>
            <w:pPr>
              <w:pStyle w:val="TableParagraph"/>
              <w:spacing w:line="184" w:lineRule="exact"/>
              <w:ind w:left="28"/>
              <w:rPr>
                <w:sz w:val="18"/>
              </w:rPr>
            </w:pPr>
            <w:r>
              <w:rPr>
                <w:spacing w:val="-2"/>
                <w:sz w:val="18"/>
              </w:rPr>
              <w:t>0.777891</w:t>
            </w:r>
          </w:p>
        </w:tc>
        <w:tc>
          <w:tcPr>
            <w:tcW w:w="899" w:type="dxa"/>
            <w:tcBorders>
              <w:bottom w:val="single" w:sz="8" w:space="0" w:color="000000"/>
            </w:tcBorders>
          </w:tcPr>
          <w:p>
            <w:pPr>
              <w:pStyle w:val="TableParagraph"/>
              <w:spacing w:line="240" w:lineRule="auto"/>
              <w:rPr>
                <w:sz w:val="14"/>
              </w:rPr>
            </w:pPr>
          </w:p>
        </w:tc>
        <w:tc>
          <w:tcPr>
            <w:tcW w:w="1219" w:type="dxa"/>
            <w:tcBorders>
              <w:bottom w:val="single" w:sz="8" w:space="0" w:color="000000"/>
            </w:tcBorders>
          </w:tcPr>
          <w:p>
            <w:pPr>
              <w:pStyle w:val="TableParagraph"/>
              <w:spacing w:line="184" w:lineRule="exact"/>
              <w:ind w:left="130"/>
              <w:rPr>
                <w:sz w:val="18"/>
              </w:rPr>
            </w:pPr>
            <w:r>
              <w:rPr>
                <w:spacing w:val="-2"/>
                <w:sz w:val="18"/>
              </w:rPr>
              <w:t>0.813008</w:t>
            </w:r>
          </w:p>
        </w:tc>
        <w:tc>
          <w:tcPr>
            <w:tcW w:w="1547" w:type="dxa"/>
            <w:tcBorders>
              <w:bottom w:val="single" w:sz="8" w:space="0" w:color="000000"/>
            </w:tcBorders>
          </w:tcPr>
          <w:p>
            <w:pPr>
              <w:pStyle w:val="TableParagraph"/>
              <w:spacing w:line="184" w:lineRule="exact"/>
              <w:ind w:left="414"/>
              <w:rPr>
                <w:sz w:val="18"/>
              </w:rPr>
            </w:pPr>
            <w:r>
              <w:rPr>
                <w:spacing w:val="-2"/>
                <w:sz w:val="18"/>
              </w:rPr>
              <w:t>3.514887</w:t>
            </w:r>
          </w:p>
        </w:tc>
        <w:tc>
          <w:tcPr>
            <w:tcW w:w="2042" w:type="dxa"/>
            <w:tcBorders>
              <w:bottom w:val="single" w:sz="8" w:space="0" w:color="000000"/>
            </w:tcBorders>
          </w:tcPr>
          <w:p>
            <w:pPr>
              <w:pStyle w:val="TableParagraph"/>
              <w:spacing w:line="184" w:lineRule="exact"/>
              <w:ind w:left="458"/>
              <w:rPr>
                <w:sz w:val="18"/>
              </w:rPr>
            </w:pPr>
            <w:r>
              <w:rPr>
                <w:spacing w:val="-2"/>
                <w:sz w:val="18"/>
              </w:rPr>
              <w:t>1.171629</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1"/>
        <w:rPr>
          <w:sz w:val="18"/>
        </w:rPr>
      </w:pPr>
    </w:p>
    <w:p>
      <w:pPr>
        <w:spacing w:before="0"/>
        <w:ind w:left="1254" w:right="1494" w:firstLine="0"/>
        <w:jc w:val="center"/>
        <w:rPr>
          <w:sz w:val="18"/>
        </w:rPr>
      </w:pPr>
      <w:r>
        <w:rPr>
          <w:sz w:val="18"/>
        </w:rPr>
        <w:t>METHOD</w:t>
      </w:r>
      <w:r>
        <w:rPr>
          <w:spacing w:val="-5"/>
          <w:sz w:val="18"/>
        </w:rPr>
        <w:t> </w:t>
      </w:r>
      <w:r>
        <w:rPr>
          <w:spacing w:val="-10"/>
          <w:sz w:val="18"/>
        </w:rPr>
        <w:t>4</w:t>
      </w:r>
    </w:p>
    <w:p>
      <w:pPr>
        <w:spacing w:after="0"/>
        <w:jc w:val="center"/>
        <w:rPr>
          <w:sz w:val="18"/>
        </w:rPr>
        <w:sectPr>
          <w:pgSz w:w="12240" w:h="15840"/>
          <w:pgMar w:header="0" w:footer="1015" w:top="1360" w:bottom="1200" w:left="240" w:right="0"/>
        </w:sect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135"/>
        <w:gridCol w:w="617"/>
        <w:gridCol w:w="1071"/>
        <w:gridCol w:w="617"/>
        <w:gridCol w:w="1135"/>
        <w:gridCol w:w="615"/>
        <w:gridCol w:w="975"/>
        <w:gridCol w:w="584"/>
        <w:gridCol w:w="1134"/>
        <w:gridCol w:w="553"/>
        <w:gridCol w:w="1052"/>
        <w:gridCol w:w="1052"/>
      </w:tblGrid>
      <w:tr>
        <w:trPr>
          <w:trHeight w:val="205" w:hRule="atLeast"/>
        </w:trPr>
        <w:tc>
          <w:tcPr>
            <w:tcW w:w="11620" w:type="dxa"/>
            <w:gridSpan w:val="13"/>
          </w:tcPr>
          <w:p>
            <w:pPr>
              <w:pStyle w:val="TableParagraph"/>
              <w:ind w:left="2767"/>
              <w:rPr>
                <w:sz w:val="18"/>
              </w:rPr>
            </w:pPr>
            <w:r>
              <w:rPr>
                <w:sz w:val="18"/>
              </w:rPr>
              <w:t>INTRA</w:t>
            </w:r>
            <w:r>
              <w:rPr>
                <w:spacing w:val="-7"/>
                <w:sz w:val="18"/>
              </w:rPr>
              <w:t> </w:t>
            </w:r>
            <w:r>
              <w:rPr>
                <w:sz w:val="18"/>
              </w:rPr>
              <w:t>DAY</w:t>
            </w:r>
            <w:r>
              <w:rPr>
                <w:spacing w:val="-2"/>
                <w:sz w:val="18"/>
              </w:rPr>
              <w:t> </w:t>
            </w:r>
            <w:r>
              <w:rPr>
                <w:sz w:val="18"/>
              </w:rPr>
              <w:t>FOR</w:t>
            </w:r>
            <w:r>
              <w:rPr>
                <w:spacing w:val="-2"/>
                <w:sz w:val="18"/>
              </w:rPr>
              <w:t> </w:t>
            </w:r>
            <w:r>
              <w:rPr>
                <w:sz w:val="18"/>
              </w:rPr>
              <w:t>METHOD </w:t>
            </w:r>
            <w:r>
              <w:rPr>
                <w:spacing w:val="-10"/>
                <w:sz w:val="18"/>
              </w:rPr>
              <w:t>4</w:t>
            </w:r>
          </w:p>
        </w:tc>
      </w:tr>
      <w:tr>
        <w:trPr>
          <w:trHeight w:val="414" w:hRule="atLeast"/>
        </w:trPr>
        <w:tc>
          <w:tcPr>
            <w:tcW w:w="2215" w:type="dxa"/>
            <w:gridSpan w:val="2"/>
          </w:tcPr>
          <w:p>
            <w:pPr>
              <w:pStyle w:val="TableParagraph"/>
              <w:spacing w:line="204" w:lineRule="exact"/>
              <w:ind w:left="107"/>
              <w:rPr>
                <w:sz w:val="18"/>
              </w:rPr>
            </w:pPr>
            <w:r>
              <w:rPr>
                <w:sz w:val="18"/>
              </w:rPr>
              <w:t>0</w:t>
            </w:r>
            <w:r>
              <w:rPr>
                <w:spacing w:val="1"/>
                <w:sz w:val="18"/>
              </w:rPr>
              <w:t> </w:t>
            </w:r>
            <w:r>
              <w:rPr>
                <w:spacing w:val="-2"/>
                <w:sz w:val="18"/>
              </w:rPr>
              <w:t>(hrs)</w:t>
            </w:r>
          </w:p>
        </w:tc>
        <w:tc>
          <w:tcPr>
            <w:tcW w:w="1688" w:type="dxa"/>
            <w:gridSpan w:val="2"/>
          </w:tcPr>
          <w:p>
            <w:pPr>
              <w:pStyle w:val="TableParagraph"/>
              <w:spacing w:line="204" w:lineRule="exact"/>
              <w:ind w:left="108"/>
              <w:rPr>
                <w:sz w:val="18"/>
              </w:rPr>
            </w:pPr>
            <w:r>
              <w:rPr>
                <w:spacing w:val="-2"/>
                <w:sz w:val="18"/>
              </w:rPr>
              <w:t>1(hrs)</w:t>
            </w:r>
          </w:p>
        </w:tc>
        <w:tc>
          <w:tcPr>
            <w:tcW w:w="1752" w:type="dxa"/>
            <w:gridSpan w:val="2"/>
          </w:tcPr>
          <w:p>
            <w:pPr>
              <w:pStyle w:val="TableParagraph"/>
              <w:spacing w:line="204" w:lineRule="exact"/>
              <w:ind w:left="108"/>
              <w:rPr>
                <w:sz w:val="18"/>
              </w:rPr>
            </w:pPr>
            <w:r>
              <w:rPr>
                <w:sz w:val="18"/>
              </w:rPr>
              <w:t>2</w:t>
            </w:r>
            <w:r>
              <w:rPr>
                <w:spacing w:val="1"/>
                <w:sz w:val="18"/>
              </w:rPr>
              <w:t> </w:t>
            </w:r>
            <w:r>
              <w:rPr>
                <w:spacing w:val="-2"/>
                <w:sz w:val="18"/>
              </w:rPr>
              <w:t>(hrs)</w:t>
            </w:r>
          </w:p>
        </w:tc>
        <w:tc>
          <w:tcPr>
            <w:tcW w:w="1590" w:type="dxa"/>
            <w:gridSpan w:val="2"/>
          </w:tcPr>
          <w:p>
            <w:pPr>
              <w:pStyle w:val="TableParagraph"/>
              <w:spacing w:line="204" w:lineRule="exact"/>
              <w:ind w:left="108"/>
              <w:rPr>
                <w:sz w:val="18"/>
              </w:rPr>
            </w:pPr>
            <w:r>
              <w:rPr>
                <w:sz w:val="18"/>
              </w:rPr>
              <w:t>3</w:t>
            </w:r>
            <w:r>
              <w:rPr>
                <w:spacing w:val="1"/>
                <w:sz w:val="18"/>
              </w:rPr>
              <w:t> </w:t>
            </w:r>
            <w:r>
              <w:rPr>
                <w:spacing w:val="-2"/>
                <w:sz w:val="18"/>
              </w:rPr>
              <w:t>(hrs)</w:t>
            </w:r>
          </w:p>
        </w:tc>
        <w:tc>
          <w:tcPr>
            <w:tcW w:w="1718" w:type="dxa"/>
            <w:gridSpan w:val="2"/>
          </w:tcPr>
          <w:p>
            <w:pPr>
              <w:pStyle w:val="TableParagraph"/>
              <w:spacing w:line="204" w:lineRule="exact"/>
              <w:ind w:left="107"/>
              <w:rPr>
                <w:sz w:val="18"/>
              </w:rPr>
            </w:pPr>
            <w:r>
              <w:rPr>
                <w:sz w:val="18"/>
              </w:rPr>
              <w:t>4</w:t>
            </w:r>
            <w:r>
              <w:rPr>
                <w:spacing w:val="1"/>
                <w:sz w:val="18"/>
              </w:rPr>
              <w:t> </w:t>
            </w:r>
            <w:r>
              <w:rPr>
                <w:spacing w:val="-2"/>
                <w:sz w:val="18"/>
              </w:rPr>
              <w:t>(hrs)</w:t>
            </w:r>
          </w:p>
        </w:tc>
        <w:tc>
          <w:tcPr>
            <w:tcW w:w="1605" w:type="dxa"/>
            <w:gridSpan w:val="2"/>
          </w:tcPr>
          <w:p>
            <w:pPr>
              <w:pStyle w:val="TableParagraph"/>
              <w:spacing w:line="204" w:lineRule="exact"/>
              <w:ind w:left="106"/>
              <w:rPr>
                <w:sz w:val="18"/>
              </w:rPr>
            </w:pPr>
            <w:r>
              <w:rPr>
                <w:sz w:val="18"/>
              </w:rPr>
              <w:t>5</w:t>
            </w:r>
            <w:r>
              <w:rPr>
                <w:spacing w:val="1"/>
                <w:sz w:val="18"/>
              </w:rPr>
              <w:t> </w:t>
            </w:r>
            <w:r>
              <w:rPr>
                <w:spacing w:val="-2"/>
                <w:sz w:val="18"/>
              </w:rPr>
              <w:t>(hrs)</w:t>
            </w:r>
          </w:p>
        </w:tc>
        <w:tc>
          <w:tcPr>
            <w:tcW w:w="1052" w:type="dxa"/>
          </w:tcPr>
          <w:p>
            <w:pPr>
              <w:pStyle w:val="TableParagraph"/>
              <w:spacing w:line="206" w:lineRule="exact"/>
              <w:ind w:left="104" w:right="346"/>
              <w:rPr>
                <w:sz w:val="18"/>
              </w:rPr>
            </w:pPr>
            <w:r>
              <w:rPr>
                <w:spacing w:val="-4"/>
                <w:sz w:val="18"/>
              </w:rPr>
              <w:t>TOTAL MEAN</w:t>
            </w:r>
          </w:p>
        </w:tc>
      </w:tr>
      <w:tr>
        <w:trPr>
          <w:trHeight w:val="205" w:hRule="atLeast"/>
        </w:trPr>
        <w:tc>
          <w:tcPr>
            <w:tcW w:w="1080" w:type="dxa"/>
          </w:tcPr>
          <w:p>
            <w:pPr>
              <w:pStyle w:val="TableParagraph"/>
              <w:ind w:left="107"/>
              <w:rPr>
                <w:sz w:val="18"/>
              </w:rPr>
            </w:pPr>
            <w:r>
              <w:rPr>
                <w:spacing w:val="-4"/>
                <w:sz w:val="18"/>
              </w:rPr>
              <w:t>Cyc.</w:t>
            </w:r>
          </w:p>
        </w:tc>
        <w:tc>
          <w:tcPr>
            <w:tcW w:w="1135" w:type="dxa"/>
          </w:tcPr>
          <w:p>
            <w:pPr>
              <w:pStyle w:val="TableParagraph"/>
              <w:ind w:left="108"/>
              <w:rPr>
                <w:sz w:val="18"/>
              </w:rPr>
            </w:pPr>
            <w:r>
              <w:rPr>
                <w:spacing w:val="-4"/>
                <w:sz w:val="18"/>
              </w:rPr>
              <w:t>Abs.</w:t>
            </w:r>
          </w:p>
        </w:tc>
        <w:tc>
          <w:tcPr>
            <w:tcW w:w="617" w:type="dxa"/>
          </w:tcPr>
          <w:p>
            <w:pPr>
              <w:pStyle w:val="TableParagraph"/>
              <w:ind w:left="108"/>
              <w:rPr>
                <w:sz w:val="18"/>
              </w:rPr>
            </w:pPr>
            <w:r>
              <w:rPr>
                <w:spacing w:val="-4"/>
                <w:sz w:val="18"/>
              </w:rPr>
              <w:t>Cyc.</w:t>
            </w:r>
          </w:p>
        </w:tc>
        <w:tc>
          <w:tcPr>
            <w:tcW w:w="1071" w:type="dxa"/>
          </w:tcPr>
          <w:p>
            <w:pPr>
              <w:pStyle w:val="TableParagraph"/>
              <w:ind w:left="108"/>
              <w:rPr>
                <w:sz w:val="18"/>
              </w:rPr>
            </w:pPr>
            <w:r>
              <w:rPr>
                <w:spacing w:val="-4"/>
                <w:sz w:val="18"/>
              </w:rPr>
              <w:t>Abs.</w:t>
            </w:r>
          </w:p>
        </w:tc>
        <w:tc>
          <w:tcPr>
            <w:tcW w:w="617" w:type="dxa"/>
          </w:tcPr>
          <w:p>
            <w:pPr>
              <w:pStyle w:val="TableParagraph"/>
              <w:ind w:left="108"/>
              <w:rPr>
                <w:sz w:val="18"/>
              </w:rPr>
            </w:pPr>
            <w:r>
              <w:rPr>
                <w:spacing w:val="-4"/>
                <w:sz w:val="18"/>
              </w:rPr>
              <w:t>Cyc.</w:t>
            </w:r>
          </w:p>
        </w:tc>
        <w:tc>
          <w:tcPr>
            <w:tcW w:w="1135" w:type="dxa"/>
          </w:tcPr>
          <w:p>
            <w:pPr>
              <w:pStyle w:val="TableParagraph"/>
              <w:ind w:left="108"/>
              <w:rPr>
                <w:sz w:val="18"/>
              </w:rPr>
            </w:pPr>
            <w:r>
              <w:rPr>
                <w:spacing w:val="-4"/>
                <w:sz w:val="18"/>
              </w:rPr>
              <w:t>Abs.</w:t>
            </w:r>
          </w:p>
        </w:tc>
        <w:tc>
          <w:tcPr>
            <w:tcW w:w="615" w:type="dxa"/>
          </w:tcPr>
          <w:p>
            <w:pPr>
              <w:pStyle w:val="TableParagraph"/>
              <w:ind w:left="108"/>
              <w:rPr>
                <w:sz w:val="18"/>
              </w:rPr>
            </w:pPr>
            <w:r>
              <w:rPr>
                <w:spacing w:val="-4"/>
                <w:sz w:val="18"/>
              </w:rPr>
              <w:t>Cyc.</w:t>
            </w:r>
          </w:p>
        </w:tc>
        <w:tc>
          <w:tcPr>
            <w:tcW w:w="975" w:type="dxa"/>
          </w:tcPr>
          <w:p>
            <w:pPr>
              <w:pStyle w:val="TableParagraph"/>
              <w:ind w:left="108"/>
              <w:rPr>
                <w:sz w:val="18"/>
              </w:rPr>
            </w:pPr>
            <w:r>
              <w:rPr>
                <w:spacing w:val="-4"/>
                <w:sz w:val="18"/>
              </w:rPr>
              <w:t>Abs.</w:t>
            </w:r>
          </w:p>
        </w:tc>
        <w:tc>
          <w:tcPr>
            <w:tcW w:w="584" w:type="dxa"/>
          </w:tcPr>
          <w:p>
            <w:pPr>
              <w:pStyle w:val="TableParagraph"/>
              <w:ind w:left="107"/>
              <w:rPr>
                <w:sz w:val="18"/>
              </w:rPr>
            </w:pPr>
            <w:r>
              <w:rPr>
                <w:spacing w:val="-4"/>
                <w:sz w:val="18"/>
              </w:rPr>
              <w:t>Cyc.</w:t>
            </w:r>
          </w:p>
        </w:tc>
        <w:tc>
          <w:tcPr>
            <w:tcW w:w="1134" w:type="dxa"/>
          </w:tcPr>
          <w:p>
            <w:pPr>
              <w:pStyle w:val="TableParagraph"/>
              <w:ind w:left="104"/>
              <w:rPr>
                <w:sz w:val="18"/>
              </w:rPr>
            </w:pPr>
            <w:r>
              <w:rPr>
                <w:spacing w:val="-4"/>
                <w:sz w:val="18"/>
              </w:rPr>
              <w:t>Abs.</w:t>
            </w:r>
          </w:p>
        </w:tc>
        <w:tc>
          <w:tcPr>
            <w:tcW w:w="553" w:type="dxa"/>
          </w:tcPr>
          <w:p>
            <w:pPr>
              <w:pStyle w:val="TableParagraph"/>
              <w:ind w:left="106"/>
              <w:rPr>
                <w:sz w:val="18"/>
              </w:rPr>
            </w:pPr>
            <w:r>
              <w:rPr>
                <w:spacing w:val="-4"/>
                <w:sz w:val="18"/>
              </w:rPr>
              <w:t>Cyc.</w:t>
            </w:r>
          </w:p>
        </w:tc>
        <w:tc>
          <w:tcPr>
            <w:tcW w:w="1052" w:type="dxa"/>
          </w:tcPr>
          <w:p>
            <w:pPr>
              <w:pStyle w:val="TableParagraph"/>
              <w:ind w:left="105"/>
              <w:rPr>
                <w:sz w:val="18"/>
              </w:rPr>
            </w:pPr>
            <w:r>
              <w:rPr>
                <w:spacing w:val="-4"/>
                <w:sz w:val="18"/>
              </w:rPr>
              <w:t>Abs.</w:t>
            </w:r>
          </w:p>
        </w:tc>
        <w:tc>
          <w:tcPr>
            <w:tcW w:w="1052" w:type="dxa"/>
          </w:tcPr>
          <w:p>
            <w:pPr>
              <w:pStyle w:val="TableParagraph"/>
              <w:spacing w:line="240" w:lineRule="auto"/>
              <w:rPr>
                <w:sz w:val="14"/>
              </w:rPr>
            </w:pPr>
          </w:p>
        </w:tc>
      </w:tr>
      <w:tr>
        <w:trPr>
          <w:trHeight w:val="208" w:hRule="atLeast"/>
        </w:trPr>
        <w:tc>
          <w:tcPr>
            <w:tcW w:w="1080" w:type="dxa"/>
          </w:tcPr>
          <w:p>
            <w:pPr>
              <w:pStyle w:val="TableParagraph"/>
              <w:spacing w:line="188" w:lineRule="exact"/>
              <w:ind w:left="107"/>
              <w:rPr>
                <w:sz w:val="18"/>
              </w:rPr>
            </w:pPr>
            <w:r>
              <w:rPr>
                <w:spacing w:val="-10"/>
                <w:sz w:val="18"/>
              </w:rPr>
              <w:t>1</w:t>
            </w:r>
          </w:p>
        </w:tc>
        <w:tc>
          <w:tcPr>
            <w:tcW w:w="1135" w:type="dxa"/>
          </w:tcPr>
          <w:p>
            <w:pPr>
              <w:pStyle w:val="TableParagraph"/>
              <w:spacing w:line="188" w:lineRule="exact"/>
              <w:ind w:left="108"/>
              <w:rPr>
                <w:sz w:val="18"/>
              </w:rPr>
            </w:pPr>
            <w:r>
              <w:rPr>
                <w:spacing w:val="-2"/>
                <w:sz w:val="18"/>
              </w:rPr>
              <w:t>0.739</w:t>
            </w:r>
          </w:p>
        </w:tc>
        <w:tc>
          <w:tcPr>
            <w:tcW w:w="617" w:type="dxa"/>
          </w:tcPr>
          <w:p>
            <w:pPr>
              <w:pStyle w:val="TableParagraph"/>
              <w:spacing w:line="188" w:lineRule="exact"/>
              <w:ind w:left="108"/>
              <w:rPr>
                <w:sz w:val="18"/>
              </w:rPr>
            </w:pPr>
            <w:r>
              <w:rPr>
                <w:spacing w:val="-10"/>
                <w:sz w:val="18"/>
              </w:rPr>
              <w:t>1</w:t>
            </w:r>
          </w:p>
        </w:tc>
        <w:tc>
          <w:tcPr>
            <w:tcW w:w="1071" w:type="dxa"/>
          </w:tcPr>
          <w:p>
            <w:pPr>
              <w:pStyle w:val="TableParagraph"/>
              <w:spacing w:line="188" w:lineRule="exact"/>
              <w:ind w:left="108"/>
              <w:rPr>
                <w:sz w:val="18"/>
              </w:rPr>
            </w:pPr>
            <w:r>
              <w:rPr>
                <w:spacing w:val="-2"/>
                <w:sz w:val="18"/>
              </w:rPr>
              <w:t>0.738</w:t>
            </w:r>
          </w:p>
        </w:tc>
        <w:tc>
          <w:tcPr>
            <w:tcW w:w="617" w:type="dxa"/>
          </w:tcPr>
          <w:p>
            <w:pPr>
              <w:pStyle w:val="TableParagraph"/>
              <w:spacing w:line="188" w:lineRule="exact"/>
              <w:ind w:left="108"/>
              <w:rPr>
                <w:sz w:val="18"/>
              </w:rPr>
            </w:pPr>
            <w:r>
              <w:rPr>
                <w:spacing w:val="-10"/>
                <w:sz w:val="18"/>
              </w:rPr>
              <w:t>1</w:t>
            </w:r>
          </w:p>
        </w:tc>
        <w:tc>
          <w:tcPr>
            <w:tcW w:w="1135" w:type="dxa"/>
          </w:tcPr>
          <w:p>
            <w:pPr>
              <w:pStyle w:val="TableParagraph"/>
              <w:spacing w:line="188" w:lineRule="exact"/>
              <w:ind w:left="108"/>
              <w:rPr>
                <w:sz w:val="18"/>
              </w:rPr>
            </w:pPr>
            <w:r>
              <w:rPr>
                <w:spacing w:val="-2"/>
                <w:sz w:val="18"/>
              </w:rPr>
              <w:t>0.741</w:t>
            </w:r>
          </w:p>
        </w:tc>
        <w:tc>
          <w:tcPr>
            <w:tcW w:w="615" w:type="dxa"/>
          </w:tcPr>
          <w:p>
            <w:pPr>
              <w:pStyle w:val="TableParagraph"/>
              <w:spacing w:line="188" w:lineRule="exact"/>
              <w:ind w:left="108"/>
              <w:rPr>
                <w:sz w:val="18"/>
              </w:rPr>
            </w:pPr>
            <w:r>
              <w:rPr>
                <w:spacing w:val="-10"/>
                <w:sz w:val="18"/>
              </w:rPr>
              <w:t>1</w:t>
            </w:r>
          </w:p>
        </w:tc>
        <w:tc>
          <w:tcPr>
            <w:tcW w:w="975" w:type="dxa"/>
          </w:tcPr>
          <w:p>
            <w:pPr>
              <w:pStyle w:val="TableParagraph"/>
              <w:spacing w:line="188" w:lineRule="exact"/>
              <w:ind w:left="108"/>
              <w:rPr>
                <w:sz w:val="18"/>
              </w:rPr>
            </w:pPr>
            <w:r>
              <w:rPr>
                <w:spacing w:val="-2"/>
                <w:sz w:val="18"/>
              </w:rPr>
              <w:t>0.738</w:t>
            </w:r>
          </w:p>
        </w:tc>
        <w:tc>
          <w:tcPr>
            <w:tcW w:w="584" w:type="dxa"/>
          </w:tcPr>
          <w:p>
            <w:pPr>
              <w:pStyle w:val="TableParagraph"/>
              <w:spacing w:line="188" w:lineRule="exact"/>
              <w:ind w:left="107"/>
              <w:rPr>
                <w:sz w:val="18"/>
              </w:rPr>
            </w:pPr>
            <w:r>
              <w:rPr>
                <w:spacing w:val="-10"/>
                <w:sz w:val="18"/>
              </w:rPr>
              <w:t>1</w:t>
            </w:r>
          </w:p>
        </w:tc>
        <w:tc>
          <w:tcPr>
            <w:tcW w:w="1134" w:type="dxa"/>
          </w:tcPr>
          <w:p>
            <w:pPr>
              <w:pStyle w:val="TableParagraph"/>
              <w:spacing w:line="188" w:lineRule="exact"/>
              <w:ind w:left="104"/>
              <w:rPr>
                <w:sz w:val="18"/>
              </w:rPr>
            </w:pPr>
            <w:r>
              <w:rPr>
                <w:spacing w:val="-2"/>
                <w:sz w:val="18"/>
              </w:rPr>
              <w:t>0.738</w:t>
            </w:r>
          </w:p>
        </w:tc>
        <w:tc>
          <w:tcPr>
            <w:tcW w:w="553" w:type="dxa"/>
          </w:tcPr>
          <w:p>
            <w:pPr>
              <w:pStyle w:val="TableParagraph"/>
              <w:spacing w:line="188" w:lineRule="exact"/>
              <w:ind w:left="106"/>
              <w:rPr>
                <w:sz w:val="18"/>
              </w:rPr>
            </w:pPr>
            <w:r>
              <w:rPr>
                <w:spacing w:val="-10"/>
                <w:sz w:val="18"/>
              </w:rPr>
              <w:t>1</w:t>
            </w:r>
          </w:p>
        </w:tc>
        <w:tc>
          <w:tcPr>
            <w:tcW w:w="1052" w:type="dxa"/>
          </w:tcPr>
          <w:p>
            <w:pPr>
              <w:pStyle w:val="TableParagraph"/>
              <w:spacing w:line="188" w:lineRule="exact"/>
              <w:ind w:left="105"/>
              <w:rPr>
                <w:sz w:val="18"/>
              </w:rPr>
            </w:pPr>
            <w:r>
              <w:rPr>
                <w:spacing w:val="-2"/>
                <w:sz w:val="18"/>
              </w:rPr>
              <w:t>0.742</w:t>
            </w:r>
          </w:p>
        </w:tc>
        <w:tc>
          <w:tcPr>
            <w:tcW w:w="1052" w:type="dxa"/>
          </w:tcPr>
          <w:p>
            <w:pPr>
              <w:pStyle w:val="TableParagraph"/>
              <w:spacing w:line="240" w:lineRule="auto"/>
              <w:rPr>
                <w:sz w:val="14"/>
              </w:rPr>
            </w:pPr>
          </w:p>
        </w:tc>
      </w:tr>
      <w:tr>
        <w:trPr>
          <w:trHeight w:val="205" w:hRule="atLeast"/>
        </w:trPr>
        <w:tc>
          <w:tcPr>
            <w:tcW w:w="1080" w:type="dxa"/>
          </w:tcPr>
          <w:p>
            <w:pPr>
              <w:pStyle w:val="TableParagraph"/>
              <w:ind w:left="107"/>
              <w:rPr>
                <w:sz w:val="18"/>
              </w:rPr>
            </w:pPr>
            <w:r>
              <w:rPr>
                <w:spacing w:val="-10"/>
                <w:sz w:val="18"/>
              </w:rPr>
              <w:t>2</w:t>
            </w:r>
          </w:p>
        </w:tc>
        <w:tc>
          <w:tcPr>
            <w:tcW w:w="1135" w:type="dxa"/>
          </w:tcPr>
          <w:p>
            <w:pPr>
              <w:pStyle w:val="TableParagraph"/>
              <w:ind w:left="108"/>
              <w:rPr>
                <w:sz w:val="18"/>
              </w:rPr>
            </w:pPr>
            <w:r>
              <w:rPr>
                <w:spacing w:val="-2"/>
                <w:sz w:val="18"/>
              </w:rPr>
              <w:t>0.740</w:t>
            </w:r>
          </w:p>
        </w:tc>
        <w:tc>
          <w:tcPr>
            <w:tcW w:w="617" w:type="dxa"/>
          </w:tcPr>
          <w:p>
            <w:pPr>
              <w:pStyle w:val="TableParagraph"/>
              <w:ind w:left="108"/>
              <w:rPr>
                <w:sz w:val="18"/>
              </w:rPr>
            </w:pPr>
            <w:r>
              <w:rPr>
                <w:spacing w:val="-10"/>
                <w:sz w:val="18"/>
              </w:rPr>
              <w:t>2</w:t>
            </w:r>
          </w:p>
        </w:tc>
        <w:tc>
          <w:tcPr>
            <w:tcW w:w="1071" w:type="dxa"/>
          </w:tcPr>
          <w:p>
            <w:pPr>
              <w:pStyle w:val="TableParagraph"/>
              <w:ind w:left="108"/>
              <w:rPr>
                <w:sz w:val="18"/>
              </w:rPr>
            </w:pPr>
            <w:r>
              <w:rPr>
                <w:spacing w:val="-2"/>
                <w:sz w:val="18"/>
              </w:rPr>
              <w:t>0.737</w:t>
            </w:r>
          </w:p>
        </w:tc>
        <w:tc>
          <w:tcPr>
            <w:tcW w:w="617" w:type="dxa"/>
          </w:tcPr>
          <w:p>
            <w:pPr>
              <w:pStyle w:val="TableParagraph"/>
              <w:ind w:left="108"/>
              <w:rPr>
                <w:sz w:val="18"/>
              </w:rPr>
            </w:pPr>
            <w:r>
              <w:rPr>
                <w:spacing w:val="-10"/>
                <w:sz w:val="18"/>
              </w:rPr>
              <w:t>2</w:t>
            </w:r>
          </w:p>
        </w:tc>
        <w:tc>
          <w:tcPr>
            <w:tcW w:w="1135" w:type="dxa"/>
          </w:tcPr>
          <w:p>
            <w:pPr>
              <w:pStyle w:val="TableParagraph"/>
              <w:ind w:left="108"/>
              <w:rPr>
                <w:sz w:val="18"/>
              </w:rPr>
            </w:pPr>
            <w:r>
              <w:rPr>
                <w:spacing w:val="-2"/>
                <w:sz w:val="18"/>
              </w:rPr>
              <w:t>0.740</w:t>
            </w:r>
          </w:p>
        </w:tc>
        <w:tc>
          <w:tcPr>
            <w:tcW w:w="615" w:type="dxa"/>
          </w:tcPr>
          <w:p>
            <w:pPr>
              <w:pStyle w:val="TableParagraph"/>
              <w:ind w:left="108"/>
              <w:rPr>
                <w:sz w:val="18"/>
              </w:rPr>
            </w:pPr>
            <w:r>
              <w:rPr>
                <w:spacing w:val="-10"/>
                <w:sz w:val="18"/>
              </w:rPr>
              <w:t>2</w:t>
            </w:r>
          </w:p>
        </w:tc>
        <w:tc>
          <w:tcPr>
            <w:tcW w:w="975" w:type="dxa"/>
          </w:tcPr>
          <w:p>
            <w:pPr>
              <w:pStyle w:val="TableParagraph"/>
              <w:ind w:left="108"/>
              <w:rPr>
                <w:sz w:val="18"/>
              </w:rPr>
            </w:pPr>
            <w:r>
              <w:rPr>
                <w:spacing w:val="-2"/>
                <w:sz w:val="18"/>
              </w:rPr>
              <w:t>0.738</w:t>
            </w:r>
          </w:p>
        </w:tc>
        <w:tc>
          <w:tcPr>
            <w:tcW w:w="584" w:type="dxa"/>
          </w:tcPr>
          <w:p>
            <w:pPr>
              <w:pStyle w:val="TableParagraph"/>
              <w:ind w:left="107"/>
              <w:rPr>
                <w:sz w:val="18"/>
              </w:rPr>
            </w:pPr>
            <w:r>
              <w:rPr>
                <w:spacing w:val="-10"/>
                <w:sz w:val="18"/>
              </w:rPr>
              <w:t>2</w:t>
            </w:r>
          </w:p>
        </w:tc>
        <w:tc>
          <w:tcPr>
            <w:tcW w:w="1134" w:type="dxa"/>
          </w:tcPr>
          <w:p>
            <w:pPr>
              <w:pStyle w:val="TableParagraph"/>
              <w:ind w:left="104"/>
              <w:rPr>
                <w:sz w:val="18"/>
              </w:rPr>
            </w:pPr>
            <w:r>
              <w:rPr>
                <w:spacing w:val="-2"/>
                <w:sz w:val="18"/>
              </w:rPr>
              <w:t>0.737</w:t>
            </w:r>
          </w:p>
        </w:tc>
        <w:tc>
          <w:tcPr>
            <w:tcW w:w="553" w:type="dxa"/>
          </w:tcPr>
          <w:p>
            <w:pPr>
              <w:pStyle w:val="TableParagraph"/>
              <w:ind w:left="106"/>
              <w:rPr>
                <w:sz w:val="18"/>
              </w:rPr>
            </w:pPr>
            <w:r>
              <w:rPr>
                <w:spacing w:val="-10"/>
                <w:sz w:val="18"/>
              </w:rPr>
              <w:t>2</w:t>
            </w:r>
          </w:p>
        </w:tc>
        <w:tc>
          <w:tcPr>
            <w:tcW w:w="1052" w:type="dxa"/>
          </w:tcPr>
          <w:p>
            <w:pPr>
              <w:pStyle w:val="TableParagraph"/>
              <w:ind w:left="105"/>
              <w:rPr>
                <w:sz w:val="18"/>
              </w:rPr>
            </w:pPr>
            <w:r>
              <w:rPr>
                <w:spacing w:val="-2"/>
                <w:sz w:val="18"/>
              </w:rPr>
              <w:t>0.744</w:t>
            </w:r>
          </w:p>
        </w:tc>
        <w:tc>
          <w:tcPr>
            <w:tcW w:w="1052" w:type="dxa"/>
          </w:tcPr>
          <w:p>
            <w:pPr>
              <w:pStyle w:val="TableParagraph"/>
              <w:spacing w:line="240" w:lineRule="auto"/>
              <w:rPr>
                <w:sz w:val="14"/>
              </w:rPr>
            </w:pPr>
          </w:p>
        </w:tc>
      </w:tr>
      <w:tr>
        <w:trPr>
          <w:trHeight w:val="208" w:hRule="atLeast"/>
        </w:trPr>
        <w:tc>
          <w:tcPr>
            <w:tcW w:w="1080" w:type="dxa"/>
          </w:tcPr>
          <w:p>
            <w:pPr>
              <w:pStyle w:val="TableParagraph"/>
              <w:spacing w:line="188" w:lineRule="exact"/>
              <w:ind w:left="107"/>
              <w:rPr>
                <w:sz w:val="18"/>
              </w:rPr>
            </w:pPr>
            <w:r>
              <w:rPr>
                <w:spacing w:val="-10"/>
                <w:sz w:val="18"/>
              </w:rPr>
              <w:t>3</w:t>
            </w:r>
          </w:p>
        </w:tc>
        <w:tc>
          <w:tcPr>
            <w:tcW w:w="1135" w:type="dxa"/>
          </w:tcPr>
          <w:p>
            <w:pPr>
              <w:pStyle w:val="TableParagraph"/>
              <w:spacing w:line="188" w:lineRule="exact"/>
              <w:ind w:left="108"/>
              <w:rPr>
                <w:sz w:val="18"/>
              </w:rPr>
            </w:pPr>
            <w:r>
              <w:rPr>
                <w:spacing w:val="-2"/>
                <w:sz w:val="18"/>
              </w:rPr>
              <w:t>0.739</w:t>
            </w:r>
          </w:p>
        </w:tc>
        <w:tc>
          <w:tcPr>
            <w:tcW w:w="617" w:type="dxa"/>
          </w:tcPr>
          <w:p>
            <w:pPr>
              <w:pStyle w:val="TableParagraph"/>
              <w:spacing w:line="188" w:lineRule="exact"/>
              <w:ind w:left="108"/>
              <w:rPr>
                <w:sz w:val="18"/>
              </w:rPr>
            </w:pPr>
            <w:r>
              <w:rPr>
                <w:spacing w:val="-10"/>
                <w:sz w:val="18"/>
              </w:rPr>
              <w:t>3</w:t>
            </w:r>
          </w:p>
        </w:tc>
        <w:tc>
          <w:tcPr>
            <w:tcW w:w="1071" w:type="dxa"/>
          </w:tcPr>
          <w:p>
            <w:pPr>
              <w:pStyle w:val="TableParagraph"/>
              <w:spacing w:line="188" w:lineRule="exact"/>
              <w:ind w:left="108"/>
              <w:rPr>
                <w:sz w:val="18"/>
              </w:rPr>
            </w:pPr>
            <w:r>
              <w:rPr>
                <w:spacing w:val="-2"/>
                <w:sz w:val="18"/>
              </w:rPr>
              <w:t>0.739</w:t>
            </w:r>
          </w:p>
        </w:tc>
        <w:tc>
          <w:tcPr>
            <w:tcW w:w="617" w:type="dxa"/>
          </w:tcPr>
          <w:p>
            <w:pPr>
              <w:pStyle w:val="TableParagraph"/>
              <w:spacing w:line="188" w:lineRule="exact"/>
              <w:ind w:left="108"/>
              <w:rPr>
                <w:sz w:val="18"/>
              </w:rPr>
            </w:pPr>
            <w:r>
              <w:rPr>
                <w:spacing w:val="-10"/>
                <w:sz w:val="18"/>
              </w:rPr>
              <w:t>3</w:t>
            </w:r>
          </w:p>
        </w:tc>
        <w:tc>
          <w:tcPr>
            <w:tcW w:w="1135" w:type="dxa"/>
          </w:tcPr>
          <w:p>
            <w:pPr>
              <w:pStyle w:val="TableParagraph"/>
              <w:spacing w:line="188" w:lineRule="exact"/>
              <w:ind w:left="108"/>
              <w:rPr>
                <w:sz w:val="18"/>
              </w:rPr>
            </w:pPr>
            <w:r>
              <w:rPr>
                <w:spacing w:val="-2"/>
                <w:sz w:val="18"/>
              </w:rPr>
              <w:t>0.736</w:t>
            </w:r>
          </w:p>
        </w:tc>
        <w:tc>
          <w:tcPr>
            <w:tcW w:w="615" w:type="dxa"/>
          </w:tcPr>
          <w:p>
            <w:pPr>
              <w:pStyle w:val="TableParagraph"/>
              <w:spacing w:line="188" w:lineRule="exact"/>
              <w:ind w:left="108"/>
              <w:rPr>
                <w:sz w:val="18"/>
              </w:rPr>
            </w:pPr>
            <w:r>
              <w:rPr>
                <w:spacing w:val="-10"/>
                <w:sz w:val="18"/>
              </w:rPr>
              <w:t>3</w:t>
            </w:r>
          </w:p>
        </w:tc>
        <w:tc>
          <w:tcPr>
            <w:tcW w:w="975" w:type="dxa"/>
          </w:tcPr>
          <w:p>
            <w:pPr>
              <w:pStyle w:val="TableParagraph"/>
              <w:spacing w:line="188" w:lineRule="exact"/>
              <w:ind w:left="108"/>
              <w:rPr>
                <w:sz w:val="18"/>
              </w:rPr>
            </w:pPr>
            <w:r>
              <w:rPr>
                <w:spacing w:val="-2"/>
                <w:sz w:val="18"/>
              </w:rPr>
              <w:t>0.737</w:t>
            </w:r>
          </w:p>
        </w:tc>
        <w:tc>
          <w:tcPr>
            <w:tcW w:w="584" w:type="dxa"/>
          </w:tcPr>
          <w:p>
            <w:pPr>
              <w:pStyle w:val="TableParagraph"/>
              <w:spacing w:line="188" w:lineRule="exact"/>
              <w:ind w:left="107"/>
              <w:rPr>
                <w:sz w:val="18"/>
              </w:rPr>
            </w:pPr>
            <w:r>
              <w:rPr>
                <w:spacing w:val="-10"/>
                <w:sz w:val="18"/>
              </w:rPr>
              <w:t>3</w:t>
            </w:r>
          </w:p>
        </w:tc>
        <w:tc>
          <w:tcPr>
            <w:tcW w:w="1134" w:type="dxa"/>
          </w:tcPr>
          <w:p>
            <w:pPr>
              <w:pStyle w:val="TableParagraph"/>
              <w:spacing w:line="188" w:lineRule="exact"/>
              <w:ind w:left="104"/>
              <w:rPr>
                <w:sz w:val="18"/>
              </w:rPr>
            </w:pPr>
            <w:r>
              <w:rPr>
                <w:spacing w:val="-2"/>
                <w:sz w:val="18"/>
              </w:rPr>
              <w:t>0.739</w:t>
            </w:r>
          </w:p>
        </w:tc>
        <w:tc>
          <w:tcPr>
            <w:tcW w:w="553" w:type="dxa"/>
          </w:tcPr>
          <w:p>
            <w:pPr>
              <w:pStyle w:val="TableParagraph"/>
              <w:spacing w:line="188" w:lineRule="exact"/>
              <w:ind w:left="106"/>
              <w:rPr>
                <w:sz w:val="18"/>
              </w:rPr>
            </w:pPr>
            <w:r>
              <w:rPr>
                <w:spacing w:val="-10"/>
                <w:sz w:val="18"/>
              </w:rPr>
              <w:t>3</w:t>
            </w:r>
          </w:p>
        </w:tc>
        <w:tc>
          <w:tcPr>
            <w:tcW w:w="1052" w:type="dxa"/>
          </w:tcPr>
          <w:p>
            <w:pPr>
              <w:pStyle w:val="TableParagraph"/>
              <w:spacing w:line="188" w:lineRule="exact"/>
              <w:ind w:left="105"/>
              <w:rPr>
                <w:sz w:val="18"/>
              </w:rPr>
            </w:pPr>
            <w:r>
              <w:rPr>
                <w:spacing w:val="-2"/>
                <w:sz w:val="18"/>
              </w:rPr>
              <w:t>0.743</w:t>
            </w:r>
          </w:p>
        </w:tc>
        <w:tc>
          <w:tcPr>
            <w:tcW w:w="1052" w:type="dxa"/>
          </w:tcPr>
          <w:p>
            <w:pPr>
              <w:pStyle w:val="TableParagraph"/>
              <w:spacing w:line="240" w:lineRule="auto"/>
              <w:rPr>
                <w:sz w:val="14"/>
              </w:rPr>
            </w:pPr>
          </w:p>
        </w:tc>
      </w:tr>
      <w:tr>
        <w:trPr>
          <w:trHeight w:val="205" w:hRule="atLeast"/>
        </w:trPr>
        <w:tc>
          <w:tcPr>
            <w:tcW w:w="1080" w:type="dxa"/>
          </w:tcPr>
          <w:p>
            <w:pPr>
              <w:pStyle w:val="TableParagraph"/>
              <w:ind w:left="107"/>
              <w:rPr>
                <w:sz w:val="18"/>
              </w:rPr>
            </w:pPr>
            <w:r>
              <w:rPr>
                <w:spacing w:val="-10"/>
                <w:sz w:val="18"/>
              </w:rPr>
              <w:t>4</w:t>
            </w:r>
          </w:p>
        </w:tc>
        <w:tc>
          <w:tcPr>
            <w:tcW w:w="1135" w:type="dxa"/>
          </w:tcPr>
          <w:p>
            <w:pPr>
              <w:pStyle w:val="TableParagraph"/>
              <w:ind w:left="108"/>
              <w:rPr>
                <w:sz w:val="18"/>
              </w:rPr>
            </w:pPr>
            <w:r>
              <w:rPr>
                <w:spacing w:val="-2"/>
                <w:sz w:val="18"/>
              </w:rPr>
              <w:t>0.738</w:t>
            </w:r>
          </w:p>
        </w:tc>
        <w:tc>
          <w:tcPr>
            <w:tcW w:w="617" w:type="dxa"/>
          </w:tcPr>
          <w:p>
            <w:pPr>
              <w:pStyle w:val="TableParagraph"/>
              <w:ind w:left="108"/>
              <w:rPr>
                <w:sz w:val="18"/>
              </w:rPr>
            </w:pPr>
            <w:r>
              <w:rPr>
                <w:spacing w:val="-10"/>
                <w:sz w:val="18"/>
              </w:rPr>
              <w:t>4</w:t>
            </w:r>
          </w:p>
        </w:tc>
        <w:tc>
          <w:tcPr>
            <w:tcW w:w="1071" w:type="dxa"/>
          </w:tcPr>
          <w:p>
            <w:pPr>
              <w:pStyle w:val="TableParagraph"/>
              <w:ind w:left="108"/>
              <w:rPr>
                <w:sz w:val="18"/>
              </w:rPr>
            </w:pPr>
            <w:r>
              <w:rPr>
                <w:spacing w:val="-2"/>
                <w:sz w:val="18"/>
              </w:rPr>
              <w:t>0.736</w:t>
            </w:r>
          </w:p>
        </w:tc>
        <w:tc>
          <w:tcPr>
            <w:tcW w:w="617" w:type="dxa"/>
          </w:tcPr>
          <w:p>
            <w:pPr>
              <w:pStyle w:val="TableParagraph"/>
              <w:ind w:left="108"/>
              <w:rPr>
                <w:sz w:val="18"/>
              </w:rPr>
            </w:pPr>
            <w:r>
              <w:rPr>
                <w:spacing w:val="-10"/>
                <w:sz w:val="18"/>
              </w:rPr>
              <w:t>4</w:t>
            </w:r>
          </w:p>
        </w:tc>
        <w:tc>
          <w:tcPr>
            <w:tcW w:w="1135" w:type="dxa"/>
          </w:tcPr>
          <w:p>
            <w:pPr>
              <w:pStyle w:val="TableParagraph"/>
              <w:ind w:left="108"/>
              <w:rPr>
                <w:sz w:val="18"/>
              </w:rPr>
            </w:pPr>
            <w:r>
              <w:rPr>
                <w:spacing w:val="-2"/>
                <w:sz w:val="18"/>
              </w:rPr>
              <w:t>0.735</w:t>
            </w:r>
          </w:p>
        </w:tc>
        <w:tc>
          <w:tcPr>
            <w:tcW w:w="615" w:type="dxa"/>
          </w:tcPr>
          <w:p>
            <w:pPr>
              <w:pStyle w:val="TableParagraph"/>
              <w:ind w:left="108"/>
              <w:rPr>
                <w:sz w:val="18"/>
              </w:rPr>
            </w:pPr>
            <w:r>
              <w:rPr>
                <w:spacing w:val="-10"/>
                <w:sz w:val="18"/>
              </w:rPr>
              <w:t>4</w:t>
            </w:r>
          </w:p>
        </w:tc>
        <w:tc>
          <w:tcPr>
            <w:tcW w:w="975" w:type="dxa"/>
          </w:tcPr>
          <w:p>
            <w:pPr>
              <w:pStyle w:val="TableParagraph"/>
              <w:ind w:left="108"/>
              <w:rPr>
                <w:sz w:val="18"/>
              </w:rPr>
            </w:pPr>
            <w:r>
              <w:rPr>
                <w:spacing w:val="-2"/>
                <w:sz w:val="18"/>
              </w:rPr>
              <w:t>0.739</w:t>
            </w:r>
          </w:p>
        </w:tc>
        <w:tc>
          <w:tcPr>
            <w:tcW w:w="584" w:type="dxa"/>
          </w:tcPr>
          <w:p>
            <w:pPr>
              <w:pStyle w:val="TableParagraph"/>
              <w:ind w:left="107"/>
              <w:rPr>
                <w:sz w:val="18"/>
              </w:rPr>
            </w:pPr>
            <w:r>
              <w:rPr>
                <w:spacing w:val="-10"/>
                <w:sz w:val="18"/>
              </w:rPr>
              <w:t>4</w:t>
            </w:r>
          </w:p>
        </w:tc>
        <w:tc>
          <w:tcPr>
            <w:tcW w:w="1134" w:type="dxa"/>
          </w:tcPr>
          <w:p>
            <w:pPr>
              <w:pStyle w:val="TableParagraph"/>
              <w:ind w:left="104"/>
              <w:rPr>
                <w:sz w:val="18"/>
              </w:rPr>
            </w:pPr>
            <w:r>
              <w:rPr>
                <w:spacing w:val="-2"/>
                <w:sz w:val="18"/>
              </w:rPr>
              <w:t>0.736</w:t>
            </w:r>
          </w:p>
        </w:tc>
        <w:tc>
          <w:tcPr>
            <w:tcW w:w="553" w:type="dxa"/>
          </w:tcPr>
          <w:p>
            <w:pPr>
              <w:pStyle w:val="TableParagraph"/>
              <w:ind w:left="106"/>
              <w:rPr>
                <w:sz w:val="18"/>
              </w:rPr>
            </w:pPr>
            <w:r>
              <w:rPr>
                <w:spacing w:val="-10"/>
                <w:sz w:val="18"/>
              </w:rPr>
              <w:t>4</w:t>
            </w:r>
          </w:p>
        </w:tc>
        <w:tc>
          <w:tcPr>
            <w:tcW w:w="1052" w:type="dxa"/>
          </w:tcPr>
          <w:p>
            <w:pPr>
              <w:pStyle w:val="TableParagraph"/>
              <w:ind w:left="105"/>
              <w:rPr>
                <w:sz w:val="18"/>
              </w:rPr>
            </w:pPr>
            <w:r>
              <w:rPr>
                <w:spacing w:val="-2"/>
                <w:sz w:val="18"/>
              </w:rPr>
              <w:t>0.739</w:t>
            </w:r>
          </w:p>
        </w:tc>
        <w:tc>
          <w:tcPr>
            <w:tcW w:w="1052" w:type="dxa"/>
          </w:tcPr>
          <w:p>
            <w:pPr>
              <w:pStyle w:val="TableParagraph"/>
              <w:spacing w:line="240" w:lineRule="auto"/>
              <w:rPr>
                <w:sz w:val="14"/>
              </w:rPr>
            </w:pPr>
          </w:p>
        </w:tc>
      </w:tr>
      <w:tr>
        <w:trPr>
          <w:trHeight w:val="205" w:hRule="atLeast"/>
        </w:trPr>
        <w:tc>
          <w:tcPr>
            <w:tcW w:w="1080" w:type="dxa"/>
          </w:tcPr>
          <w:p>
            <w:pPr>
              <w:pStyle w:val="TableParagraph"/>
              <w:ind w:left="107"/>
              <w:rPr>
                <w:sz w:val="18"/>
              </w:rPr>
            </w:pPr>
            <w:r>
              <w:rPr>
                <w:spacing w:val="-10"/>
                <w:sz w:val="18"/>
              </w:rPr>
              <w:t>5</w:t>
            </w:r>
          </w:p>
        </w:tc>
        <w:tc>
          <w:tcPr>
            <w:tcW w:w="1135" w:type="dxa"/>
          </w:tcPr>
          <w:p>
            <w:pPr>
              <w:pStyle w:val="TableParagraph"/>
              <w:ind w:left="108"/>
              <w:rPr>
                <w:sz w:val="18"/>
              </w:rPr>
            </w:pPr>
            <w:r>
              <w:rPr>
                <w:spacing w:val="-2"/>
                <w:sz w:val="18"/>
              </w:rPr>
              <w:t>0.737</w:t>
            </w:r>
          </w:p>
        </w:tc>
        <w:tc>
          <w:tcPr>
            <w:tcW w:w="617" w:type="dxa"/>
          </w:tcPr>
          <w:p>
            <w:pPr>
              <w:pStyle w:val="TableParagraph"/>
              <w:ind w:left="108"/>
              <w:rPr>
                <w:sz w:val="18"/>
              </w:rPr>
            </w:pPr>
            <w:r>
              <w:rPr>
                <w:spacing w:val="-10"/>
                <w:sz w:val="18"/>
              </w:rPr>
              <w:t>5</w:t>
            </w:r>
          </w:p>
        </w:tc>
        <w:tc>
          <w:tcPr>
            <w:tcW w:w="1071" w:type="dxa"/>
          </w:tcPr>
          <w:p>
            <w:pPr>
              <w:pStyle w:val="TableParagraph"/>
              <w:ind w:left="108"/>
              <w:rPr>
                <w:sz w:val="18"/>
              </w:rPr>
            </w:pPr>
            <w:r>
              <w:rPr>
                <w:spacing w:val="-2"/>
                <w:sz w:val="18"/>
              </w:rPr>
              <w:t>0.737</w:t>
            </w:r>
          </w:p>
        </w:tc>
        <w:tc>
          <w:tcPr>
            <w:tcW w:w="617" w:type="dxa"/>
          </w:tcPr>
          <w:p>
            <w:pPr>
              <w:pStyle w:val="TableParagraph"/>
              <w:ind w:left="108"/>
              <w:rPr>
                <w:sz w:val="18"/>
              </w:rPr>
            </w:pPr>
            <w:r>
              <w:rPr>
                <w:spacing w:val="-10"/>
                <w:sz w:val="18"/>
              </w:rPr>
              <w:t>5</w:t>
            </w:r>
          </w:p>
        </w:tc>
        <w:tc>
          <w:tcPr>
            <w:tcW w:w="1135" w:type="dxa"/>
          </w:tcPr>
          <w:p>
            <w:pPr>
              <w:pStyle w:val="TableParagraph"/>
              <w:ind w:left="108"/>
              <w:rPr>
                <w:sz w:val="18"/>
              </w:rPr>
            </w:pPr>
            <w:r>
              <w:rPr>
                <w:spacing w:val="-2"/>
                <w:sz w:val="18"/>
              </w:rPr>
              <w:t>0.737</w:t>
            </w:r>
          </w:p>
        </w:tc>
        <w:tc>
          <w:tcPr>
            <w:tcW w:w="615" w:type="dxa"/>
          </w:tcPr>
          <w:p>
            <w:pPr>
              <w:pStyle w:val="TableParagraph"/>
              <w:ind w:left="108"/>
              <w:rPr>
                <w:sz w:val="18"/>
              </w:rPr>
            </w:pPr>
            <w:r>
              <w:rPr>
                <w:spacing w:val="-10"/>
                <w:sz w:val="18"/>
              </w:rPr>
              <w:t>5</w:t>
            </w:r>
          </w:p>
        </w:tc>
        <w:tc>
          <w:tcPr>
            <w:tcW w:w="975" w:type="dxa"/>
          </w:tcPr>
          <w:p>
            <w:pPr>
              <w:pStyle w:val="TableParagraph"/>
              <w:ind w:left="108"/>
              <w:rPr>
                <w:sz w:val="18"/>
              </w:rPr>
            </w:pPr>
            <w:r>
              <w:rPr>
                <w:spacing w:val="-2"/>
                <w:sz w:val="18"/>
              </w:rPr>
              <w:t>0.736</w:t>
            </w:r>
          </w:p>
        </w:tc>
        <w:tc>
          <w:tcPr>
            <w:tcW w:w="584" w:type="dxa"/>
          </w:tcPr>
          <w:p>
            <w:pPr>
              <w:pStyle w:val="TableParagraph"/>
              <w:ind w:left="107"/>
              <w:rPr>
                <w:sz w:val="18"/>
              </w:rPr>
            </w:pPr>
            <w:r>
              <w:rPr>
                <w:spacing w:val="-10"/>
                <w:sz w:val="18"/>
              </w:rPr>
              <w:t>5</w:t>
            </w:r>
          </w:p>
        </w:tc>
        <w:tc>
          <w:tcPr>
            <w:tcW w:w="1134" w:type="dxa"/>
          </w:tcPr>
          <w:p>
            <w:pPr>
              <w:pStyle w:val="TableParagraph"/>
              <w:ind w:left="104"/>
              <w:rPr>
                <w:sz w:val="18"/>
              </w:rPr>
            </w:pPr>
            <w:r>
              <w:rPr>
                <w:spacing w:val="-2"/>
                <w:sz w:val="18"/>
              </w:rPr>
              <w:t>0.737</w:t>
            </w:r>
          </w:p>
        </w:tc>
        <w:tc>
          <w:tcPr>
            <w:tcW w:w="553" w:type="dxa"/>
          </w:tcPr>
          <w:p>
            <w:pPr>
              <w:pStyle w:val="TableParagraph"/>
              <w:ind w:left="106"/>
              <w:rPr>
                <w:sz w:val="18"/>
              </w:rPr>
            </w:pPr>
            <w:r>
              <w:rPr>
                <w:spacing w:val="-10"/>
                <w:sz w:val="18"/>
              </w:rPr>
              <w:t>5</w:t>
            </w:r>
          </w:p>
        </w:tc>
        <w:tc>
          <w:tcPr>
            <w:tcW w:w="1052" w:type="dxa"/>
          </w:tcPr>
          <w:p>
            <w:pPr>
              <w:pStyle w:val="TableParagraph"/>
              <w:ind w:left="105"/>
              <w:rPr>
                <w:sz w:val="18"/>
              </w:rPr>
            </w:pPr>
            <w:r>
              <w:rPr>
                <w:spacing w:val="-2"/>
                <w:sz w:val="18"/>
              </w:rPr>
              <w:t>0.741</w:t>
            </w:r>
          </w:p>
        </w:tc>
        <w:tc>
          <w:tcPr>
            <w:tcW w:w="1052" w:type="dxa"/>
          </w:tcPr>
          <w:p>
            <w:pPr>
              <w:pStyle w:val="TableParagraph"/>
              <w:spacing w:line="240" w:lineRule="auto"/>
              <w:rPr>
                <w:sz w:val="14"/>
              </w:rPr>
            </w:pPr>
          </w:p>
        </w:tc>
      </w:tr>
      <w:tr>
        <w:trPr>
          <w:trHeight w:val="208" w:hRule="atLeast"/>
        </w:trPr>
        <w:tc>
          <w:tcPr>
            <w:tcW w:w="1080" w:type="dxa"/>
          </w:tcPr>
          <w:p>
            <w:pPr>
              <w:pStyle w:val="TableParagraph"/>
              <w:spacing w:line="188" w:lineRule="exact"/>
              <w:ind w:left="107"/>
              <w:rPr>
                <w:sz w:val="18"/>
              </w:rPr>
            </w:pPr>
            <w:r>
              <w:rPr>
                <w:spacing w:val="-2"/>
                <w:sz w:val="18"/>
              </w:rPr>
              <w:t>AVERAGE</w:t>
            </w:r>
          </w:p>
        </w:tc>
        <w:tc>
          <w:tcPr>
            <w:tcW w:w="1135" w:type="dxa"/>
          </w:tcPr>
          <w:p>
            <w:pPr>
              <w:pStyle w:val="TableParagraph"/>
              <w:spacing w:line="188" w:lineRule="exact"/>
              <w:ind w:left="108"/>
              <w:rPr>
                <w:sz w:val="18"/>
              </w:rPr>
            </w:pPr>
            <w:r>
              <w:rPr>
                <w:spacing w:val="-2"/>
                <w:sz w:val="18"/>
              </w:rPr>
              <w:t>0.739</w:t>
            </w:r>
          </w:p>
        </w:tc>
        <w:tc>
          <w:tcPr>
            <w:tcW w:w="617" w:type="dxa"/>
          </w:tcPr>
          <w:p>
            <w:pPr>
              <w:pStyle w:val="TableParagraph"/>
              <w:spacing w:line="240" w:lineRule="auto"/>
              <w:rPr>
                <w:sz w:val="14"/>
              </w:rPr>
            </w:pPr>
          </w:p>
        </w:tc>
        <w:tc>
          <w:tcPr>
            <w:tcW w:w="1071" w:type="dxa"/>
          </w:tcPr>
          <w:p>
            <w:pPr>
              <w:pStyle w:val="TableParagraph"/>
              <w:spacing w:line="188" w:lineRule="exact"/>
              <w:ind w:left="108"/>
              <w:rPr>
                <w:sz w:val="18"/>
              </w:rPr>
            </w:pPr>
            <w:r>
              <w:rPr>
                <w:spacing w:val="-2"/>
                <w:sz w:val="18"/>
              </w:rPr>
              <w:t>0.737</w:t>
            </w:r>
          </w:p>
        </w:tc>
        <w:tc>
          <w:tcPr>
            <w:tcW w:w="617" w:type="dxa"/>
          </w:tcPr>
          <w:p>
            <w:pPr>
              <w:pStyle w:val="TableParagraph"/>
              <w:spacing w:line="240" w:lineRule="auto"/>
              <w:rPr>
                <w:sz w:val="14"/>
              </w:rPr>
            </w:pPr>
          </w:p>
        </w:tc>
        <w:tc>
          <w:tcPr>
            <w:tcW w:w="1135" w:type="dxa"/>
          </w:tcPr>
          <w:p>
            <w:pPr>
              <w:pStyle w:val="TableParagraph"/>
              <w:spacing w:line="188" w:lineRule="exact"/>
              <w:ind w:left="108"/>
              <w:rPr>
                <w:sz w:val="18"/>
              </w:rPr>
            </w:pPr>
            <w:r>
              <w:rPr>
                <w:spacing w:val="-2"/>
                <w:sz w:val="18"/>
              </w:rPr>
              <w:t>0.738</w:t>
            </w:r>
          </w:p>
        </w:tc>
        <w:tc>
          <w:tcPr>
            <w:tcW w:w="615" w:type="dxa"/>
          </w:tcPr>
          <w:p>
            <w:pPr>
              <w:pStyle w:val="TableParagraph"/>
              <w:spacing w:line="240" w:lineRule="auto"/>
              <w:rPr>
                <w:sz w:val="14"/>
              </w:rPr>
            </w:pPr>
          </w:p>
        </w:tc>
        <w:tc>
          <w:tcPr>
            <w:tcW w:w="975" w:type="dxa"/>
          </w:tcPr>
          <w:p>
            <w:pPr>
              <w:pStyle w:val="TableParagraph"/>
              <w:spacing w:line="188" w:lineRule="exact"/>
              <w:ind w:left="108"/>
              <w:rPr>
                <w:sz w:val="18"/>
              </w:rPr>
            </w:pPr>
            <w:r>
              <w:rPr>
                <w:spacing w:val="-2"/>
                <w:sz w:val="18"/>
              </w:rPr>
              <w:t>0.738</w:t>
            </w:r>
          </w:p>
        </w:tc>
        <w:tc>
          <w:tcPr>
            <w:tcW w:w="584" w:type="dxa"/>
          </w:tcPr>
          <w:p>
            <w:pPr>
              <w:pStyle w:val="TableParagraph"/>
              <w:spacing w:line="240" w:lineRule="auto"/>
              <w:rPr>
                <w:sz w:val="14"/>
              </w:rPr>
            </w:pPr>
          </w:p>
        </w:tc>
        <w:tc>
          <w:tcPr>
            <w:tcW w:w="1134" w:type="dxa"/>
          </w:tcPr>
          <w:p>
            <w:pPr>
              <w:pStyle w:val="TableParagraph"/>
              <w:spacing w:line="188" w:lineRule="exact"/>
              <w:ind w:left="104"/>
              <w:rPr>
                <w:sz w:val="18"/>
              </w:rPr>
            </w:pPr>
            <w:r>
              <w:rPr>
                <w:spacing w:val="-2"/>
                <w:sz w:val="18"/>
              </w:rPr>
              <w:t>0.737</w:t>
            </w:r>
          </w:p>
        </w:tc>
        <w:tc>
          <w:tcPr>
            <w:tcW w:w="553" w:type="dxa"/>
          </w:tcPr>
          <w:p>
            <w:pPr>
              <w:pStyle w:val="TableParagraph"/>
              <w:spacing w:line="240" w:lineRule="auto"/>
              <w:rPr>
                <w:sz w:val="14"/>
              </w:rPr>
            </w:pPr>
          </w:p>
        </w:tc>
        <w:tc>
          <w:tcPr>
            <w:tcW w:w="1052" w:type="dxa"/>
          </w:tcPr>
          <w:p>
            <w:pPr>
              <w:pStyle w:val="TableParagraph"/>
              <w:spacing w:line="188" w:lineRule="exact"/>
              <w:ind w:left="105"/>
              <w:rPr>
                <w:sz w:val="18"/>
              </w:rPr>
            </w:pPr>
            <w:r>
              <w:rPr>
                <w:spacing w:val="-2"/>
                <w:sz w:val="18"/>
              </w:rPr>
              <w:t>0.742</w:t>
            </w:r>
          </w:p>
        </w:tc>
        <w:tc>
          <w:tcPr>
            <w:tcW w:w="1052" w:type="dxa"/>
          </w:tcPr>
          <w:p>
            <w:pPr>
              <w:pStyle w:val="TableParagraph"/>
              <w:spacing w:line="188" w:lineRule="exact"/>
              <w:ind w:left="104"/>
              <w:rPr>
                <w:sz w:val="18"/>
              </w:rPr>
            </w:pPr>
            <w:r>
              <w:rPr>
                <w:spacing w:val="-2"/>
                <w:sz w:val="18"/>
              </w:rPr>
              <w:t>0.738</w:t>
            </w:r>
          </w:p>
        </w:tc>
      </w:tr>
      <w:tr>
        <w:trPr>
          <w:trHeight w:val="205" w:hRule="atLeast"/>
        </w:trPr>
        <w:tc>
          <w:tcPr>
            <w:tcW w:w="1080" w:type="dxa"/>
          </w:tcPr>
          <w:p>
            <w:pPr>
              <w:pStyle w:val="TableParagraph"/>
              <w:ind w:left="107"/>
              <w:rPr>
                <w:sz w:val="18"/>
              </w:rPr>
            </w:pPr>
            <w:r>
              <w:rPr>
                <w:spacing w:val="-5"/>
                <w:sz w:val="18"/>
              </w:rPr>
              <w:t>SD</w:t>
            </w:r>
          </w:p>
        </w:tc>
        <w:tc>
          <w:tcPr>
            <w:tcW w:w="1135" w:type="dxa"/>
          </w:tcPr>
          <w:p>
            <w:pPr>
              <w:pStyle w:val="TableParagraph"/>
              <w:ind w:left="108"/>
              <w:rPr>
                <w:sz w:val="18"/>
              </w:rPr>
            </w:pPr>
            <w:r>
              <w:rPr>
                <w:spacing w:val="-2"/>
                <w:sz w:val="18"/>
              </w:rPr>
              <w:t>0.00102</w:t>
            </w:r>
          </w:p>
        </w:tc>
        <w:tc>
          <w:tcPr>
            <w:tcW w:w="617" w:type="dxa"/>
          </w:tcPr>
          <w:p>
            <w:pPr>
              <w:pStyle w:val="TableParagraph"/>
              <w:spacing w:line="240" w:lineRule="auto"/>
              <w:rPr>
                <w:sz w:val="14"/>
              </w:rPr>
            </w:pPr>
          </w:p>
        </w:tc>
        <w:tc>
          <w:tcPr>
            <w:tcW w:w="1071" w:type="dxa"/>
          </w:tcPr>
          <w:p>
            <w:pPr>
              <w:pStyle w:val="TableParagraph"/>
              <w:ind w:left="108"/>
              <w:rPr>
                <w:sz w:val="18"/>
              </w:rPr>
            </w:pPr>
            <w:r>
              <w:rPr>
                <w:spacing w:val="-2"/>
                <w:sz w:val="18"/>
              </w:rPr>
              <w:t>0.00102</w:t>
            </w:r>
          </w:p>
        </w:tc>
        <w:tc>
          <w:tcPr>
            <w:tcW w:w="617" w:type="dxa"/>
          </w:tcPr>
          <w:p>
            <w:pPr>
              <w:pStyle w:val="TableParagraph"/>
              <w:spacing w:line="240" w:lineRule="auto"/>
              <w:rPr>
                <w:sz w:val="14"/>
              </w:rPr>
            </w:pPr>
          </w:p>
        </w:tc>
        <w:tc>
          <w:tcPr>
            <w:tcW w:w="1135" w:type="dxa"/>
          </w:tcPr>
          <w:p>
            <w:pPr>
              <w:pStyle w:val="TableParagraph"/>
              <w:ind w:left="108"/>
              <w:rPr>
                <w:sz w:val="18"/>
              </w:rPr>
            </w:pPr>
            <w:r>
              <w:rPr>
                <w:spacing w:val="-2"/>
                <w:sz w:val="18"/>
              </w:rPr>
              <w:t>0.002315</w:t>
            </w:r>
          </w:p>
        </w:tc>
        <w:tc>
          <w:tcPr>
            <w:tcW w:w="615" w:type="dxa"/>
          </w:tcPr>
          <w:p>
            <w:pPr>
              <w:pStyle w:val="TableParagraph"/>
              <w:spacing w:line="240" w:lineRule="auto"/>
              <w:rPr>
                <w:sz w:val="14"/>
              </w:rPr>
            </w:pPr>
          </w:p>
        </w:tc>
        <w:tc>
          <w:tcPr>
            <w:tcW w:w="975" w:type="dxa"/>
          </w:tcPr>
          <w:p>
            <w:pPr>
              <w:pStyle w:val="TableParagraph"/>
              <w:ind w:left="108"/>
              <w:rPr>
                <w:sz w:val="18"/>
              </w:rPr>
            </w:pPr>
            <w:r>
              <w:rPr>
                <w:spacing w:val="-2"/>
                <w:sz w:val="18"/>
              </w:rPr>
              <w:t>0.00102</w:t>
            </w:r>
          </w:p>
        </w:tc>
        <w:tc>
          <w:tcPr>
            <w:tcW w:w="584" w:type="dxa"/>
          </w:tcPr>
          <w:p>
            <w:pPr>
              <w:pStyle w:val="TableParagraph"/>
              <w:spacing w:line="240" w:lineRule="auto"/>
              <w:rPr>
                <w:sz w:val="14"/>
              </w:rPr>
            </w:pPr>
          </w:p>
        </w:tc>
        <w:tc>
          <w:tcPr>
            <w:tcW w:w="1134" w:type="dxa"/>
          </w:tcPr>
          <w:p>
            <w:pPr>
              <w:pStyle w:val="TableParagraph"/>
              <w:ind w:left="104"/>
              <w:rPr>
                <w:sz w:val="18"/>
              </w:rPr>
            </w:pPr>
            <w:r>
              <w:rPr>
                <w:spacing w:val="-2"/>
                <w:sz w:val="18"/>
              </w:rPr>
              <w:t>0.00102</w:t>
            </w:r>
          </w:p>
        </w:tc>
        <w:tc>
          <w:tcPr>
            <w:tcW w:w="553" w:type="dxa"/>
          </w:tcPr>
          <w:p>
            <w:pPr>
              <w:pStyle w:val="TableParagraph"/>
              <w:spacing w:line="240" w:lineRule="auto"/>
              <w:rPr>
                <w:sz w:val="14"/>
              </w:rPr>
            </w:pPr>
          </w:p>
        </w:tc>
        <w:tc>
          <w:tcPr>
            <w:tcW w:w="1052" w:type="dxa"/>
          </w:tcPr>
          <w:p>
            <w:pPr>
              <w:pStyle w:val="TableParagraph"/>
              <w:ind w:left="105"/>
              <w:rPr>
                <w:sz w:val="18"/>
              </w:rPr>
            </w:pPr>
            <w:r>
              <w:rPr>
                <w:spacing w:val="-2"/>
                <w:sz w:val="18"/>
              </w:rPr>
              <w:t>0.00172</w:t>
            </w:r>
          </w:p>
        </w:tc>
        <w:tc>
          <w:tcPr>
            <w:tcW w:w="1052" w:type="dxa"/>
          </w:tcPr>
          <w:p>
            <w:pPr>
              <w:pStyle w:val="TableParagraph"/>
              <w:ind w:left="104"/>
              <w:rPr>
                <w:sz w:val="18"/>
              </w:rPr>
            </w:pPr>
            <w:r>
              <w:rPr>
                <w:spacing w:val="-2"/>
                <w:sz w:val="18"/>
              </w:rPr>
              <w:t>0.001352</w:t>
            </w:r>
          </w:p>
        </w:tc>
      </w:tr>
      <w:tr>
        <w:trPr>
          <w:trHeight w:val="208" w:hRule="atLeast"/>
        </w:trPr>
        <w:tc>
          <w:tcPr>
            <w:tcW w:w="1080" w:type="dxa"/>
          </w:tcPr>
          <w:p>
            <w:pPr>
              <w:pStyle w:val="TableParagraph"/>
              <w:spacing w:line="188" w:lineRule="exact"/>
              <w:ind w:left="107"/>
              <w:rPr>
                <w:sz w:val="18"/>
              </w:rPr>
            </w:pPr>
            <w:r>
              <w:rPr>
                <w:spacing w:val="-4"/>
                <w:sz w:val="18"/>
              </w:rPr>
              <w:t>%RSD</w:t>
            </w:r>
          </w:p>
        </w:tc>
        <w:tc>
          <w:tcPr>
            <w:tcW w:w="1135" w:type="dxa"/>
          </w:tcPr>
          <w:p>
            <w:pPr>
              <w:pStyle w:val="TableParagraph"/>
              <w:spacing w:line="188" w:lineRule="exact"/>
              <w:ind w:left="108"/>
              <w:rPr>
                <w:sz w:val="18"/>
              </w:rPr>
            </w:pPr>
            <w:r>
              <w:rPr>
                <w:spacing w:val="-2"/>
                <w:sz w:val="18"/>
              </w:rPr>
              <w:t>0.138073</w:t>
            </w:r>
          </w:p>
        </w:tc>
        <w:tc>
          <w:tcPr>
            <w:tcW w:w="617" w:type="dxa"/>
          </w:tcPr>
          <w:p>
            <w:pPr>
              <w:pStyle w:val="TableParagraph"/>
              <w:spacing w:line="240" w:lineRule="auto"/>
              <w:rPr>
                <w:sz w:val="14"/>
              </w:rPr>
            </w:pPr>
          </w:p>
        </w:tc>
        <w:tc>
          <w:tcPr>
            <w:tcW w:w="1071" w:type="dxa"/>
          </w:tcPr>
          <w:p>
            <w:pPr>
              <w:pStyle w:val="TableParagraph"/>
              <w:spacing w:line="188" w:lineRule="exact"/>
              <w:ind w:left="108"/>
              <w:rPr>
                <w:sz w:val="18"/>
              </w:rPr>
            </w:pPr>
            <w:r>
              <w:rPr>
                <w:spacing w:val="-2"/>
                <w:sz w:val="18"/>
              </w:rPr>
              <w:t>0.138297</w:t>
            </w:r>
          </w:p>
        </w:tc>
        <w:tc>
          <w:tcPr>
            <w:tcW w:w="617" w:type="dxa"/>
          </w:tcPr>
          <w:p>
            <w:pPr>
              <w:pStyle w:val="TableParagraph"/>
              <w:spacing w:line="240" w:lineRule="auto"/>
              <w:rPr>
                <w:sz w:val="14"/>
              </w:rPr>
            </w:pPr>
          </w:p>
        </w:tc>
        <w:tc>
          <w:tcPr>
            <w:tcW w:w="1135" w:type="dxa"/>
          </w:tcPr>
          <w:p>
            <w:pPr>
              <w:pStyle w:val="TableParagraph"/>
              <w:spacing w:line="188" w:lineRule="exact"/>
              <w:ind w:left="108"/>
              <w:rPr>
                <w:sz w:val="18"/>
              </w:rPr>
            </w:pPr>
            <w:r>
              <w:rPr>
                <w:spacing w:val="-2"/>
                <w:sz w:val="18"/>
              </w:rPr>
              <w:t>0.313793</w:t>
            </w:r>
          </w:p>
        </w:tc>
        <w:tc>
          <w:tcPr>
            <w:tcW w:w="615" w:type="dxa"/>
          </w:tcPr>
          <w:p>
            <w:pPr>
              <w:pStyle w:val="TableParagraph"/>
              <w:spacing w:line="240" w:lineRule="auto"/>
              <w:rPr>
                <w:sz w:val="14"/>
              </w:rPr>
            </w:pPr>
          </w:p>
        </w:tc>
        <w:tc>
          <w:tcPr>
            <w:tcW w:w="975" w:type="dxa"/>
          </w:tcPr>
          <w:p>
            <w:pPr>
              <w:pStyle w:val="TableParagraph"/>
              <w:spacing w:line="188" w:lineRule="exact"/>
              <w:ind w:left="108"/>
              <w:rPr>
                <w:sz w:val="18"/>
              </w:rPr>
            </w:pPr>
            <w:r>
              <w:rPr>
                <w:spacing w:val="-2"/>
                <w:sz w:val="18"/>
              </w:rPr>
              <w:t>0.13826</w:t>
            </w:r>
          </w:p>
        </w:tc>
        <w:tc>
          <w:tcPr>
            <w:tcW w:w="584" w:type="dxa"/>
          </w:tcPr>
          <w:p>
            <w:pPr>
              <w:pStyle w:val="TableParagraph"/>
              <w:spacing w:line="240" w:lineRule="auto"/>
              <w:rPr>
                <w:sz w:val="14"/>
              </w:rPr>
            </w:pPr>
          </w:p>
        </w:tc>
        <w:tc>
          <w:tcPr>
            <w:tcW w:w="1134" w:type="dxa"/>
          </w:tcPr>
          <w:p>
            <w:pPr>
              <w:pStyle w:val="TableParagraph"/>
              <w:spacing w:line="188" w:lineRule="exact"/>
              <w:ind w:left="104"/>
              <w:rPr>
                <w:sz w:val="18"/>
              </w:rPr>
            </w:pPr>
            <w:r>
              <w:rPr>
                <w:spacing w:val="-2"/>
                <w:sz w:val="18"/>
              </w:rPr>
              <w:t>0.138297</w:t>
            </w:r>
          </w:p>
        </w:tc>
        <w:tc>
          <w:tcPr>
            <w:tcW w:w="553" w:type="dxa"/>
          </w:tcPr>
          <w:p>
            <w:pPr>
              <w:pStyle w:val="TableParagraph"/>
              <w:spacing w:line="240" w:lineRule="auto"/>
              <w:rPr>
                <w:sz w:val="14"/>
              </w:rPr>
            </w:pPr>
          </w:p>
        </w:tc>
        <w:tc>
          <w:tcPr>
            <w:tcW w:w="1052" w:type="dxa"/>
          </w:tcPr>
          <w:p>
            <w:pPr>
              <w:pStyle w:val="TableParagraph"/>
              <w:spacing w:line="188" w:lineRule="exact"/>
              <w:ind w:left="105"/>
              <w:rPr>
                <w:sz w:val="18"/>
              </w:rPr>
            </w:pPr>
            <w:r>
              <w:rPr>
                <w:spacing w:val="-2"/>
                <w:sz w:val="18"/>
              </w:rPr>
              <w:t>0.231931</w:t>
            </w:r>
          </w:p>
        </w:tc>
        <w:tc>
          <w:tcPr>
            <w:tcW w:w="1052" w:type="dxa"/>
          </w:tcPr>
          <w:p>
            <w:pPr>
              <w:pStyle w:val="TableParagraph"/>
              <w:spacing w:line="188" w:lineRule="exact"/>
              <w:ind w:left="104"/>
              <w:rPr>
                <w:sz w:val="18"/>
              </w:rPr>
            </w:pPr>
            <w:r>
              <w:rPr>
                <w:spacing w:val="-2"/>
                <w:sz w:val="18"/>
              </w:rPr>
              <w:t>0.183109</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9"/>
        <w:rPr>
          <w:sz w:val="20"/>
        </w:rPr>
      </w:pPr>
    </w:p>
    <w:tbl>
      <w:tblPr>
        <w:tblW w:w="0" w:type="auto"/>
        <w:jc w:val="left"/>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0"/>
        <w:gridCol w:w="1085"/>
        <w:gridCol w:w="865"/>
        <w:gridCol w:w="1138"/>
        <w:gridCol w:w="1141"/>
        <w:gridCol w:w="1156"/>
        <w:gridCol w:w="1125"/>
        <w:gridCol w:w="1626"/>
      </w:tblGrid>
      <w:tr>
        <w:trPr>
          <w:trHeight w:val="207" w:hRule="atLeast"/>
        </w:trPr>
        <w:tc>
          <w:tcPr>
            <w:tcW w:w="9306" w:type="dxa"/>
            <w:gridSpan w:val="8"/>
            <w:tcBorders>
              <w:top w:val="single" w:sz="8" w:space="0" w:color="000000"/>
              <w:bottom w:val="single" w:sz="8" w:space="0" w:color="000000"/>
            </w:tcBorders>
          </w:tcPr>
          <w:p>
            <w:pPr>
              <w:pStyle w:val="TableParagraph"/>
              <w:spacing w:before="2"/>
              <w:ind w:left="1924"/>
              <w:rPr>
                <w:b/>
                <w:sz w:val="18"/>
              </w:rPr>
            </w:pPr>
            <w:r>
              <w:rPr>
                <w:b/>
                <w:sz w:val="18"/>
              </w:rPr>
              <w:t>INTER</w:t>
            </w:r>
            <w:r>
              <w:rPr>
                <w:b/>
                <w:spacing w:val="41"/>
                <w:sz w:val="18"/>
              </w:rPr>
              <w:t> </w:t>
            </w:r>
            <w:r>
              <w:rPr>
                <w:b/>
                <w:sz w:val="18"/>
              </w:rPr>
              <w:t>DAY FOR</w:t>
            </w:r>
            <w:r>
              <w:rPr>
                <w:b/>
                <w:spacing w:val="-1"/>
                <w:sz w:val="18"/>
              </w:rPr>
              <w:t> </w:t>
            </w:r>
            <w:r>
              <w:rPr>
                <w:b/>
                <w:sz w:val="18"/>
              </w:rPr>
              <w:t>METHOD </w:t>
            </w:r>
            <w:r>
              <w:rPr>
                <w:b/>
                <w:spacing w:val="-10"/>
                <w:sz w:val="18"/>
              </w:rPr>
              <w:t>4</w:t>
            </w:r>
          </w:p>
        </w:tc>
      </w:tr>
      <w:tr>
        <w:trPr>
          <w:trHeight w:val="208" w:hRule="atLeast"/>
        </w:trPr>
        <w:tc>
          <w:tcPr>
            <w:tcW w:w="1170" w:type="dxa"/>
            <w:tcBorders>
              <w:top w:val="single" w:sz="8" w:space="0" w:color="000000"/>
            </w:tcBorders>
          </w:tcPr>
          <w:p>
            <w:pPr>
              <w:pStyle w:val="TableParagraph"/>
              <w:spacing w:line="189" w:lineRule="exact"/>
              <w:ind w:left="122"/>
              <w:rPr>
                <w:b/>
                <w:sz w:val="18"/>
              </w:rPr>
            </w:pPr>
            <w:r>
              <w:rPr>
                <w:b/>
                <w:sz w:val="18"/>
              </w:rPr>
              <w:t>DAY</w:t>
            </w:r>
            <w:r>
              <w:rPr>
                <w:b/>
                <w:spacing w:val="-1"/>
                <w:sz w:val="18"/>
              </w:rPr>
              <w:t> </w:t>
            </w:r>
            <w:r>
              <w:rPr>
                <w:b/>
                <w:spacing w:val="-10"/>
                <w:sz w:val="18"/>
              </w:rPr>
              <w:t>I</w:t>
            </w:r>
          </w:p>
        </w:tc>
        <w:tc>
          <w:tcPr>
            <w:tcW w:w="1085" w:type="dxa"/>
            <w:tcBorders>
              <w:top w:val="single" w:sz="8" w:space="0" w:color="000000"/>
            </w:tcBorders>
          </w:tcPr>
          <w:p>
            <w:pPr>
              <w:pStyle w:val="TableParagraph"/>
              <w:spacing w:line="240" w:lineRule="auto"/>
              <w:rPr>
                <w:sz w:val="14"/>
              </w:rPr>
            </w:pPr>
          </w:p>
        </w:tc>
        <w:tc>
          <w:tcPr>
            <w:tcW w:w="865" w:type="dxa"/>
            <w:tcBorders>
              <w:top w:val="single" w:sz="8" w:space="0" w:color="000000"/>
            </w:tcBorders>
          </w:tcPr>
          <w:p>
            <w:pPr>
              <w:pStyle w:val="TableParagraph"/>
              <w:spacing w:line="189" w:lineRule="exact"/>
              <w:ind w:left="260"/>
              <w:rPr>
                <w:sz w:val="18"/>
              </w:rPr>
            </w:pPr>
            <w:r>
              <w:rPr>
                <w:sz w:val="18"/>
              </w:rPr>
              <w:t>DAY</w:t>
            </w:r>
            <w:r>
              <w:rPr>
                <w:spacing w:val="-1"/>
                <w:sz w:val="18"/>
              </w:rPr>
              <w:t> </w:t>
            </w:r>
            <w:r>
              <w:rPr>
                <w:spacing w:val="-10"/>
                <w:sz w:val="18"/>
              </w:rPr>
              <w:t>2</w:t>
            </w:r>
          </w:p>
        </w:tc>
        <w:tc>
          <w:tcPr>
            <w:tcW w:w="1138" w:type="dxa"/>
            <w:tcBorders>
              <w:top w:val="single" w:sz="8" w:space="0" w:color="000000"/>
            </w:tcBorders>
          </w:tcPr>
          <w:p>
            <w:pPr>
              <w:pStyle w:val="TableParagraph"/>
              <w:spacing w:line="240" w:lineRule="auto"/>
              <w:rPr>
                <w:sz w:val="14"/>
              </w:rPr>
            </w:pPr>
          </w:p>
        </w:tc>
        <w:tc>
          <w:tcPr>
            <w:tcW w:w="1141" w:type="dxa"/>
            <w:tcBorders>
              <w:top w:val="single" w:sz="8" w:space="0" w:color="000000"/>
            </w:tcBorders>
          </w:tcPr>
          <w:p>
            <w:pPr>
              <w:pStyle w:val="TableParagraph"/>
              <w:spacing w:line="189" w:lineRule="exact"/>
              <w:ind w:left="381"/>
              <w:rPr>
                <w:sz w:val="18"/>
              </w:rPr>
            </w:pPr>
            <w:r>
              <w:rPr>
                <w:sz w:val="18"/>
              </w:rPr>
              <w:t>DAY</w:t>
            </w:r>
            <w:r>
              <w:rPr>
                <w:spacing w:val="-1"/>
                <w:sz w:val="18"/>
              </w:rPr>
              <w:t> </w:t>
            </w:r>
            <w:r>
              <w:rPr>
                <w:spacing w:val="-10"/>
                <w:sz w:val="18"/>
              </w:rPr>
              <w:t>3</w:t>
            </w:r>
          </w:p>
        </w:tc>
        <w:tc>
          <w:tcPr>
            <w:tcW w:w="1156" w:type="dxa"/>
            <w:tcBorders>
              <w:top w:val="single" w:sz="8" w:space="0" w:color="000000"/>
            </w:tcBorders>
          </w:tcPr>
          <w:p>
            <w:pPr>
              <w:pStyle w:val="TableParagraph"/>
              <w:spacing w:line="240" w:lineRule="auto"/>
              <w:rPr>
                <w:sz w:val="14"/>
              </w:rPr>
            </w:pPr>
          </w:p>
        </w:tc>
        <w:tc>
          <w:tcPr>
            <w:tcW w:w="1125" w:type="dxa"/>
            <w:tcBorders>
              <w:top w:val="single" w:sz="8" w:space="0" w:color="000000"/>
            </w:tcBorders>
          </w:tcPr>
          <w:p>
            <w:pPr>
              <w:pStyle w:val="TableParagraph"/>
              <w:spacing w:line="189" w:lineRule="exact"/>
              <w:ind w:left="94" w:right="137"/>
              <w:jc w:val="center"/>
              <w:rPr>
                <w:sz w:val="18"/>
              </w:rPr>
            </w:pPr>
            <w:r>
              <w:rPr>
                <w:spacing w:val="-4"/>
                <w:sz w:val="18"/>
              </w:rPr>
              <w:t>TOTAL</w:t>
            </w:r>
          </w:p>
        </w:tc>
        <w:tc>
          <w:tcPr>
            <w:tcW w:w="1626" w:type="dxa"/>
            <w:tcBorders>
              <w:top w:val="single" w:sz="8" w:space="0" w:color="000000"/>
            </w:tcBorders>
          </w:tcPr>
          <w:p>
            <w:pPr>
              <w:pStyle w:val="TableParagraph"/>
              <w:spacing w:line="189" w:lineRule="exact"/>
              <w:ind w:left="200"/>
              <w:rPr>
                <w:sz w:val="18"/>
              </w:rPr>
            </w:pPr>
            <w:r>
              <w:rPr>
                <w:sz w:val="18"/>
              </w:rPr>
              <w:t>TOTAL</w:t>
            </w:r>
            <w:r>
              <w:rPr>
                <w:spacing w:val="-3"/>
                <w:sz w:val="18"/>
              </w:rPr>
              <w:t> </w:t>
            </w:r>
            <w:r>
              <w:rPr>
                <w:spacing w:val="-4"/>
                <w:sz w:val="18"/>
              </w:rPr>
              <w:t>MEAN</w:t>
            </w:r>
          </w:p>
        </w:tc>
      </w:tr>
      <w:tr>
        <w:trPr>
          <w:trHeight w:val="207" w:hRule="atLeast"/>
        </w:trPr>
        <w:tc>
          <w:tcPr>
            <w:tcW w:w="1170" w:type="dxa"/>
          </w:tcPr>
          <w:p>
            <w:pPr>
              <w:pStyle w:val="TableParagraph"/>
              <w:spacing w:line="188" w:lineRule="exact"/>
              <w:ind w:left="122"/>
              <w:rPr>
                <w:b/>
                <w:sz w:val="18"/>
              </w:rPr>
            </w:pPr>
            <w:r>
              <w:rPr>
                <w:b/>
                <w:spacing w:val="-4"/>
                <w:sz w:val="18"/>
              </w:rPr>
              <w:t>Cyc.</w:t>
            </w:r>
          </w:p>
        </w:tc>
        <w:tc>
          <w:tcPr>
            <w:tcW w:w="1085" w:type="dxa"/>
          </w:tcPr>
          <w:p>
            <w:pPr>
              <w:pStyle w:val="TableParagraph"/>
              <w:spacing w:line="188" w:lineRule="exact"/>
              <w:ind w:left="149"/>
              <w:rPr>
                <w:sz w:val="18"/>
              </w:rPr>
            </w:pPr>
            <w:r>
              <w:rPr>
                <w:spacing w:val="-4"/>
                <w:sz w:val="18"/>
              </w:rPr>
              <w:t>Abs.</w:t>
            </w:r>
          </w:p>
        </w:tc>
        <w:tc>
          <w:tcPr>
            <w:tcW w:w="865" w:type="dxa"/>
          </w:tcPr>
          <w:p>
            <w:pPr>
              <w:pStyle w:val="TableParagraph"/>
              <w:spacing w:line="188" w:lineRule="exact"/>
              <w:ind w:left="260"/>
              <w:rPr>
                <w:sz w:val="18"/>
              </w:rPr>
            </w:pPr>
            <w:r>
              <w:rPr>
                <w:spacing w:val="-4"/>
                <w:sz w:val="18"/>
              </w:rPr>
              <w:t>Cyc.</w:t>
            </w:r>
          </w:p>
        </w:tc>
        <w:tc>
          <w:tcPr>
            <w:tcW w:w="1138" w:type="dxa"/>
          </w:tcPr>
          <w:p>
            <w:pPr>
              <w:pStyle w:val="TableParagraph"/>
              <w:spacing w:line="188" w:lineRule="exact"/>
              <w:ind w:left="79"/>
              <w:rPr>
                <w:sz w:val="18"/>
              </w:rPr>
            </w:pPr>
            <w:r>
              <w:rPr>
                <w:spacing w:val="-4"/>
                <w:sz w:val="18"/>
              </w:rPr>
              <w:t>Abs.</w:t>
            </w:r>
          </w:p>
        </w:tc>
        <w:tc>
          <w:tcPr>
            <w:tcW w:w="1141" w:type="dxa"/>
          </w:tcPr>
          <w:p>
            <w:pPr>
              <w:pStyle w:val="TableParagraph"/>
              <w:spacing w:line="188" w:lineRule="exact"/>
              <w:ind w:left="381"/>
              <w:rPr>
                <w:sz w:val="18"/>
              </w:rPr>
            </w:pPr>
            <w:r>
              <w:rPr>
                <w:spacing w:val="-4"/>
                <w:sz w:val="18"/>
              </w:rPr>
              <w:t>Cyc.</w:t>
            </w:r>
          </w:p>
        </w:tc>
        <w:tc>
          <w:tcPr>
            <w:tcW w:w="1156" w:type="dxa"/>
          </w:tcPr>
          <w:p>
            <w:pPr>
              <w:pStyle w:val="TableParagraph"/>
              <w:spacing w:line="188" w:lineRule="exact"/>
              <w:ind w:left="232"/>
              <w:rPr>
                <w:sz w:val="18"/>
              </w:rPr>
            </w:pPr>
            <w:r>
              <w:rPr>
                <w:spacing w:val="-4"/>
                <w:sz w:val="18"/>
              </w:rPr>
              <w:t>Abs.</w:t>
            </w:r>
          </w:p>
        </w:tc>
        <w:tc>
          <w:tcPr>
            <w:tcW w:w="1125" w:type="dxa"/>
          </w:tcPr>
          <w:p>
            <w:pPr>
              <w:pStyle w:val="TableParagraph"/>
              <w:spacing w:line="240" w:lineRule="auto"/>
              <w:rPr>
                <w:sz w:val="14"/>
              </w:rPr>
            </w:pPr>
          </w:p>
        </w:tc>
        <w:tc>
          <w:tcPr>
            <w:tcW w:w="1626" w:type="dxa"/>
          </w:tcPr>
          <w:p>
            <w:pPr>
              <w:pStyle w:val="TableParagraph"/>
              <w:spacing w:line="240" w:lineRule="auto"/>
              <w:rPr>
                <w:sz w:val="14"/>
              </w:rPr>
            </w:pPr>
          </w:p>
        </w:tc>
      </w:tr>
      <w:tr>
        <w:trPr>
          <w:trHeight w:val="206" w:hRule="atLeast"/>
        </w:trPr>
        <w:tc>
          <w:tcPr>
            <w:tcW w:w="1170" w:type="dxa"/>
          </w:tcPr>
          <w:p>
            <w:pPr>
              <w:pStyle w:val="TableParagraph"/>
              <w:spacing w:line="187" w:lineRule="exact"/>
              <w:ind w:left="122"/>
              <w:rPr>
                <w:b/>
                <w:sz w:val="18"/>
              </w:rPr>
            </w:pPr>
            <w:r>
              <w:rPr>
                <w:b/>
                <w:spacing w:val="-10"/>
                <w:sz w:val="18"/>
              </w:rPr>
              <w:t>1</w:t>
            </w:r>
          </w:p>
        </w:tc>
        <w:tc>
          <w:tcPr>
            <w:tcW w:w="1085" w:type="dxa"/>
          </w:tcPr>
          <w:p>
            <w:pPr>
              <w:pStyle w:val="TableParagraph"/>
              <w:spacing w:line="187" w:lineRule="exact"/>
              <w:ind w:left="149"/>
              <w:rPr>
                <w:sz w:val="18"/>
              </w:rPr>
            </w:pPr>
            <w:r>
              <w:rPr>
                <w:spacing w:val="-2"/>
                <w:sz w:val="18"/>
              </w:rPr>
              <w:t>0.739</w:t>
            </w:r>
          </w:p>
        </w:tc>
        <w:tc>
          <w:tcPr>
            <w:tcW w:w="865" w:type="dxa"/>
          </w:tcPr>
          <w:p>
            <w:pPr>
              <w:pStyle w:val="TableParagraph"/>
              <w:spacing w:line="187" w:lineRule="exact"/>
              <w:ind w:left="260"/>
              <w:rPr>
                <w:sz w:val="18"/>
              </w:rPr>
            </w:pPr>
            <w:r>
              <w:rPr>
                <w:spacing w:val="-10"/>
                <w:sz w:val="18"/>
              </w:rPr>
              <w:t>1</w:t>
            </w:r>
          </w:p>
        </w:tc>
        <w:tc>
          <w:tcPr>
            <w:tcW w:w="1138" w:type="dxa"/>
          </w:tcPr>
          <w:p>
            <w:pPr>
              <w:pStyle w:val="TableParagraph"/>
              <w:spacing w:line="187" w:lineRule="exact"/>
              <w:ind w:left="79"/>
              <w:rPr>
                <w:sz w:val="18"/>
              </w:rPr>
            </w:pPr>
            <w:r>
              <w:rPr>
                <w:spacing w:val="-2"/>
                <w:sz w:val="18"/>
              </w:rPr>
              <w:t>0.741</w:t>
            </w:r>
          </w:p>
        </w:tc>
        <w:tc>
          <w:tcPr>
            <w:tcW w:w="1141" w:type="dxa"/>
          </w:tcPr>
          <w:p>
            <w:pPr>
              <w:pStyle w:val="TableParagraph"/>
              <w:spacing w:line="187" w:lineRule="exact"/>
              <w:ind w:left="381"/>
              <w:rPr>
                <w:sz w:val="18"/>
              </w:rPr>
            </w:pPr>
            <w:r>
              <w:rPr>
                <w:spacing w:val="-10"/>
                <w:sz w:val="18"/>
              </w:rPr>
              <w:t>1</w:t>
            </w:r>
          </w:p>
        </w:tc>
        <w:tc>
          <w:tcPr>
            <w:tcW w:w="1156" w:type="dxa"/>
          </w:tcPr>
          <w:p>
            <w:pPr>
              <w:pStyle w:val="TableParagraph"/>
              <w:spacing w:line="187" w:lineRule="exact"/>
              <w:ind w:left="232"/>
              <w:rPr>
                <w:sz w:val="18"/>
              </w:rPr>
            </w:pPr>
            <w:r>
              <w:rPr>
                <w:spacing w:val="-2"/>
                <w:sz w:val="18"/>
              </w:rPr>
              <w:t>0.742</w:t>
            </w:r>
          </w:p>
        </w:tc>
        <w:tc>
          <w:tcPr>
            <w:tcW w:w="1125" w:type="dxa"/>
          </w:tcPr>
          <w:p>
            <w:pPr>
              <w:pStyle w:val="TableParagraph"/>
              <w:spacing w:line="240" w:lineRule="auto"/>
              <w:rPr>
                <w:sz w:val="14"/>
              </w:rPr>
            </w:pPr>
          </w:p>
        </w:tc>
        <w:tc>
          <w:tcPr>
            <w:tcW w:w="1626" w:type="dxa"/>
          </w:tcPr>
          <w:p>
            <w:pPr>
              <w:pStyle w:val="TableParagraph"/>
              <w:spacing w:line="240" w:lineRule="auto"/>
              <w:rPr>
                <w:sz w:val="14"/>
              </w:rPr>
            </w:pPr>
          </w:p>
        </w:tc>
      </w:tr>
      <w:tr>
        <w:trPr>
          <w:trHeight w:val="206" w:hRule="atLeast"/>
        </w:trPr>
        <w:tc>
          <w:tcPr>
            <w:tcW w:w="1170" w:type="dxa"/>
          </w:tcPr>
          <w:p>
            <w:pPr>
              <w:pStyle w:val="TableParagraph"/>
              <w:spacing w:line="187" w:lineRule="exact"/>
              <w:ind w:left="122"/>
              <w:rPr>
                <w:b/>
                <w:sz w:val="18"/>
              </w:rPr>
            </w:pPr>
            <w:r>
              <w:rPr>
                <w:b/>
                <w:spacing w:val="-10"/>
                <w:sz w:val="18"/>
              </w:rPr>
              <w:t>2</w:t>
            </w:r>
          </w:p>
        </w:tc>
        <w:tc>
          <w:tcPr>
            <w:tcW w:w="1085" w:type="dxa"/>
          </w:tcPr>
          <w:p>
            <w:pPr>
              <w:pStyle w:val="TableParagraph"/>
              <w:spacing w:line="187" w:lineRule="exact"/>
              <w:ind w:left="149"/>
              <w:rPr>
                <w:sz w:val="18"/>
              </w:rPr>
            </w:pPr>
            <w:r>
              <w:rPr>
                <w:spacing w:val="-2"/>
                <w:sz w:val="18"/>
              </w:rPr>
              <w:t>0.740</w:t>
            </w:r>
          </w:p>
        </w:tc>
        <w:tc>
          <w:tcPr>
            <w:tcW w:w="865" w:type="dxa"/>
          </w:tcPr>
          <w:p>
            <w:pPr>
              <w:pStyle w:val="TableParagraph"/>
              <w:spacing w:line="187" w:lineRule="exact"/>
              <w:ind w:left="260"/>
              <w:rPr>
                <w:sz w:val="18"/>
              </w:rPr>
            </w:pPr>
            <w:r>
              <w:rPr>
                <w:spacing w:val="-10"/>
                <w:sz w:val="18"/>
              </w:rPr>
              <w:t>2</w:t>
            </w:r>
          </w:p>
        </w:tc>
        <w:tc>
          <w:tcPr>
            <w:tcW w:w="1138" w:type="dxa"/>
          </w:tcPr>
          <w:p>
            <w:pPr>
              <w:pStyle w:val="TableParagraph"/>
              <w:spacing w:line="187" w:lineRule="exact"/>
              <w:ind w:left="79"/>
              <w:rPr>
                <w:sz w:val="18"/>
              </w:rPr>
            </w:pPr>
            <w:r>
              <w:rPr>
                <w:spacing w:val="-2"/>
                <w:sz w:val="18"/>
              </w:rPr>
              <w:t>0.740</w:t>
            </w:r>
          </w:p>
        </w:tc>
        <w:tc>
          <w:tcPr>
            <w:tcW w:w="1141" w:type="dxa"/>
          </w:tcPr>
          <w:p>
            <w:pPr>
              <w:pStyle w:val="TableParagraph"/>
              <w:spacing w:line="187" w:lineRule="exact"/>
              <w:ind w:left="381"/>
              <w:rPr>
                <w:sz w:val="18"/>
              </w:rPr>
            </w:pPr>
            <w:r>
              <w:rPr>
                <w:spacing w:val="-10"/>
                <w:sz w:val="18"/>
              </w:rPr>
              <w:t>2</w:t>
            </w:r>
          </w:p>
        </w:tc>
        <w:tc>
          <w:tcPr>
            <w:tcW w:w="1156" w:type="dxa"/>
          </w:tcPr>
          <w:p>
            <w:pPr>
              <w:pStyle w:val="TableParagraph"/>
              <w:spacing w:line="187" w:lineRule="exact"/>
              <w:ind w:left="232"/>
              <w:rPr>
                <w:sz w:val="18"/>
              </w:rPr>
            </w:pPr>
            <w:r>
              <w:rPr>
                <w:spacing w:val="-2"/>
                <w:sz w:val="18"/>
              </w:rPr>
              <w:t>0.744</w:t>
            </w:r>
          </w:p>
        </w:tc>
        <w:tc>
          <w:tcPr>
            <w:tcW w:w="1125" w:type="dxa"/>
          </w:tcPr>
          <w:p>
            <w:pPr>
              <w:pStyle w:val="TableParagraph"/>
              <w:spacing w:line="240" w:lineRule="auto"/>
              <w:rPr>
                <w:sz w:val="14"/>
              </w:rPr>
            </w:pPr>
          </w:p>
        </w:tc>
        <w:tc>
          <w:tcPr>
            <w:tcW w:w="1626" w:type="dxa"/>
          </w:tcPr>
          <w:p>
            <w:pPr>
              <w:pStyle w:val="TableParagraph"/>
              <w:spacing w:line="240" w:lineRule="auto"/>
              <w:rPr>
                <w:sz w:val="14"/>
              </w:rPr>
            </w:pPr>
          </w:p>
        </w:tc>
      </w:tr>
      <w:tr>
        <w:trPr>
          <w:trHeight w:val="207" w:hRule="atLeast"/>
        </w:trPr>
        <w:tc>
          <w:tcPr>
            <w:tcW w:w="1170" w:type="dxa"/>
          </w:tcPr>
          <w:p>
            <w:pPr>
              <w:pStyle w:val="TableParagraph"/>
              <w:spacing w:line="188" w:lineRule="exact"/>
              <w:ind w:left="122"/>
              <w:rPr>
                <w:b/>
                <w:sz w:val="18"/>
              </w:rPr>
            </w:pPr>
            <w:r>
              <w:rPr>
                <w:b/>
                <w:spacing w:val="-10"/>
                <w:sz w:val="18"/>
              </w:rPr>
              <w:t>3</w:t>
            </w:r>
          </w:p>
        </w:tc>
        <w:tc>
          <w:tcPr>
            <w:tcW w:w="1085" w:type="dxa"/>
          </w:tcPr>
          <w:p>
            <w:pPr>
              <w:pStyle w:val="TableParagraph"/>
              <w:spacing w:line="188" w:lineRule="exact"/>
              <w:ind w:left="149"/>
              <w:rPr>
                <w:sz w:val="18"/>
              </w:rPr>
            </w:pPr>
            <w:r>
              <w:rPr>
                <w:spacing w:val="-2"/>
                <w:sz w:val="18"/>
              </w:rPr>
              <w:t>0.739</w:t>
            </w:r>
          </w:p>
        </w:tc>
        <w:tc>
          <w:tcPr>
            <w:tcW w:w="865" w:type="dxa"/>
          </w:tcPr>
          <w:p>
            <w:pPr>
              <w:pStyle w:val="TableParagraph"/>
              <w:spacing w:line="188" w:lineRule="exact"/>
              <w:ind w:left="260"/>
              <w:rPr>
                <w:sz w:val="18"/>
              </w:rPr>
            </w:pPr>
            <w:r>
              <w:rPr>
                <w:spacing w:val="-10"/>
                <w:sz w:val="18"/>
              </w:rPr>
              <w:t>3</w:t>
            </w:r>
          </w:p>
        </w:tc>
        <w:tc>
          <w:tcPr>
            <w:tcW w:w="1138" w:type="dxa"/>
          </w:tcPr>
          <w:p>
            <w:pPr>
              <w:pStyle w:val="TableParagraph"/>
              <w:spacing w:line="188" w:lineRule="exact"/>
              <w:ind w:left="79"/>
              <w:rPr>
                <w:sz w:val="18"/>
              </w:rPr>
            </w:pPr>
            <w:r>
              <w:rPr>
                <w:spacing w:val="-2"/>
                <w:sz w:val="18"/>
              </w:rPr>
              <w:t>0.736</w:t>
            </w:r>
          </w:p>
        </w:tc>
        <w:tc>
          <w:tcPr>
            <w:tcW w:w="1141" w:type="dxa"/>
          </w:tcPr>
          <w:p>
            <w:pPr>
              <w:pStyle w:val="TableParagraph"/>
              <w:spacing w:line="188" w:lineRule="exact"/>
              <w:ind w:left="381"/>
              <w:rPr>
                <w:sz w:val="18"/>
              </w:rPr>
            </w:pPr>
            <w:r>
              <w:rPr>
                <w:spacing w:val="-10"/>
                <w:sz w:val="18"/>
              </w:rPr>
              <w:t>3</w:t>
            </w:r>
          </w:p>
        </w:tc>
        <w:tc>
          <w:tcPr>
            <w:tcW w:w="1156" w:type="dxa"/>
          </w:tcPr>
          <w:p>
            <w:pPr>
              <w:pStyle w:val="TableParagraph"/>
              <w:spacing w:line="188" w:lineRule="exact"/>
              <w:ind w:left="232"/>
              <w:rPr>
                <w:sz w:val="18"/>
              </w:rPr>
            </w:pPr>
            <w:r>
              <w:rPr>
                <w:spacing w:val="-2"/>
                <w:sz w:val="18"/>
              </w:rPr>
              <w:t>0.743</w:t>
            </w:r>
          </w:p>
        </w:tc>
        <w:tc>
          <w:tcPr>
            <w:tcW w:w="1125" w:type="dxa"/>
          </w:tcPr>
          <w:p>
            <w:pPr>
              <w:pStyle w:val="TableParagraph"/>
              <w:spacing w:line="240" w:lineRule="auto"/>
              <w:rPr>
                <w:sz w:val="14"/>
              </w:rPr>
            </w:pPr>
          </w:p>
        </w:tc>
        <w:tc>
          <w:tcPr>
            <w:tcW w:w="1626" w:type="dxa"/>
          </w:tcPr>
          <w:p>
            <w:pPr>
              <w:pStyle w:val="TableParagraph"/>
              <w:spacing w:line="240" w:lineRule="auto"/>
              <w:rPr>
                <w:sz w:val="14"/>
              </w:rPr>
            </w:pPr>
          </w:p>
        </w:tc>
      </w:tr>
      <w:tr>
        <w:trPr>
          <w:trHeight w:val="207" w:hRule="atLeast"/>
        </w:trPr>
        <w:tc>
          <w:tcPr>
            <w:tcW w:w="1170" w:type="dxa"/>
          </w:tcPr>
          <w:p>
            <w:pPr>
              <w:pStyle w:val="TableParagraph"/>
              <w:spacing w:line="188" w:lineRule="exact"/>
              <w:ind w:left="122"/>
              <w:rPr>
                <w:b/>
                <w:sz w:val="18"/>
              </w:rPr>
            </w:pPr>
            <w:r>
              <w:rPr>
                <w:b/>
                <w:spacing w:val="-10"/>
                <w:sz w:val="18"/>
              </w:rPr>
              <w:t>4</w:t>
            </w:r>
          </w:p>
        </w:tc>
        <w:tc>
          <w:tcPr>
            <w:tcW w:w="1085" w:type="dxa"/>
          </w:tcPr>
          <w:p>
            <w:pPr>
              <w:pStyle w:val="TableParagraph"/>
              <w:spacing w:line="188" w:lineRule="exact"/>
              <w:ind w:left="149"/>
              <w:rPr>
                <w:sz w:val="18"/>
              </w:rPr>
            </w:pPr>
            <w:r>
              <w:rPr>
                <w:spacing w:val="-2"/>
                <w:sz w:val="18"/>
              </w:rPr>
              <w:t>0.738</w:t>
            </w:r>
          </w:p>
        </w:tc>
        <w:tc>
          <w:tcPr>
            <w:tcW w:w="865" w:type="dxa"/>
          </w:tcPr>
          <w:p>
            <w:pPr>
              <w:pStyle w:val="TableParagraph"/>
              <w:spacing w:line="188" w:lineRule="exact"/>
              <w:ind w:left="260"/>
              <w:rPr>
                <w:sz w:val="18"/>
              </w:rPr>
            </w:pPr>
            <w:r>
              <w:rPr>
                <w:spacing w:val="-10"/>
                <w:sz w:val="18"/>
              </w:rPr>
              <w:t>4</w:t>
            </w:r>
          </w:p>
        </w:tc>
        <w:tc>
          <w:tcPr>
            <w:tcW w:w="1138" w:type="dxa"/>
          </w:tcPr>
          <w:p>
            <w:pPr>
              <w:pStyle w:val="TableParagraph"/>
              <w:spacing w:line="188" w:lineRule="exact"/>
              <w:ind w:left="79"/>
              <w:rPr>
                <w:sz w:val="18"/>
              </w:rPr>
            </w:pPr>
            <w:r>
              <w:rPr>
                <w:spacing w:val="-2"/>
                <w:sz w:val="18"/>
              </w:rPr>
              <w:t>0.735</w:t>
            </w:r>
          </w:p>
        </w:tc>
        <w:tc>
          <w:tcPr>
            <w:tcW w:w="1141" w:type="dxa"/>
          </w:tcPr>
          <w:p>
            <w:pPr>
              <w:pStyle w:val="TableParagraph"/>
              <w:spacing w:line="188" w:lineRule="exact"/>
              <w:ind w:left="381"/>
              <w:rPr>
                <w:sz w:val="18"/>
              </w:rPr>
            </w:pPr>
            <w:r>
              <w:rPr>
                <w:spacing w:val="-10"/>
                <w:sz w:val="18"/>
              </w:rPr>
              <w:t>4</w:t>
            </w:r>
          </w:p>
        </w:tc>
        <w:tc>
          <w:tcPr>
            <w:tcW w:w="1156" w:type="dxa"/>
          </w:tcPr>
          <w:p>
            <w:pPr>
              <w:pStyle w:val="TableParagraph"/>
              <w:spacing w:line="188" w:lineRule="exact"/>
              <w:ind w:left="232"/>
              <w:rPr>
                <w:sz w:val="18"/>
              </w:rPr>
            </w:pPr>
            <w:r>
              <w:rPr>
                <w:spacing w:val="-2"/>
                <w:sz w:val="18"/>
              </w:rPr>
              <w:t>0.739</w:t>
            </w:r>
          </w:p>
        </w:tc>
        <w:tc>
          <w:tcPr>
            <w:tcW w:w="1125" w:type="dxa"/>
          </w:tcPr>
          <w:p>
            <w:pPr>
              <w:pStyle w:val="TableParagraph"/>
              <w:spacing w:line="240" w:lineRule="auto"/>
              <w:rPr>
                <w:sz w:val="14"/>
              </w:rPr>
            </w:pPr>
          </w:p>
        </w:tc>
        <w:tc>
          <w:tcPr>
            <w:tcW w:w="1626" w:type="dxa"/>
          </w:tcPr>
          <w:p>
            <w:pPr>
              <w:pStyle w:val="TableParagraph"/>
              <w:spacing w:line="240" w:lineRule="auto"/>
              <w:rPr>
                <w:sz w:val="14"/>
              </w:rPr>
            </w:pPr>
          </w:p>
        </w:tc>
      </w:tr>
      <w:tr>
        <w:trPr>
          <w:trHeight w:val="206" w:hRule="atLeast"/>
        </w:trPr>
        <w:tc>
          <w:tcPr>
            <w:tcW w:w="1170" w:type="dxa"/>
          </w:tcPr>
          <w:p>
            <w:pPr>
              <w:pStyle w:val="TableParagraph"/>
              <w:ind w:left="122"/>
              <w:rPr>
                <w:b/>
                <w:sz w:val="18"/>
              </w:rPr>
            </w:pPr>
            <w:r>
              <w:rPr>
                <w:b/>
                <w:spacing w:val="-10"/>
                <w:sz w:val="18"/>
              </w:rPr>
              <w:t>5</w:t>
            </w:r>
          </w:p>
        </w:tc>
        <w:tc>
          <w:tcPr>
            <w:tcW w:w="1085" w:type="dxa"/>
          </w:tcPr>
          <w:p>
            <w:pPr>
              <w:pStyle w:val="TableParagraph"/>
              <w:ind w:left="149"/>
              <w:rPr>
                <w:sz w:val="18"/>
              </w:rPr>
            </w:pPr>
            <w:r>
              <w:rPr>
                <w:spacing w:val="-2"/>
                <w:sz w:val="18"/>
              </w:rPr>
              <w:t>0.737</w:t>
            </w:r>
          </w:p>
        </w:tc>
        <w:tc>
          <w:tcPr>
            <w:tcW w:w="865" w:type="dxa"/>
          </w:tcPr>
          <w:p>
            <w:pPr>
              <w:pStyle w:val="TableParagraph"/>
              <w:ind w:left="260"/>
              <w:rPr>
                <w:sz w:val="18"/>
              </w:rPr>
            </w:pPr>
            <w:r>
              <w:rPr>
                <w:spacing w:val="-10"/>
                <w:sz w:val="18"/>
              </w:rPr>
              <w:t>5</w:t>
            </w:r>
          </w:p>
        </w:tc>
        <w:tc>
          <w:tcPr>
            <w:tcW w:w="1138" w:type="dxa"/>
          </w:tcPr>
          <w:p>
            <w:pPr>
              <w:pStyle w:val="TableParagraph"/>
              <w:ind w:left="79"/>
              <w:rPr>
                <w:sz w:val="18"/>
              </w:rPr>
            </w:pPr>
            <w:r>
              <w:rPr>
                <w:spacing w:val="-2"/>
                <w:sz w:val="18"/>
              </w:rPr>
              <w:t>0.737</w:t>
            </w:r>
          </w:p>
        </w:tc>
        <w:tc>
          <w:tcPr>
            <w:tcW w:w="1141" w:type="dxa"/>
          </w:tcPr>
          <w:p>
            <w:pPr>
              <w:pStyle w:val="TableParagraph"/>
              <w:ind w:left="381"/>
              <w:rPr>
                <w:sz w:val="18"/>
              </w:rPr>
            </w:pPr>
            <w:r>
              <w:rPr>
                <w:spacing w:val="-10"/>
                <w:sz w:val="18"/>
              </w:rPr>
              <w:t>5</w:t>
            </w:r>
          </w:p>
        </w:tc>
        <w:tc>
          <w:tcPr>
            <w:tcW w:w="1156" w:type="dxa"/>
          </w:tcPr>
          <w:p>
            <w:pPr>
              <w:pStyle w:val="TableParagraph"/>
              <w:ind w:left="232"/>
              <w:rPr>
                <w:sz w:val="18"/>
              </w:rPr>
            </w:pPr>
            <w:r>
              <w:rPr>
                <w:spacing w:val="-2"/>
                <w:sz w:val="18"/>
              </w:rPr>
              <w:t>0.741</w:t>
            </w:r>
          </w:p>
        </w:tc>
        <w:tc>
          <w:tcPr>
            <w:tcW w:w="1125" w:type="dxa"/>
          </w:tcPr>
          <w:p>
            <w:pPr>
              <w:pStyle w:val="TableParagraph"/>
              <w:spacing w:line="240" w:lineRule="auto"/>
              <w:rPr>
                <w:sz w:val="14"/>
              </w:rPr>
            </w:pPr>
          </w:p>
        </w:tc>
        <w:tc>
          <w:tcPr>
            <w:tcW w:w="1626" w:type="dxa"/>
          </w:tcPr>
          <w:p>
            <w:pPr>
              <w:pStyle w:val="TableParagraph"/>
              <w:spacing w:line="240" w:lineRule="auto"/>
              <w:rPr>
                <w:sz w:val="14"/>
              </w:rPr>
            </w:pPr>
          </w:p>
        </w:tc>
      </w:tr>
      <w:tr>
        <w:trPr>
          <w:trHeight w:val="206" w:hRule="atLeast"/>
        </w:trPr>
        <w:tc>
          <w:tcPr>
            <w:tcW w:w="1170" w:type="dxa"/>
          </w:tcPr>
          <w:p>
            <w:pPr>
              <w:pStyle w:val="TableParagraph"/>
              <w:ind w:left="122"/>
              <w:rPr>
                <w:b/>
                <w:sz w:val="18"/>
              </w:rPr>
            </w:pPr>
            <w:r>
              <w:rPr>
                <w:b/>
                <w:spacing w:val="-2"/>
                <w:sz w:val="18"/>
              </w:rPr>
              <w:t>AVERAGE</w:t>
            </w:r>
          </w:p>
        </w:tc>
        <w:tc>
          <w:tcPr>
            <w:tcW w:w="1085" w:type="dxa"/>
          </w:tcPr>
          <w:p>
            <w:pPr>
              <w:pStyle w:val="TableParagraph"/>
              <w:ind w:left="149"/>
              <w:rPr>
                <w:sz w:val="18"/>
              </w:rPr>
            </w:pPr>
            <w:r>
              <w:rPr>
                <w:spacing w:val="-2"/>
                <w:sz w:val="18"/>
              </w:rPr>
              <w:t>0.739</w:t>
            </w:r>
          </w:p>
        </w:tc>
        <w:tc>
          <w:tcPr>
            <w:tcW w:w="865" w:type="dxa"/>
          </w:tcPr>
          <w:p>
            <w:pPr>
              <w:pStyle w:val="TableParagraph"/>
              <w:spacing w:line="240" w:lineRule="auto"/>
              <w:rPr>
                <w:sz w:val="14"/>
              </w:rPr>
            </w:pPr>
          </w:p>
        </w:tc>
        <w:tc>
          <w:tcPr>
            <w:tcW w:w="1138" w:type="dxa"/>
          </w:tcPr>
          <w:p>
            <w:pPr>
              <w:pStyle w:val="TableParagraph"/>
              <w:ind w:left="79"/>
              <w:rPr>
                <w:sz w:val="18"/>
              </w:rPr>
            </w:pPr>
            <w:r>
              <w:rPr>
                <w:spacing w:val="-2"/>
                <w:sz w:val="18"/>
              </w:rPr>
              <w:t>0.738</w:t>
            </w:r>
          </w:p>
        </w:tc>
        <w:tc>
          <w:tcPr>
            <w:tcW w:w="1141" w:type="dxa"/>
          </w:tcPr>
          <w:p>
            <w:pPr>
              <w:pStyle w:val="TableParagraph"/>
              <w:spacing w:line="240" w:lineRule="auto"/>
              <w:rPr>
                <w:sz w:val="14"/>
              </w:rPr>
            </w:pPr>
          </w:p>
        </w:tc>
        <w:tc>
          <w:tcPr>
            <w:tcW w:w="1156" w:type="dxa"/>
          </w:tcPr>
          <w:p>
            <w:pPr>
              <w:pStyle w:val="TableParagraph"/>
              <w:ind w:left="232"/>
              <w:rPr>
                <w:sz w:val="18"/>
              </w:rPr>
            </w:pPr>
            <w:r>
              <w:rPr>
                <w:spacing w:val="-2"/>
                <w:sz w:val="18"/>
              </w:rPr>
              <w:t>0.742</w:t>
            </w:r>
          </w:p>
        </w:tc>
        <w:tc>
          <w:tcPr>
            <w:tcW w:w="1125" w:type="dxa"/>
          </w:tcPr>
          <w:p>
            <w:pPr>
              <w:pStyle w:val="TableParagraph"/>
              <w:ind w:left="40" w:right="177"/>
              <w:jc w:val="center"/>
              <w:rPr>
                <w:sz w:val="18"/>
              </w:rPr>
            </w:pPr>
            <w:r>
              <w:rPr>
                <w:spacing w:val="-2"/>
                <w:sz w:val="18"/>
              </w:rPr>
              <w:t>2.2182</w:t>
            </w:r>
          </w:p>
        </w:tc>
        <w:tc>
          <w:tcPr>
            <w:tcW w:w="1626" w:type="dxa"/>
          </w:tcPr>
          <w:p>
            <w:pPr>
              <w:pStyle w:val="TableParagraph"/>
              <w:ind w:left="200"/>
              <w:rPr>
                <w:sz w:val="18"/>
              </w:rPr>
            </w:pPr>
            <w:r>
              <w:rPr>
                <w:spacing w:val="-2"/>
                <w:sz w:val="18"/>
              </w:rPr>
              <w:t>0.740</w:t>
            </w:r>
          </w:p>
        </w:tc>
      </w:tr>
      <w:tr>
        <w:trPr>
          <w:trHeight w:val="206" w:hRule="atLeast"/>
        </w:trPr>
        <w:tc>
          <w:tcPr>
            <w:tcW w:w="1170" w:type="dxa"/>
          </w:tcPr>
          <w:p>
            <w:pPr>
              <w:pStyle w:val="TableParagraph"/>
              <w:ind w:left="122"/>
              <w:rPr>
                <w:b/>
                <w:sz w:val="18"/>
              </w:rPr>
            </w:pPr>
            <w:r>
              <w:rPr>
                <w:b/>
                <w:spacing w:val="-5"/>
                <w:sz w:val="18"/>
              </w:rPr>
              <w:t>SD</w:t>
            </w:r>
          </w:p>
        </w:tc>
        <w:tc>
          <w:tcPr>
            <w:tcW w:w="1085" w:type="dxa"/>
          </w:tcPr>
          <w:p>
            <w:pPr>
              <w:pStyle w:val="TableParagraph"/>
              <w:ind w:left="149"/>
              <w:rPr>
                <w:sz w:val="18"/>
              </w:rPr>
            </w:pPr>
            <w:r>
              <w:rPr>
                <w:spacing w:val="-2"/>
                <w:sz w:val="18"/>
              </w:rPr>
              <w:t>0.00102</w:t>
            </w:r>
          </w:p>
        </w:tc>
        <w:tc>
          <w:tcPr>
            <w:tcW w:w="865" w:type="dxa"/>
          </w:tcPr>
          <w:p>
            <w:pPr>
              <w:pStyle w:val="TableParagraph"/>
              <w:spacing w:line="240" w:lineRule="auto"/>
              <w:rPr>
                <w:sz w:val="14"/>
              </w:rPr>
            </w:pPr>
          </w:p>
        </w:tc>
        <w:tc>
          <w:tcPr>
            <w:tcW w:w="1138" w:type="dxa"/>
          </w:tcPr>
          <w:p>
            <w:pPr>
              <w:pStyle w:val="TableParagraph"/>
              <w:ind w:left="79"/>
              <w:rPr>
                <w:sz w:val="18"/>
              </w:rPr>
            </w:pPr>
            <w:r>
              <w:rPr>
                <w:spacing w:val="-2"/>
                <w:sz w:val="18"/>
              </w:rPr>
              <w:t>0.002315</w:t>
            </w:r>
          </w:p>
        </w:tc>
        <w:tc>
          <w:tcPr>
            <w:tcW w:w="1141" w:type="dxa"/>
          </w:tcPr>
          <w:p>
            <w:pPr>
              <w:pStyle w:val="TableParagraph"/>
              <w:spacing w:line="240" w:lineRule="auto"/>
              <w:rPr>
                <w:sz w:val="14"/>
              </w:rPr>
            </w:pPr>
          </w:p>
        </w:tc>
        <w:tc>
          <w:tcPr>
            <w:tcW w:w="1156" w:type="dxa"/>
          </w:tcPr>
          <w:p>
            <w:pPr>
              <w:pStyle w:val="TableParagraph"/>
              <w:ind w:left="232"/>
              <w:rPr>
                <w:sz w:val="18"/>
              </w:rPr>
            </w:pPr>
            <w:r>
              <w:rPr>
                <w:spacing w:val="-2"/>
                <w:sz w:val="18"/>
              </w:rPr>
              <w:t>0.00172</w:t>
            </w:r>
          </w:p>
        </w:tc>
        <w:tc>
          <w:tcPr>
            <w:tcW w:w="1125" w:type="dxa"/>
          </w:tcPr>
          <w:p>
            <w:pPr>
              <w:pStyle w:val="TableParagraph"/>
              <w:ind w:left="177" w:right="137"/>
              <w:jc w:val="center"/>
              <w:rPr>
                <w:sz w:val="18"/>
              </w:rPr>
            </w:pPr>
            <w:r>
              <w:rPr>
                <w:spacing w:val="-2"/>
                <w:sz w:val="18"/>
              </w:rPr>
              <w:t>0.005055</w:t>
            </w:r>
          </w:p>
        </w:tc>
        <w:tc>
          <w:tcPr>
            <w:tcW w:w="1626" w:type="dxa"/>
          </w:tcPr>
          <w:p>
            <w:pPr>
              <w:pStyle w:val="TableParagraph"/>
              <w:ind w:left="200"/>
              <w:rPr>
                <w:sz w:val="18"/>
              </w:rPr>
            </w:pPr>
            <w:r>
              <w:rPr>
                <w:spacing w:val="-2"/>
                <w:sz w:val="18"/>
              </w:rPr>
              <w:t>0.001685</w:t>
            </w:r>
          </w:p>
        </w:tc>
      </w:tr>
      <w:tr>
        <w:trPr>
          <w:trHeight w:val="206" w:hRule="atLeast"/>
        </w:trPr>
        <w:tc>
          <w:tcPr>
            <w:tcW w:w="1170" w:type="dxa"/>
            <w:tcBorders>
              <w:bottom w:val="single" w:sz="8" w:space="0" w:color="000000"/>
            </w:tcBorders>
          </w:tcPr>
          <w:p>
            <w:pPr>
              <w:pStyle w:val="TableParagraph"/>
              <w:spacing w:line="187" w:lineRule="exact"/>
              <w:ind w:left="122"/>
              <w:rPr>
                <w:b/>
                <w:sz w:val="18"/>
              </w:rPr>
            </w:pPr>
            <w:r>
              <w:rPr>
                <w:b/>
                <w:spacing w:val="-4"/>
                <w:sz w:val="18"/>
              </w:rPr>
              <w:t>%RSD</w:t>
            </w:r>
          </w:p>
        </w:tc>
        <w:tc>
          <w:tcPr>
            <w:tcW w:w="1085" w:type="dxa"/>
            <w:tcBorders>
              <w:bottom w:val="single" w:sz="8" w:space="0" w:color="000000"/>
            </w:tcBorders>
          </w:tcPr>
          <w:p>
            <w:pPr>
              <w:pStyle w:val="TableParagraph"/>
              <w:spacing w:line="187" w:lineRule="exact"/>
              <w:ind w:left="149"/>
              <w:rPr>
                <w:sz w:val="18"/>
              </w:rPr>
            </w:pPr>
            <w:r>
              <w:rPr>
                <w:spacing w:val="-2"/>
                <w:sz w:val="18"/>
              </w:rPr>
              <w:t>0.138073</w:t>
            </w:r>
          </w:p>
        </w:tc>
        <w:tc>
          <w:tcPr>
            <w:tcW w:w="865" w:type="dxa"/>
            <w:tcBorders>
              <w:bottom w:val="single" w:sz="8" w:space="0" w:color="000000"/>
            </w:tcBorders>
          </w:tcPr>
          <w:p>
            <w:pPr>
              <w:pStyle w:val="TableParagraph"/>
              <w:spacing w:line="240" w:lineRule="auto"/>
              <w:rPr>
                <w:sz w:val="14"/>
              </w:rPr>
            </w:pPr>
          </w:p>
        </w:tc>
        <w:tc>
          <w:tcPr>
            <w:tcW w:w="1138" w:type="dxa"/>
            <w:tcBorders>
              <w:bottom w:val="single" w:sz="8" w:space="0" w:color="000000"/>
            </w:tcBorders>
          </w:tcPr>
          <w:p>
            <w:pPr>
              <w:pStyle w:val="TableParagraph"/>
              <w:spacing w:line="187" w:lineRule="exact"/>
              <w:ind w:left="79"/>
              <w:rPr>
                <w:sz w:val="18"/>
              </w:rPr>
            </w:pPr>
            <w:r>
              <w:rPr>
                <w:spacing w:val="-2"/>
                <w:sz w:val="18"/>
              </w:rPr>
              <w:t>0.313793</w:t>
            </w:r>
          </w:p>
        </w:tc>
        <w:tc>
          <w:tcPr>
            <w:tcW w:w="1141" w:type="dxa"/>
            <w:tcBorders>
              <w:bottom w:val="single" w:sz="8" w:space="0" w:color="000000"/>
            </w:tcBorders>
          </w:tcPr>
          <w:p>
            <w:pPr>
              <w:pStyle w:val="TableParagraph"/>
              <w:spacing w:line="240" w:lineRule="auto"/>
              <w:rPr>
                <w:sz w:val="14"/>
              </w:rPr>
            </w:pPr>
          </w:p>
        </w:tc>
        <w:tc>
          <w:tcPr>
            <w:tcW w:w="1156" w:type="dxa"/>
            <w:tcBorders>
              <w:bottom w:val="single" w:sz="8" w:space="0" w:color="000000"/>
            </w:tcBorders>
          </w:tcPr>
          <w:p>
            <w:pPr>
              <w:pStyle w:val="TableParagraph"/>
              <w:spacing w:line="187" w:lineRule="exact"/>
              <w:ind w:left="232"/>
              <w:rPr>
                <w:sz w:val="18"/>
              </w:rPr>
            </w:pPr>
            <w:r>
              <w:rPr>
                <w:spacing w:val="-2"/>
                <w:sz w:val="18"/>
              </w:rPr>
              <w:t>0.231931</w:t>
            </w:r>
          </w:p>
        </w:tc>
        <w:tc>
          <w:tcPr>
            <w:tcW w:w="1125" w:type="dxa"/>
            <w:tcBorders>
              <w:bottom w:val="single" w:sz="8" w:space="0" w:color="000000"/>
            </w:tcBorders>
          </w:tcPr>
          <w:p>
            <w:pPr>
              <w:pStyle w:val="TableParagraph"/>
              <w:spacing w:line="187" w:lineRule="exact"/>
              <w:ind w:left="177" w:right="137"/>
              <w:jc w:val="center"/>
              <w:rPr>
                <w:sz w:val="18"/>
              </w:rPr>
            </w:pPr>
            <w:r>
              <w:rPr>
                <w:spacing w:val="-2"/>
                <w:sz w:val="18"/>
              </w:rPr>
              <w:t>0.683797</w:t>
            </w:r>
          </w:p>
        </w:tc>
        <w:tc>
          <w:tcPr>
            <w:tcW w:w="1626" w:type="dxa"/>
            <w:tcBorders>
              <w:bottom w:val="single" w:sz="8" w:space="0" w:color="000000"/>
            </w:tcBorders>
          </w:tcPr>
          <w:p>
            <w:pPr>
              <w:pStyle w:val="TableParagraph"/>
              <w:spacing w:line="187" w:lineRule="exact"/>
              <w:ind w:left="200"/>
              <w:rPr>
                <w:sz w:val="18"/>
              </w:rPr>
            </w:pPr>
            <w:r>
              <w:rPr>
                <w:spacing w:val="-2"/>
                <w:sz w:val="18"/>
              </w:rPr>
              <w:t>0.227932</w:t>
            </w:r>
          </w:p>
        </w:tc>
      </w:tr>
    </w:tbl>
    <w:p>
      <w:pPr>
        <w:spacing w:after="0" w:line="187" w:lineRule="exact"/>
        <w:rPr>
          <w:sz w:val="18"/>
        </w:rPr>
        <w:sectPr>
          <w:pgSz w:w="12240" w:h="15840"/>
          <w:pgMar w:header="0" w:footer="1015" w:top="1800" w:bottom="1200" w:left="240" w:right="0"/>
        </w:sectPr>
      </w:pPr>
    </w:p>
    <w:p>
      <w:pPr>
        <w:pStyle w:val="Heading1"/>
        <w:spacing w:before="77"/>
      </w:pPr>
      <w:r>
        <w:rPr/>
        <w:t>Appendix</w:t>
      </w:r>
      <w:r>
        <w:rPr>
          <w:spacing w:val="-4"/>
        </w:rPr>
        <w:t> </w:t>
      </w:r>
      <w:r>
        <w:rPr/>
        <w:t>X:Calculations</w:t>
      </w:r>
      <w:r>
        <w:rPr>
          <w:spacing w:val="-8"/>
        </w:rPr>
        <w:t> </w:t>
      </w:r>
      <w:r>
        <w:rPr/>
        <w:t>on</w:t>
      </w:r>
      <w:r>
        <w:rPr>
          <w:spacing w:val="-7"/>
        </w:rPr>
        <w:t> </w:t>
      </w:r>
      <w:r>
        <w:rPr/>
        <w:t>accuracy,</w:t>
      </w:r>
      <w:r>
        <w:rPr>
          <w:spacing w:val="-6"/>
        </w:rPr>
        <w:t> </w:t>
      </w:r>
      <w:r>
        <w:rPr/>
        <w:t>%</w:t>
      </w:r>
      <w:r>
        <w:rPr>
          <w:spacing w:val="-9"/>
        </w:rPr>
        <w:t> </w:t>
      </w:r>
      <w:r>
        <w:rPr/>
        <w:t>recovery,</w:t>
      </w:r>
      <w:r>
        <w:rPr>
          <w:spacing w:val="-6"/>
        </w:rPr>
        <w:t> </w:t>
      </w:r>
      <w:r>
        <w:rPr/>
        <w:t>LOD</w:t>
      </w:r>
      <w:r>
        <w:rPr>
          <w:spacing w:val="-8"/>
        </w:rPr>
        <w:t> </w:t>
      </w:r>
      <w:r>
        <w:rPr/>
        <w:t>and</w:t>
      </w:r>
      <w:r>
        <w:rPr>
          <w:spacing w:val="-7"/>
        </w:rPr>
        <w:t> </w:t>
      </w:r>
      <w:r>
        <w:rPr>
          <w:spacing w:val="-5"/>
        </w:rPr>
        <w:t>LOQ</w:t>
      </w:r>
    </w:p>
    <w:p>
      <w:pPr>
        <w:pStyle w:val="BodyText"/>
        <w:spacing w:before="163"/>
        <w:rPr>
          <w:b/>
          <w:sz w:val="26"/>
        </w:rPr>
      </w:pPr>
    </w:p>
    <w:p>
      <w:pPr>
        <w:spacing w:line="472" w:lineRule="auto" w:before="0"/>
        <w:ind w:left="1200" w:right="1431" w:firstLine="0"/>
        <w:jc w:val="left"/>
        <w:rPr>
          <w:sz w:val="26"/>
        </w:rPr>
      </w:pPr>
      <w:r>
        <w:rPr>
          <w:sz w:val="26"/>
        </w:rPr>
        <w:t>To</w:t>
      </w:r>
      <w:r>
        <w:rPr>
          <w:spacing w:val="-3"/>
          <w:sz w:val="26"/>
        </w:rPr>
        <w:t> </w:t>
      </w:r>
      <w:r>
        <w:rPr>
          <w:sz w:val="26"/>
        </w:rPr>
        <w:t>10 mL</w:t>
      </w:r>
      <w:r>
        <w:rPr>
          <w:spacing w:val="-2"/>
          <w:sz w:val="26"/>
        </w:rPr>
        <w:t> </w:t>
      </w:r>
      <w:r>
        <w:rPr>
          <w:sz w:val="26"/>
        </w:rPr>
        <w:t>volumetric</w:t>
      </w:r>
      <w:r>
        <w:rPr>
          <w:spacing w:val="-2"/>
          <w:sz w:val="26"/>
        </w:rPr>
        <w:t> </w:t>
      </w:r>
      <w:r>
        <w:rPr>
          <w:sz w:val="26"/>
        </w:rPr>
        <w:t>flask</w:t>
      </w:r>
      <w:r>
        <w:rPr>
          <w:spacing w:val="-3"/>
          <w:sz w:val="26"/>
        </w:rPr>
        <w:t> </w:t>
      </w:r>
      <w:r>
        <w:rPr>
          <w:sz w:val="26"/>
        </w:rPr>
        <w:t>A</w:t>
      </w:r>
      <w:r>
        <w:rPr>
          <w:sz w:val="26"/>
          <w:vertAlign w:val="subscript"/>
        </w:rPr>
        <w:t>1</w:t>
      </w:r>
      <w:r>
        <w:rPr>
          <w:spacing w:val="-1"/>
          <w:sz w:val="26"/>
          <w:vertAlign w:val="baseline"/>
        </w:rPr>
        <w:t> </w:t>
      </w:r>
      <w:r>
        <w:rPr>
          <w:sz w:val="26"/>
          <w:vertAlign w:val="baseline"/>
        </w:rPr>
        <w:t>contains</w:t>
      </w:r>
      <w:r>
        <w:rPr>
          <w:spacing w:val="-3"/>
          <w:sz w:val="26"/>
          <w:vertAlign w:val="baseline"/>
        </w:rPr>
        <w:t> </w:t>
      </w:r>
      <w:r>
        <w:rPr>
          <w:sz w:val="26"/>
          <w:vertAlign w:val="baseline"/>
        </w:rPr>
        <w:t>5 mL of 10</w:t>
      </w:r>
      <w:r>
        <w:rPr>
          <w:spacing w:val="-1"/>
          <w:sz w:val="26"/>
          <w:vertAlign w:val="baseline"/>
        </w:rPr>
        <w:t> </w:t>
      </w:r>
      <w:r>
        <w:rPr>
          <w:rFonts w:ascii="Calibri" w:hAnsi="Calibri"/>
          <w:sz w:val="26"/>
          <w:vertAlign w:val="baseline"/>
        </w:rPr>
        <w:t>μ</w:t>
      </w:r>
      <w:r>
        <w:rPr>
          <w:sz w:val="26"/>
          <w:vertAlign w:val="baseline"/>
        </w:rPr>
        <w:t>g/mL</w:t>
      </w:r>
      <w:r>
        <w:rPr>
          <w:spacing w:val="-3"/>
          <w:sz w:val="26"/>
          <w:vertAlign w:val="baseline"/>
        </w:rPr>
        <w:t> </w:t>
      </w:r>
      <w:r>
        <w:rPr>
          <w:sz w:val="26"/>
          <w:vertAlign w:val="baseline"/>
        </w:rPr>
        <w:t>isoniazidsolution</w:t>
      </w:r>
      <w:r>
        <w:rPr>
          <w:spacing w:val="-3"/>
          <w:sz w:val="26"/>
          <w:vertAlign w:val="baseline"/>
        </w:rPr>
        <w:t> </w:t>
      </w:r>
      <w:r>
        <w:rPr>
          <w:sz w:val="26"/>
          <w:vertAlign w:val="baseline"/>
        </w:rPr>
        <w:t>and</w:t>
      </w:r>
      <w:r>
        <w:rPr>
          <w:spacing w:val="-2"/>
          <w:sz w:val="26"/>
          <w:vertAlign w:val="baseline"/>
        </w:rPr>
        <w:t> </w:t>
      </w:r>
      <w:r>
        <w:rPr>
          <w:sz w:val="26"/>
          <w:vertAlign w:val="baseline"/>
        </w:rPr>
        <w:t>was</w:t>
      </w:r>
      <w:r>
        <w:rPr>
          <w:spacing w:val="-3"/>
          <w:sz w:val="26"/>
          <w:vertAlign w:val="baseline"/>
        </w:rPr>
        <w:t> </w:t>
      </w:r>
      <w:r>
        <w:rPr>
          <w:sz w:val="26"/>
          <w:vertAlign w:val="baseline"/>
        </w:rPr>
        <w:t>kept unspiked. Its absorbance was measured and was recorded as (a = 0.630)</w:t>
      </w:r>
    </w:p>
    <w:p>
      <w:pPr>
        <w:spacing w:before="178"/>
        <w:ind w:left="1200" w:right="0" w:firstLine="0"/>
        <w:jc w:val="left"/>
        <w:rPr>
          <w:sz w:val="26"/>
        </w:rPr>
      </w:pPr>
      <w:r>
        <w:rPr>
          <w:sz w:val="26"/>
        </w:rPr>
        <w:t>How</w:t>
      </w:r>
      <w:r>
        <w:rPr>
          <w:spacing w:val="-6"/>
          <w:sz w:val="26"/>
        </w:rPr>
        <w:t> </w:t>
      </w:r>
      <w:r>
        <w:rPr>
          <w:sz w:val="26"/>
        </w:rPr>
        <w:t>to</w:t>
      </w:r>
      <w:r>
        <w:rPr>
          <w:spacing w:val="-5"/>
          <w:sz w:val="26"/>
        </w:rPr>
        <w:t> </w:t>
      </w:r>
      <w:r>
        <w:rPr>
          <w:sz w:val="26"/>
        </w:rPr>
        <w:t>prepare</w:t>
      </w:r>
      <w:r>
        <w:rPr>
          <w:spacing w:val="-5"/>
          <w:sz w:val="26"/>
        </w:rPr>
        <w:t> </w:t>
      </w:r>
      <w:r>
        <w:rPr>
          <w:sz w:val="26"/>
        </w:rPr>
        <w:t>18</w:t>
      </w:r>
      <w:r>
        <w:rPr>
          <w:spacing w:val="-3"/>
          <w:sz w:val="26"/>
        </w:rPr>
        <w:t> </w:t>
      </w:r>
      <w:r>
        <w:rPr>
          <w:rFonts w:ascii="Calibri" w:hAnsi="Calibri"/>
          <w:sz w:val="26"/>
        </w:rPr>
        <w:t>μ</w:t>
      </w:r>
      <w:r>
        <w:rPr>
          <w:sz w:val="26"/>
        </w:rPr>
        <w:t>g/L</w:t>
      </w:r>
      <w:r>
        <w:rPr>
          <w:spacing w:val="-4"/>
          <w:sz w:val="26"/>
        </w:rPr>
        <w:t> </w:t>
      </w:r>
      <w:r>
        <w:rPr>
          <w:sz w:val="26"/>
        </w:rPr>
        <w:t>in</w:t>
      </w:r>
      <w:r>
        <w:rPr>
          <w:spacing w:val="-6"/>
          <w:sz w:val="26"/>
        </w:rPr>
        <w:t> </w:t>
      </w:r>
      <w:r>
        <w:rPr>
          <w:sz w:val="26"/>
        </w:rPr>
        <w:t>test</w:t>
      </w:r>
      <w:r>
        <w:rPr>
          <w:spacing w:val="-5"/>
          <w:sz w:val="26"/>
        </w:rPr>
        <w:t> </w:t>
      </w:r>
      <w:r>
        <w:rPr>
          <w:sz w:val="26"/>
        </w:rPr>
        <w:t>tube</w:t>
      </w:r>
      <w:r>
        <w:rPr>
          <w:spacing w:val="-5"/>
          <w:sz w:val="26"/>
        </w:rPr>
        <w:t> B</w:t>
      </w:r>
      <w:r>
        <w:rPr>
          <w:spacing w:val="-5"/>
          <w:sz w:val="26"/>
          <w:vertAlign w:val="subscript"/>
        </w:rPr>
        <w:t>1</w:t>
      </w:r>
      <w:r>
        <w:rPr>
          <w:spacing w:val="-5"/>
          <w:sz w:val="26"/>
          <w:vertAlign w:val="baseline"/>
        </w:rPr>
        <w:t>.</w:t>
      </w:r>
    </w:p>
    <w:p>
      <w:pPr>
        <w:pStyle w:val="BodyText"/>
        <w:spacing w:before="178"/>
        <w:rPr>
          <w:sz w:val="26"/>
        </w:rPr>
      </w:pPr>
    </w:p>
    <w:p>
      <w:pPr>
        <w:spacing w:line="592" w:lineRule="auto" w:before="0"/>
        <w:ind w:left="1265" w:right="1431" w:hanging="65"/>
        <w:jc w:val="left"/>
        <w:rPr>
          <w:sz w:val="26"/>
        </w:rPr>
      </w:pPr>
      <w:r>
        <w:rPr>
          <w:sz w:val="26"/>
        </w:rPr>
        <w:t>Concentration</w:t>
      </w:r>
      <w:r>
        <w:rPr>
          <w:spacing w:val="-5"/>
          <w:sz w:val="26"/>
        </w:rPr>
        <w:t> </w:t>
      </w:r>
      <w:r>
        <w:rPr>
          <w:sz w:val="26"/>
        </w:rPr>
        <w:t>of</w:t>
      </w:r>
      <w:r>
        <w:rPr>
          <w:spacing w:val="-2"/>
          <w:sz w:val="26"/>
        </w:rPr>
        <w:t> </w:t>
      </w:r>
      <w:r>
        <w:rPr>
          <w:sz w:val="26"/>
        </w:rPr>
        <w:t>isoniazid</w:t>
      </w:r>
      <w:r>
        <w:rPr>
          <w:spacing w:val="-5"/>
          <w:sz w:val="26"/>
        </w:rPr>
        <w:t> </w:t>
      </w:r>
      <w:r>
        <w:rPr>
          <w:sz w:val="26"/>
        </w:rPr>
        <w:t>solution</w:t>
      </w:r>
      <w:r>
        <w:rPr>
          <w:spacing w:val="-5"/>
          <w:sz w:val="26"/>
        </w:rPr>
        <w:t> </w:t>
      </w:r>
      <w:r>
        <w:rPr>
          <w:sz w:val="26"/>
        </w:rPr>
        <w:t>in</w:t>
      </w:r>
      <w:r>
        <w:rPr>
          <w:spacing w:val="-5"/>
          <w:sz w:val="26"/>
        </w:rPr>
        <w:t> </w:t>
      </w:r>
      <w:r>
        <w:rPr>
          <w:sz w:val="26"/>
        </w:rPr>
        <w:t>10</w:t>
      </w:r>
      <w:r>
        <w:rPr>
          <w:spacing w:val="-3"/>
          <w:sz w:val="26"/>
        </w:rPr>
        <w:t> </w:t>
      </w:r>
      <w:r>
        <w:rPr>
          <w:sz w:val="26"/>
        </w:rPr>
        <w:t>mL</w:t>
      </w:r>
      <w:r>
        <w:rPr>
          <w:spacing w:val="-2"/>
          <w:sz w:val="26"/>
        </w:rPr>
        <w:t> </w:t>
      </w:r>
      <w:r>
        <w:rPr>
          <w:sz w:val="26"/>
        </w:rPr>
        <w:t>volumetric</w:t>
      </w:r>
      <w:r>
        <w:rPr>
          <w:spacing w:val="-5"/>
          <w:sz w:val="26"/>
        </w:rPr>
        <w:t> </w:t>
      </w:r>
      <w:r>
        <w:rPr>
          <w:sz w:val="26"/>
        </w:rPr>
        <w:t>flask</w:t>
      </w:r>
      <w:r>
        <w:rPr>
          <w:spacing w:val="-5"/>
          <w:sz w:val="26"/>
        </w:rPr>
        <w:t> </w:t>
      </w:r>
      <w:r>
        <w:rPr>
          <w:sz w:val="26"/>
        </w:rPr>
        <w:t>B</w:t>
      </w:r>
      <w:r>
        <w:rPr>
          <w:sz w:val="26"/>
          <w:vertAlign w:val="subscript"/>
        </w:rPr>
        <w:t>1</w:t>
      </w:r>
      <w:r>
        <w:rPr>
          <w:spacing w:val="-3"/>
          <w:sz w:val="26"/>
          <w:vertAlign w:val="baseline"/>
        </w:rPr>
        <w:t> </w:t>
      </w:r>
      <w:r>
        <w:rPr>
          <w:sz w:val="26"/>
          <w:vertAlign w:val="baseline"/>
        </w:rPr>
        <w:t>=</w:t>
      </w:r>
      <w:r>
        <w:rPr>
          <w:spacing w:val="-5"/>
          <w:sz w:val="26"/>
          <w:vertAlign w:val="baseline"/>
        </w:rPr>
        <w:t> </w:t>
      </w:r>
      <w:r>
        <w:rPr>
          <w:sz w:val="26"/>
          <w:vertAlign w:val="baseline"/>
        </w:rPr>
        <w:t>10</w:t>
      </w:r>
      <w:r>
        <w:rPr>
          <w:spacing w:val="-2"/>
          <w:sz w:val="26"/>
          <w:vertAlign w:val="baseline"/>
        </w:rPr>
        <w:t> </w:t>
      </w:r>
      <w:r>
        <w:rPr>
          <w:rFonts w:ascii="Calibri" w:hAnsi="Calibri"/>
          <w:sz w:val="26"/>
          <w:vertAlign w:val="baseline"/>
        </w:rPr>
        <w:t>μ</w:t>
      </w:r>
      <w:r>
        <w:rPr>
          <w:sz w:val="26"/>
          <w:vertAlign w:val="baseline"/>
        </w:rPr>
        <w:t>g/mL</w:t>
      </w:r>
      <w:r>
        <w:rPr>
          <w:spacing w:val="-1"/>
          <w:sz w:val="26"/>
          <w:vertAlign w:val="baseline"/>
        </w:rPr>
        <w:t> </w:t>
      </w:r>
      <w:r>
        <w:rPr>
          <w:sz w:val="26"/>
          <w:vertAlign w:val="baseline"/>
        </w:rPr>
        <w:t>(C1) Volume of solution in 10 mL volumetric flask B</w:t>
      </w:r>
      <w:r>
        <w:rPr>
          <w:sz w:val="26"/>
          <w:vertAlign w:val="subscript"/>
        </w:rPr>
        <w:t>1</w:t>
      </w:r>
      <w:r>
        <w:rPr>
          <w:sz w:val="26"/>
          <w:vertAlign w:val="baseline"/>
        </w:rPr>
        <w:t> = 5 mL (V1)</w:t>
      </w:r>
    </w:p>
    <w:p>
      <w:pPr>
        <w:spacing w:before="31"/>
        <w:ind w:left="1200" w:right="0" w:firstLine="0"/>
        <w:jc w:val="left"/>
        <w:rPr>
          <w:sz w:val="26"/>
        </w:rPr>
      </w:pPr>
      <w:r>
        <w:rPr>
          <w:sz w:val="26"/>
        </w:rPr>
        <w:t>Concentration</w:t>
      </w:r>
      <w:r>
        <w:rPr>
          <w:spacing w:val="-7"/>
          <w:sz w:val="26"/>
        </w:rPr>
        <w:t> </w:t>
      </w:r>
      <w:r>
        <w:rPr>
          <w:sz w:val="26"/>
        </w:rPr>
        <w:t>of</w:t>
      </w:r>
      <w:r>
        <w:rPr>
          <w:spacing w:val="-5"/>
          <w:sz w:val="26"/>
        </w:rPr>
        <w:t> </w:t>
      </w:r>
      <w:r>
        <w:rPr>
          <w:sz w:val="26"/>
        </w:rPr>
        <w:t>stock</w:t>
      </w:r>
      <w:r>
        <w:rPr>
          <w:spacing w:val="-5"/>
          <w:sz w:val="26"/>
        </w:rPr>
        <w:t> </w:t>
      </w:r>
      <w:r>
        <w:rPr>
          <w:sz w:val="26"/>
        </w:rPr>
        <w:t>solution</w:t>
      </w:r>
      <w:r>
        <w:rPr>
          <w:spacing w:val="-7"/>
          <w:sz w:val="26"/>
        </w:rPr>
        <w:t> </w:t>
      </w:r>
      <w:r>
        <w:rPr>
          <w:sz w:val="26"/>
        </w:rPr>
        <w:t>=</w:t>
      </w:r>
      <w:r>
        <w:rPr>
          <w:spacing w:val="-5"/>
          <w:sz w:val="26"/>
        </w:rPr>
        <w:t> </w:t>
      </w:r>
      <w:r>
        <w:rPr>
          <w:sz w:val="26"/>
        </w:rPr>
        <w:t>100</w:t>
      </w:r>
      <w:r>
        <w:rPr>
          <w:spacing w:val="-4"/>
          <w:sz w:val="26"/>
        </w:rPr>
        <w:t> </w:t>
      </w:r>
      <w:r>
        <w:rPr>
          <w:rFonts w:ascii="Calibri" w:hAnsi="Calibri"/>
          <w:sz w:val="26"/>
        </w:rPr>
        <w:t>μ</w:t>
      </w:r>
      <w:r>
        <w:rPr>
          <w:sz w:val="26"/>
        </w:rPr>
        <w:t>g/mL</w:t>
      </w:r>
      <w:r>
        <w:rPr>
          <w:spacing w:val="-6"/>
          <w:sz w:val="26"/>
        </w:rPr>
        <w:t> </w:t>
      </w:r>
      <w:r>
        <w:rPr>
          <w:spacing w:val="-4"/>
          <w:sz w:val="26"/>
        </w:rPr>
        <w:t>(C2)</w:t>
      </w:r>
    </w:p>
    <w:p>
      <w:pPr>
        <w:pStyle w:val="BodyText"/>
        <w:spacing w:before="168"/>
        <w:rPr>
          <w:sz w:val="26"/>
        </w:rPr>
      </w:pPr>
    </w:p>
    <w:p>
      <w:pPr>
        <w:spacing w:line="616" w:lineRule="auto" w:before="0"/>
        <w:ind w:left="1265" w:right="2445" w:firstLine="0"/>
        <w:jc w:val="left"/>
        <w:rPr>
          <w:sz w:val="26"/>
        </w:rPr>
      </w:pPr>
      <w:r>
        <w:rPr>
          <w:sz w:val="26"/>
        </w:rPr>
        <w:t>Volume</w:t>
      </w:r>
      <w:r>
        <w:rPr>
          <w:spacing w:val="-4"/>
          <w:sz w:val="26"/>
        </w:rPr>
        <w:t> </w:t>
      </w:r>
      <w:r>
        <w:rPr>
          <w:sz w:val="26"/>
        </w:rPr>
        <w:t>of</w:t>
      </w:r>
      <w:r>
        <w:rPr>
          <w:spacing w:val="-1"/>
          <w:sz w:val="26"/>
        </w:rPr>
        <w:t> </w:t>
      </w:r>
      <w:r>
        <w:rPr>
          <w:sz w:val="26"/>
        </w:rPr>
        <w:t>stock</w:t>
      </w:r>
      <w:r>
        <w:rPr>
          <w:spacing w:val="-4"/>
          <w:sz w:val="26"/>
        </w:rPr>
        <w:t> </w:t>
      </w:r>
      <w:r>
        <w:rPr>
          <w:sz w:val="26"/>
        </w:rPr>
        <w:t>solution</w:t>
      </w:r>
      <w:r>
        <w:rPr>
          <w:spacing w:val="-4"/>
          <w:sz w:val="26"/>
        </w:rPr>
        <w:t> </w:t>
      </w:r>
      <w:r>
        <w:rPr>
          <w:sz w:val="26"/>
        </w:rPr>
        <w:t>to</w:t>
      </w:r>
      <w:r>
        <w:rPr>
          <w:spacing w:val="-4"/>
          <w:sz w:val="26"/>
        </w:rPr>
        <w:t> </w:t>
      </w:r>
      <w:r>
        <w:rPr>
          <w:sz w:val="26"/>
        </w:rPr>
        <w:t>be</w:t>
      </w:r>
      <w:r>
        <w:rPr>
          <w:spacing w:val="-4"/>
          <w:sz w:val="26"/>
        </w:rPr>
        <w:t> </w:t>
      </w:r>
      <w:r>
        <w:rPr>
          <w:sz w:val="26"/>
        </w:rPr>
        <w:t>added</w:t>
      </w:r>
      <w:r>
        <w:rPr>
          <w:spacing w:val="-4"/>
          <w:sz w:val="26"/>
        </w:rPr>
        <w:t> </w:t>
      </w:r>
      <w:r>
        <w:rPr>
          <w:sz w:val="26"/>
        </w:rPr>
        <w:t>to</w:t>
      </w:r>
      <w:r>
        <w:rPr>
          <w:spacing w:val="-4"/>
          <w:sz w:val="26"/>
        </w:rPr>
        <w:t> </w:t>
      </w:r>
      <w:r>
        <w:rPr>
          <w:sz w:val="26"/>
        </w:rPr>
        <w:t>10</w:t>
      </w:r>
      <w:r>
        <w:rPr>
          <w:spacing w:val="-2"/>
          <w:sz w:val="26"/>
        </w:rPr>
        <w:t> </w:t>
      </w:r>
      <w:r>
        <w:rPr>
          <w:sz w:val="26"/>
        </w:rPr>
        <w:t>mL</w:t>
      </w:r>
      <w:r>
        <w:rPr>
          <w:spacing w:val="-1"/>
          <w:sz w:val="26"/>
        </w:rPr>
        <w:t> </w:t>
      </w:r>
      <w:r>
        <w:rPr>
          <w:sz w:val="26"/>
        </w:rPr>
        <w:t>volumetric</w:t>
      </w:r>
      <w:r>
        <w:rPr>
          <w:spacing w:val="-4"/>
          <w:sz w:val="26"/>
        </w:rPr>
        <w:t> </w:t>
      </w:r>
      <w:r>
        <w:rPr>
          <w:sz w:val="26"/>
        </w:rPr>
        <w:t>flask</w:t>
      </w:r>
      <w:r>
        <w:rPr>
          <w:spacing w:val="-4"/>
          <w:sz w:val="26"/>
        </w:rPr>
        <w:t> </w:t>
      </w:r>
      <w:r>
        <w:rPr>
          <w:sz w:val="26"/>
        </w:rPr>
        <w:t>B</w:t>
      </w:r>
      <w:r>
        <w:rPr>
          <w:sz w:val="26"/>
          <w:vertAlign w:val="subscript"/>
        </w:rPr>
        <w:t>1</w:t>
      </w:r>
      <w:r>
        <w:rPr>
          <w:spacing w:val="-2"/>
          <w:sz w:val="26"/>
          <w:vertAlign w:val="baseline"/>
        </w:rPr>
        <w:t> </w:t>
      </w:r>
      <w:r>
        <w:rPr>
          <w:sz w:val="26"/>
          <w:vertAlign w:val="baseline"/>
        </w:rPr>
        <w:t>=</w:t>
      </w:r>
      <w:r>
        <w:rPr>
          <w:spacing w:val="-4"/>
          <w:sz w:val="26"/>
          <w:vertAlign w:val="baseline"/>
        </w:rPr>
        <w:t> </w:t>
      </w:r>
      <w:r>
        <w:rPr>
          <w:sz w:val="26"/>
          <w:vertAlign w:val="baseline"/>
        </w:rPr>
        <w:t>(V2?) Final concentration of 10 mL volumetric flask B</w:t>
      </w:r>
      <w:r>
        <w:rPr>
          <w:sz w:val="26"/>
          <w:vertAlign w:val="subscript"/>
        </w:rPr>
        <w:t>1</w:t>
      </w:r>
      <w:r>
        <w:rPr>
          <w:sz w:val="26"/>
          <w:vertAlign w:val="baseline"/>
        </w:rPr>
        <w:t> = 18 </w:t>
      </w:r>
      <w:r>
        <w:rPr>
          <w:rFonts w:ascii="Calibri" w:hAnsi="Calibri"/>
          <w:sz w:val="26"/>
          <w:vertAlign w:val="baseline"/>
        </w:rPr>
        <w:t>μ</w:t>
      </w:r>
      <w:r>
        <w:rPr>
          <w:sz w:val="26"/>
          <w:vertAlign w:val="baseline"/>
        </w:rPr>
        <w:t>/mL (C3)</w:t>
      </w:r>
    </w:p>
    <w:p>
      <w:pPr>
        <w:spacing w:line="268" w:lineRule="exact" w:before="0"/>
        <w:ind w:left="1265" w:right="0" w:firstLine="0"/>
        <w:jc w:val="left"/>
        <w:rPr>
          <w:sz w:val="26"/>
        </w:rPr>
      </w:pPr>
      <w:r>
        <w:rPr>
          <w:sz w:val="26"/>
        </w:rPr>
        <w:t>Final</w:t>
      </w:r>
      <w:r>
        <w:rPr>
          <w:spacing w:val="-5"/>
          <w:sz w:val="26"/>
        </w:rPr>
        <w:t> </w:t>
      </w:r>
      <w:r>
        <w:rPr>
          <w:sz w:val="26"/>
        </w:rPr>
        <w:t>volume</w:t>
      </w:r>
      <w:r>
        <w:rPr>
          <w:spacing w:val="-5"/>
          <w:sz w:val="26"/>
        </w:rPr>
        <w:t> </w:t>
      </w:r>
      <w:r>
        <w:rPr>
          <w:sz w:val="26"/>
        </w:rPr>
        <w:t>of</w:t>
      </w:r>
      <w:r>
        <w:rPr>
          <w:spacing w:val="-2"/>
          <w:sz w:val="26"/>
        </w:rPr>
        <w:t> </w:t>
      </w:r>
      <w:r>
        <w:rPr>
          <w:sz w:val="26"/>
        </w:rPr>
        <w:t>test</w:t>
      </w:r>
      <w:r>
        <w:rPr>
          <w:spacing w:val="-5"/>
          <w:sz w:val="26"/>
        </w:rPr>
        <w:t> </w:t>
      </w:r>
      <w:r>
        <w:rPr>
          <w:sz w:val="26"/>
        </w:rPr>
        <w:t>tube</w:t>
      </w:r>
      <w:r>
        <w:rPr>
          <w:spacing w:val="-5"/>
          <w:sz w:val="26"/>
        </w:rPr>
        <w:t> </w:t>
      </w:r>
      <w:r>
        <w:rPr>
          <w:sz w:val="26"/>
        </w:rPr>
        <w:t>B</w:t>
      </w:r>
      <w:r>
        <w:rPr>
          <w:sz w:val="26"/>
          <w:vertAlign w:val="subscript"/>
        </w:rPr>
        <w:t>1</w:t>
      </w:r>
      <w:r>
        <w:rPr>
          <w:spacing w:val="-2"/>
          <w:sz w:val="26"/>
          <w:vertAlign w:val="baseline"/>
        </w:rPr>
        <w:t> </w:t>
      </w:r>
      <w:r>
        <w:rPr>
          <w:sz w:val="26"/>
          <w:vertAlign w:val="baseline"/>
        </w:rPr>
        <w:t>=10</w:t>
      </w:r>
      <w:r>
        <w:rPr>
          <w:spacing w:val="-2"/>
          <w:sz w:val="26"/>
          <w:vertAlign w:val="baseline"/>
        </w:rPr>
        <w:t> </w:t>
      </w:r>
      <w:r>
        <w:rPr>
          <w:sz w:val="26"/>
          <w:vertAlign w:val="baseline"/>
        </w:rPr>
        <w:t>mL</w:t>
      </w:r>
      <w:r>
        <w:rPr>
          <w:spacing w:val="-4"/>
          <w:sz w:val="26"/>
          <w:vertAlign w:val="baseline"/>
        </w:rPr>
        <w:t> (V3)</w:t>
      </w:r>
    </w:p>
    <w:p>
      <w:pPr>
        <w:pStyle w:val="BodyText"/>
        <w:spacing w:before="161"/>
        <w:rPr>
          <w:sz w:val="26"/>
        </w:rPr>
      </w:pPr>
    </w:p>
    <w:p>
      <w:pPr>
        <w:spacing w:before="0"/>
        <w:ind w:left="1200" w:right="0" w:firstLine="0"/>
        <w:jc w:val="left"/>
        <w:rPr>
          <w:sz w:val="26"/>
        </w:rPr>
      </w:pPr>
      <w:r>
        <w:rPr>
          <w:sz w:val="26"/>
        </w:rPr>
        <w:t>C1V1+C2V2</w:t>
      </w:r>
      <w:r>
        <w:rPr>
          <w:spacing w:val="-13"/>
          <w:sz w:val="26"/>
        </w:rPr>
        <w:t> </w:t>
      </w:r>
      <w:r>
        <w:rPr>
          <w:spacing w:val="-2"/>
          <w:sz w:val="26"/>
        </w:rPr>
        <w:t>=C3V3</w:t>
      </w:r>
    </w:p>
    <w:p>
      <w:pPr>
        <w:pStyle w:val="BodyText"/>
        <w:spacing w:before="170"/>
        <w:rPr>
          <w:sz w:val="26"/>
        </w:rPr>
      </w:pPr>
    </w:p>
    <w:p>
      <w:pPr>
        <w:spacing w:line="600" w:lineRule="auto" w:before="0"/>
        <w:ind w:left="1200" w:right="4719" w:firstLine="0"/>
        <w:jc w:val="left"/>
        <w:rPr>
          <w:sz w:val="26"/>
        </w:rPr>
      </w:pPr>
      <w:r>
        <w:rPr>
          <w:sz w:val="26"/>
        </w:rPr>
        <w:t>10</w:t>
      </w:r>
      <w:r>
        <w:rPr>
          <w:spacing w:val="-5"/>
          <w:sz w:val="26"/>
        </w:rPr>
        <w:t> </w:t>
      </w:r>
      <w:r>
        <w:rPr>
          <w:rFonts w:ascii="Calibri" w:hAnsi="Calibri"/>
          <w:sz w:val="26"/>
        </w:rPr>
        <w:t>μ</w:t>
      </w:r>
      <w:r>
        <w:rPr>
          <w:sz w:val="26"/>
        </w:rPr>
        <w:t>g/mL</w:t>
      </w:r>
      <w:r>
        <w:rPr>
          <w:spacing w:val="-5"/>
          <w:sz w:val="26"/>
        </w:rPr>
        <w:t> </w:t>
      </w:r>
      <w:r>
        <w:rPr>
          <w:sz w:val="26"/>
        </w:rPr>
        <w:t>*</w:t>
      </w:r>
      <w:r>
        <w:rPr>
          <w:spacing w:val="-5"/>
          <w:sz w:val="26"/>
        </w:rPr>
        <w:t> </w:t>
      </w:r>
      <w:r>
        <w:rPr>
          <w:sz w:val="26"/>
        </w:rPr>
        <w:t>5</w:t>
      </w:r>
      <w:r>
        <w:rPr>
          <w:spacing w:val="-3"/>
          <w:sz w:val="26"/>
        </w:rPr>
        <w:t> </w:t>
      </w:r>
      <w:r>
        <w:rPr>
          <w:sz w:val="26"/>
        </w:rPr>
        <w:t>mL</w:t>
      </w:r>
      <w:r>
        <w:rPr>
          <w:spacing w:val="-4"/>
          <w:sz w:val="26"/>
        </w:rPr>
        <w:t> </w:t>
      </w:r>
      <w:r>
        <w:rPr>
          <w:sz w:val="26"/>
        </w:rPr>
        <w:t>+100</w:t>
      </w:r>
      <w:r>
        <w:rPr>
          <w:spacing w:val="-1"/>
          <w:sz w:val="26"/>
        </w:rPr>
        <w:t> </w:t>
      </w:r>
      <w:r>
        <w:rPr>
          <w:rFonts w:ascii="Calibri" w:hAnsi="Calibri"/>
          <w:sz w:val="26"/>
        </w:rPr>
        <w:t>μ</w:t>
      </w:r>
      <w:r>
        <w:rPr>
          <w:sz w:val="26"/>
        </w:rPr>
        <w:t>g/mL</w:t>
      </w:r>
      <w:r>
        <w:rPr>
          <w:spacing w:val="-2"/>
          <w:sz w:val="26"/>
        </w:rPr>
        <w:t> </w:t>
      </w:r>
      <w:r>
        <w:rPr>
          <w:sz w:val="26"/>
        </w:rPr>
        <w:t>*</w:t>
      </w:r>
      <w:r>
        <w:rPr>
          <w:spacing w:val="-5"/>
          <w:sz w:val="26"/>
        </w:rPr>
        <w:t> </w:t>
      </w:r>
      <w:r>
        <w:rPr>
          <w:sz w:val="26"/>
        </w:rPr>
        <w:t>V2</w:t>
      </w:r>
      <w:r>
        <w:rPr>
          <w:spacing w:val="-5"/>
          <w:sz w:val="26"/>
        </w:rPr>
        <w:t> </w:t>
      </w:r>
      <w:r>
        <w:rPr>
          <w:sz w:val="26"/>
        </w:rPr>
        <w:t>=</w:t>
      </w:r>
      <w:r>
        <w:rPr>
          <w:spacing w:val="-2"/>
          <w:sz w:val="26"/>
        </w:rPr>
        <w:t> </w:t>
      </w:r>
      <w:r>
        <w:rPr>
          <w:sz w:val="26"/>
        </w:rPr>
        <w:t>18</w:t>
      </w:r>
      <w:r>
        <w:rPr>
          <w:spacing w:val="-4"/>
          <w:sz w:val="26"/>
        </w:rPr>
        <w:t> </w:t>
      </w:r>
      <w:r>
        <w:rPr>
          <w:rFonts w:ascii="Calibri" w:hAnsi="Calibri"/>
          <w:sz w:val="26"/>
        </w:rPr>
        <w:t>μ</w:t>
      </w:r>
      <w:r>
        <w:rPr>
          <w:sz w:val="26"/>
        </w:rPr>
        <w:t>g/mL</w:t>
      </w:r>
      <w:r>
        <w:rPr>
          <w:spacing w:val="-3"/>
          <w:sz w:val="26"/>
        </w:rPr>
        <w:t> </w:t>
      </w:r>
      <w:r>
        <w:rPr>
          <w:sz w:val="26"/>
        </w:rPr>
        <w:t>*</w:t>
      </w:r>
      <w:r>
        <w:rPr>
          <w:spacing w:val="-5"/>
          <w:sz w:val="26"/>
        </w:rPr>
        <w:t> </w:t>
      </w:r>
      <w:r>
        <w:rPr>
          <w:sz w:val="26"/>
        </w:rPr>
        <w:t>10</w:t>
      </w:r>
      <w:r>
        <w:rPr>
          <w:spacing w:val="-3"/>
          <w:sz w:val="26"/>
        </w:rPr>
        <w:t> </w:t>
      </w:r>
      <w:r>
        <w:rPr>
          <w:sz w:val="26"/>
        </w:rPr>
        <w:t>mL 50 </w:t>
      </w:r>
      <w:r>
        <w:rPr>
          <w:rFonts w:ascii="Calibri" w:hAnsi="Calibri"/>
          <w:sz w:val="26"/>
        </w:rPr>
        <w:t>μ</w:t>
      </w:r>
      <w:r>
        <w:rPr>
          <w:sz w:val="26"/>
        </w:rPr>
        <w:t>g + 100 </w:t>
      </w:r>
      <w:r>
        <w:rPr>
          <w:rFonts w:ascii="Calibri" w:hAnsi="Calibri"/>
          <w:sz w:val="26"/>
        </w:rPr>
        <w:t>μ</w:t>
      </w:r>
      <w:r>
        <w:rPr>
          <w:sz w:val="26"/>
        </w:rPr>
        <w:t>g/mL * V2 = 180 </w:t>
      </w:r>
      <w:r>
        <w:rPr>
          <w:rFonts w:ascii="Calibri" w:hAnsi="Calibri"/>
          <w:sz w:val="26"/>
        </w:rPr>
        <w:t>μ</w:t>
      </w:r>
      <w:r>
        <w:rPr>
          <w:sz w:val="26"/>
        </w:rPr>
        <w:t>g</w:t>
      </w:r>
    </w:p>
    <w:p>
      <w:pPr>
        <w:spacing w:line="600" w:lineRule="auto" w:before="2"/>
        <w:ind w:left="1200" w:right="6970" w:firstLine="0"/>
        <w:jc w:val="left"/>
        <w:rPr>
          <w:sz w:val="26"/>
        </w:rPr>
      </w:pPr>
      <w:r>
        <w:rPr>
          <w:sz w:val="26"/>
        </w:rPr>
        <w:t>100</w:t>
      </w:r>
      <w:r>
        <w:rPr>
          <w:spacing w:val="-6"/>
          <w:sz w:val="26"/>
        </w:rPr>
        <w:t> </w:t>
      </w:r>
      <w:r>
        <w:rPr>
          <w:rFonts w:ascii="Calibri" w:hAnsi="Calibri"/>
          <w:sz w:val="26"/>
        </w:rPr>
        <w:t>μ</w:t>
      </w:r>
      <w:r>
        <w:rPr>
          <w:sz w:val="26"/>
        </w:rPr>
        <w:t>g/mL</w:t>
      </w:r>
      <w:r>
        <w:rPr>
          <w:spacing w:val="-5"/>
          <w:sz w:val="26"/>
        </w:rPr>
        <w:t> </w:t>
      </w:r>
      <w:r>
        <w:rPr>
          <w:sz w:val="26"/>
        </w:rPr>
        <w:t>*</w:t>
      </w:r>
      <w:r>
        <w:rPr>
          <w:spacing w:val="-6"/>
          <w:sz w:val="26"/>
        </w:rPr>
        <w:t> </w:t>
      </w:r>
      <w:r>
        <w:rPr>
          <w:sz w:val="26"/>
        </w:rPr>
        <w:t>V2</w:t>
      </w:r>
      <w:r>
        <w:rPr>
          <w:spacing w:val="-6"/>
          <w:sz w:val="26"/>
        </w:rPr>
        <w:t> </w:t>
      </w:r>
      <w:r>
        <w:rPr>
          <w:sz w:val="26"/>
        </w:rPr>
        <w:t>=</w:t>
      </w:r>
      <w:r>
        <w:rPr>
          <w:spacing w:val="-6"/>
          <w:sz w:val="26"/>
        </w:rPr>
        <w:t> </w:t>
      </w:r>
      <w:r>
        <w:rPr>
          <w:sz w:val="26"/>
        </w:rPr>
        <w:t>180</w:t>
      </w:r>
      <w:r>
        <w:rPr>
          <w:spacing w:val="-2"/>
          <w:sz w:val="26"/>
        </w:rPr>
        <w:t> </w:t>
      </w:r>
      <w:r>
        <w:rPr>
          <w:rFonts w:ascii="Calibri" w:hAnsi="Calibri"/>
          <w:sz w:val="26"/>
        </w:rPr>
        <w:t>μ</w:t>
      </w:r>
      <w:r>
        <w:rPr>
          <w:sz w:val="26"/>
        </w:rPr>
        <w:t>g</w:t>
      </w:r>
      <w:r>
        <w:rPr>
          <w:spacing w:val="-6"/>
          <w:sz w:val="26"/>
        </w:rPr>
        <w:t> </w:t>
      </w:r>
      <w:r>
        <w:rPr>
          <w:sz w:val="26"/>
        </w:rPr>
        <w:t>–</w:t>
      </w:r>
      <w:r>
        <w:rPr>
          <w:spacing w:val="-6"/>
          <w:sz w:val="26"/>
        </w:rPr>
        <w:t> </w:t>
      </w:r>
      <w:r>
        <w:rPr>
          <w:sz w:val="26"/>
        </w:rPr>
        <w:t>50</w:t>
      </w:r>
      <w:r>
        <w:rPr>
          <w:spacing w:val="-5"/>
          <w:sz w:val="26"/>
        </w:rPr>
        <w:t> </w:t>
      </w:r>
      <w:r>
        <w:rPr>
          <w:rFonts w:ascii="Calibri" w:hAnsi="Calibri"/>
          <w:sz w:val="26"/>
        </w:rPr>
        <w:t>μ</w:t>
      </w:r>
      <w:r>
        <w:rPr>
          <w:sz w:val="26"/>
        </w:rPr>
        <w:t>g 100 </w:t>
      </w:r>
      <w:r>
        <w:rPr>
          <w:rFonts w:ascii="Calibri" w:hAnsi="Calibri"/>
          <w:sz w:val="26"/>
        </w:rPr>
        <w:t>μ</w:t>
      </w:r>
      <w:r>
        <w:rPr>
          <w:sz w:val="26"/>
        </w:rPr>
        <w:t>g/mL * V2 =130 </w:t>
      </w:r>
      <w:r>
        <w:rPr>
          <w:rFonts w:ascii="Calibri" w:hAnsi="Calibri"/>
          <w:sz w:val="26"/>
        </w:rPr>
        <w:t>μ</w:t>
      </w:r>
      <w:r>
        <w:rPr>
          <w:sz w:val="26"/>
        </w:rPr>
        <w:t>g</w:t>
      </w:r>
    </w:p>
    <w:p>
      <w:pPr>
        <w:spacing w:line="592" w:lineRule="auto" w:before="5"/>
        <w:ind w:left="1200" w:right="7900" w:firstLine="0"/>
        <w:jc w:val="left"/>
        <w:rPr>
          <w:sz w:val="26"/>
        </w:rPr>
      </w:pPr>
      <w:r>
        <w:rPr>
          <w:sz w:val="26"/>
        </w:rPr>
        <w:t>V2</w:t>
      </w:r>
      <w:r>
        <w:rPr>
          <w:spacing w:val="-10"/>
          <w:sz w:val="26"/>
        </w:rPr>
        <w:t> </w:t>
      </w:r>
      <w:r>
        <w:rPr>
          <w:sz w:val="26"/>
        </w:rPr>
        <w:t>=</w:t>
      </w:r>
      <w:r>
        <w:rPr>
          <w:spacing w:val="-10"/>
          <w:sz w:val="26"/>
        </w:rPr>
        <w:t> </w:t>
      </w:r>
      <w:r>
        <w:rPr>
          <w:sz w:val="26"/>
        </w:rPr>
        <w:t>130</w:t>
      </w:r>
      <w:r>
        <w:rPr>
          <w:rFonts w:ascii="Calibri" w:hAnsi="Calibri"/>
          <w:sz w:val="26"/>
        </w:rPr>
        <w:t>μ</w:t>
      </w:r>
      <w:r>
        <w:rPr>
          <w:sz w:val="26"/>
        </w:rPr>
        <w:t>g</w:t>
      </w:r>
      <w:r>
        <w:rPr>
          <w:spacing w:val="-10"/>
          <w:sz w:val="26"/>
        </w:rPr>
        <w:t> </w:t>
      </w:r>
      <w:r>
        <w:rPr>
          <w:sz w:val="26"/>
        </w:rPr>
        <w:t>*</w:t>
      </w:r>
      <w:r>
        <w:rPr>
          <w:spacing w:val="-8"/>
          <w:sz w:val="26"/>
        </w:rPr>
        <w:t> </w:t>
      </w:r>
      <w:r>
        <w:rPr>
          <w:sz w:val="26"/>
        </w:rPr>
        <w:t>mL/100</w:t>
      </w:r>
      <w:r>
        <w:rPr>
          <w:spacing w:val="-7"/>
          <w:sz w:val="26"/>
        </w:rPr>
        <w:t> </w:t>
      </w:r>
      <w:r>
        <w:rPr>
          <w:rFonts w:ascii="Calibri" w:hAnsi="Calibri"/>
          <w:sz w:val="26"/>
        </w:rPr>
        <w:t>μ</w:t>
      </w:r>
      <w:r>
        <w:rPr>
          <w:sz w:val="26"/>
        </w:rPr>
        <w:t>g V2 = 1.3mL</w:t>
      </w:r>
    </w:p>
    <w:p>
      <w:pPr>
        <w:spacing w:after="0" w:line="592" w:lineRule="auto"/>
        <w:jc w:val="left"/>
        <w:rPr>
          <w:sz w:val="26"/>
        </w:rPr>
        <w:sectPr>
          <w:pgSz w:w="12240" w:h="15840"/>
          <w:pgMar w:header="0" w:footer="1015" w:top="1360" w:bottom="1200" w:left="240" w:right="0"/>
        </w:sectPr>
      </w:pPr>
    </w:p>
    <w:p>
      <w:pPr>
        <w:spacing w:line="477" w:lineRule="auto" w:before="73"/>
        <w:ind w:left="1200" w:right="1437" w:firstLine="0"/>
        <w:jc w:val="both"/>
        <w:rPr>
          <w:sz w:val="26"/>
        </w:rPr>
      </w:pPr>
      <w:r>
        <w:rPr>
          <w:sz w:val="26"/>
        </w:rPr>
        <w:t>1.3 mL from the stock solution was withdrawn and added to</w:t>
      </w:r>
      <w:r>
        <w:rPr>
          <w:spacing w:val="40"/>
          <w:sz w:val="26"/>
        </w:rPr>
        <w:t> </w:t>
      </w:r>
      <w:r>
        <w:rPr>
          <w:sz w:val="26"/>
        </w:rPr>
        <w:t>10 mL volumetric flask B</w:t>
      </w:r>
      <w:r>
        <w:rPr>
          <w:sz w:val="26"/>
          <w:vertAlign w:val="subscript"/>
        </w:rPr>
        <w:t>1</w:t>
      </w:r>
      <w:r>
        <w:rPr>
          <w:sz w:val="26"/>
          <w:vertAlign w:val="baseline"/>
        </w:rPr>
        <w:t> and made up to 10 mL volume with distilled water and its absorbance was measured and recorded as (b = 1.156)</w:t>
      </w:r>
    </w:p>
    <w:p>
      <w:pPr>
        <w:spacing w:before="175"/>
        <w:ind w:left="1200" w:right="0" w:firstLine="0"/>
        <w:jc w:val="both"/>
        <w:rPr>
          <w:sz w:val="26"/>
        </w:rPr>
      </w:pPr>
      <w:r>
        <w:rPr>
          <w:sz w:val="26"/>
        </w:rPr>
        <w:t>How</w:t>
      </w:r>
      <w:r>
        <w:rPr>
          <w:spacing w:val="-6"/>
          <w:sz w:val="26"/>
        </w:rPr>
        <w:t> </w:t>
      </w:r>
      <w:r>
        <w:rPr>
          <w:sz w:val="26"/>
        </w:rPr>
        <w:t>to</w:t>
      </w:r>
      <w:r>
        <w:rPr>
          <w:spacing w:val="-5"/>
          <w:sz w:val="26"/>
        </w:rPr>
        <w:t> </w:t>
      </w:r>
      <w:r>
        <w:rPr>
          <w:sz w:val="26"/>
        </w:rPr>
        <w:t>prepare</w:t>
      </w:r>
      <w:r>
        <w:rPr>
          <w:spacing w:val="-6"/>
          <w:sz w:val="26"/>
        </w:rPr>
        <w:t> </w:t>
      </w:r>
      <w:r>
        <w:rPr>
          <w:sz w:val="26"/>
        </w:rPr>
        <w:t>20</w:t>
      </w:r>
      <w:r>
        <w:rPr>
          <w:spacing w:val="-2"/>
          <w:sz w:val="26"/>
        </w:rPr>
        <w:t> </w:t>
      </w:r>
      <w:r>
        <w:rPr>
          <w:rFonts w:ascii="Calibri" w:hAnsi="Calibri"/>
          <w:sz w:val="26"/>
        </w:rPr>
        <w:t>μ</w:t>
      </w:r>
      <w:r>
        <w:rPr>
          <w:sz w:val="26"/>
        </w:rPr>
        <w:t>g/mL</w:t>
      </w:r>
      <w:r>
        <w:rPr>
          <w:spacing w:val="-4"/>
          <w:sz w:val="26"/>
        </w:rPr>
        <w:t> </w:t>
      </w:r>
      <w:r>
        <w:rPr>
          <w:sz w:val="26"/>
        </w:rPr>
        <w:t>in</w:t>
      </w:r>
      <w:r>
        <w:rPr>
          <w:spacing w:val="-5"/>
          <w:sz w:val="26"/>
        </w:rPr>
        <w:t> </w:t>
      </w:r>
      <w:r>
        <w:rPr>
          <w:sz w:val="26"/>
        </w:rPr>
        <w:t>10</w:t>
      </w:r>
      <w:r>
        <w:rPr>
          <w:spacing w:val="-3"/>
          <w:sz w:val="26"/>
        </w:rPr>
        <w:t> </w:t>
      </w:r>
      <w:r>
        <w:rPr>
          <w:sz w:val="26"/>
        </w:rPr>
        <w:t>mL</w:t>
      </w:r>
      <w:r>
        <w:rPr>
          <w:spacing w:val="-4"/>
          <w:sz w:val="26"/>
        </w:rPr>
        <w:t> </w:t>
      </w:r>
      <w:r>
        <w:rPr>
          <w:sz w:val="26"/>
        </w:rPr>
        <w:t>volumetric</w:t>
      </w:r>
      <w:r>
        <w:rPr>
          <w:spacing w:val="-5"/>
          <w:sz w:val="26"/>
        </w:rPr>
        <w:t> </w:t>
      </w:r>
      <w:r>
        <w:rPr>
          <w:sz w:val="26"/>
        </w:rPr>
        <w:t>flask</w:t>
      </w:r>
      <w:r>
        <w:rPr>
          <w:spacing w:val="-6"/>
          <w:sz w:val="26"/>
        </w:rPr>
        <w:t> </w:t>
      </w:r>
      <w:r>
        <w:rPr>
          <w:spacing w:val="-5"/>
          <w:sz w:val="26"/>
        </w:rPr>
        <w:t>C</w:t>
      </w:r>
      <w:r>
        <w:rPr>
          <w:spacing w:val="-5"/>
          <w:sz w:val="26"/>
          <w:vertAlign w:val="subscript"/>
        </w:rPr>
        <w:t>1</w:t>
      </w:r>
      <w:r>
        <w:rPr>
          <w:spacing w:val="-5"/>
          <w:sz w:val="26"/>
          <w:vertAlign w:val="baseline"/>
        </w:rPr>
        <w:t>.</w:t>
      </w:r>
    </w:p>
    <w:p>
      <w:pPr>
        <w:pStyle w:val="BodyText"/>
        <w:spacing w:before="178"/>
        <w:rPr>
          <w:sz w:val="26"/>
        </w:rPr>
      </w:pPr>
    </w:p>
    <w:p>
      <w:pPr>
        <w:spacing w:line="592" w:lineRule="auto" w:before="1"/>
        <w:ind w:left="1200" w:right="1431" w:firstLine="0"/>
        <w:jc w:val="left"/>
        <w:rPr>
          <w:sz w:val="26"/>
        </w:rPr>
      </w:pPr>
      <w:r>
        <w:rPr>
          <w:sz w:val="26"/>
        </w:rPr>
        <w:t>Concentration</w:t>
      </w:r>
      <w:r>
        <w:rPr>
          <w:spacing w:val="-5"/>
          <w:sz w:val="26"/>
        </w:rPr>
        <w:t> </w:t>
      </w:r>
      <w:r>
        <w:rPr>
          <w:sz w:val="26"/>
        </w:rPr>
        <w:t>of</w:t>
      </w:r>
      <w:r>
        <w:rPr>
          <w:spacing w:val="-2"/>
          <w:sz w:val="26"/>
        </w:rPr>
        <w:t> </w:t>
      </w:r>
      <w:r>
        <w:rPr>
          <w:sz w:val="26"/>
        </w:rPr>
        <w:t>isoniazid</w:t>
      </w:r>
      <w:r>
        <w:rPr>
          <w:spacing w:val="-3"/>
          <w:sz w:val="26"/>
        </w:rPr>
        <w:t> </w:t>
      </w:r>
      <w:r>
        <w:rPr>
          <w:sz w:val="26"/>
        </w:rPr>
        <w:t>solution</w:t>
      </w:r>
      <w:r>
        <w:rPr>
          <w:spacing w:val="-5"/>
          <w:sz w:val="26"/>
        </w:rPr>
        <w:t> </w:t>
      </w:r>
      <w:r>
        <w:rPr>
          <w:sz w:val="26"/>
        </w:rPr>
        <w:t>in</w:t>
      </w:r>
      <w:r>
        <w:rPr>
          <w:spacing w:val="-5"/>
          <w:sz w:val="26"/>
        </w:rPr>
        <w:t> </w:t>
      </w:r>
      <w:r>
        <w:rPr>
          <w:sz w:val="26"/>
        </w:rPr>
        <w:t>10</w:t>
      </w:r>
      <w:r>
        <w:rPr>
          <w:spacing w:val="-3"/>
          <w:sz w:val="26"/>
        </w:rPr>
        <w:t> </w:t>
      </w:r>
      <w:r>
        <w:rPr>
          <w:sz w:val="26"/>
        </w:rPr>
        <w:t>mL</w:t>
      </w:r>
      <w:r>
        <w:rPr>
          <w:spacing w:val="-4"/>
          <w:sz w:val="26"/>
        </w:rPr>
        <w:t> </w:t>
      </w:r>
      <w:r>
        <w:rPr>
          <w:sz w:val="26"/>
        </w:rPr>
        <w:t>volumetric</w:t>
      </w:r>
      <w:r>
        <w:rPr>
          <w:spacing w:val="-5"/>
          <w:sz w:val="26"/>
        </w:rPr>
        <w:t> </w:t>
      </w:r>
      <w:r>
        <w:rPr>
          <w:sz w:val="26"/>
        </w:rPr>
        <w:t>flask</w:t>
      </w:r>
      <w:r>
        <w:rPr>
          <w:spacing w:val="-5"/>
          <w:sz w:val="26"/>
        </w:rPr>
        <w:t> </w:t>
      </w:r>
      <w:r>
        <w:rPr>
          <w:sz w:val="26"/>
        </w:rPr>
        <w:t>C</w:t>
      </w:r>
      <w:r>
        <w:rPr>
          <w:sz w:val="26"/>
          <w:vertAlign w:val="subscript"/>
        </w:rPr>
        <w:t>1</w:t>
      </w:r>
      <w:r>
        <w:rPr>
          <w:spacing w:val="-3"/>
          <w:sz w:val="26"/>
          <w:vertAlign w:val="baseline"/>
        </w:rPr>
        <w:t> </w:t>
      </w:r>
      <w:r>
        <w:rPr>
          <w:sz w:val="26"/>
          <w:vertAlign w:val="baseline"/>
        </w:rPr>
        <w:t>=</w:t>
      </w:r>
      <w:r>
        <w:rPr>
          <w:spacing w:val="-5"/>
          <w:sz w:val="26"/>
          <w:vertAlign w:val="baseline"/>
        </w:rPr>
        <w:t> </w:t>
      </w:r>
      <w:r>
        <w:rPr>
          <w:sz w:val="26"/>
          <w:vertAlign w:val="baseline"/>
        </w:rPr>
        <w:t>10</w:t>
      </w:r>
      <w:r>
        <w:rPr>
          <w:spacing w:val="-2"/>
          <w:sz w:val="26"/>
          <w:vertAlign w:val="baseline"/>
        </w:rPr>
        <w:t> </w:t>
      </w:r>
      <w:r>
        <w:rPr>
          <w:rFonts w:ascii="Calibri" w:hAnsi="Calibri"/>
          <w:sz w:val="26"/>
          <w:vertAlign w:val="baseline"/>
        </w:rPr>
        <w:t>μ</w:t>
      </w:r>
      <w:r>
        <w:rPr>
          <w:sz w:val="26"/>
          <w:vertAlign w:val="baseline"/>
        </w:rPr>
        <w:t>g/mL</w:t>
      </w:r>
      <w:r>
        <w:rPr>
          <w:spacing w:val="-1"/>
          <w:sz w:val="26"/>
          <w:vertAlign w:val="baseline"/>
        </w:rPr>
        <w:t> </w:t>
      </w:r>
      <w:r>
        <w:rPr>
          <w:sz w:val="26"/>
          <w:vertAlign w:val="baseline"/>
        </w:rPr>
        <w:t>(C1) Volume of solution in10 mL volumetric flask C</w:t>
      </w:r>
      <w:r>
        <w:rPr>
          <w:sz w:val="26"/>
          <w:vertAlign w:val="subscript"/>
        </w:rPr>
        <w:t>1</w:t>
      </w:r>
      <w:r>
        <w:rPr>
          <w:sz w:val="26"/>
          <w:vertAlign w:val="baseline"/>
        </w:rPr>
        <w:t> = 5 ml (V1)</w:t>
      </w:r>
    </w:p>
    <w:p>
      <w:pPr>
        <w:spacing w:before="31"/>
        <w:ind w:left="1200" w:right="0" w:firstLine="0"/>
        <w:jc w:val="both"/>
        <w:rPr>
          <w:sz w:val="26"/>
        </w:rPr>
      </w:pPr>
      <w:r>
        <w:rPr>
          <w:sz w:val="26"/>
        </w:rPr>
        <w:t>Concentration</w:t>
      </w:r>
      <w:r>
        <w:rPr>
          <w:spacing w:val="-7"/>
          <w:sz w:val="26"/>
        </w:rPr>
        <w:t> </w:t>
      </w:r>
      <w:r>
        <w:rPr>
          <w:sz w:val="26"/>
        </w:rPr>
        <w:t>of</w:t>
      </w:r>
      <w:r>
        <w:rPr>
          <w:spacing w:val="-5"/>
          <w:sz w:val="26"/>
        </w:rPr>
        <w:t> </w:t>
      </w:r>
      <w:r>
        <w:rPr>
          <w:sz w:val="26"/>
        </w:rPr>
        <w:t>stock</w:t>
      </w:r>
      <w:r>
        <w:rPr>
          <w:spacing w:val="-5"/>
          <w:sz w:val="26"/>
        </w:rPr>
        <w:t> </w:t>
      </w:r>
      <w:r>
        <w:rPr>
          <w:sz w:val="26"/>
        </w:rPr>
        <w:t>solution</w:t>
      </w:r>
      <w:r>
        <w:rPr>
          <w:spacing w:val="-7"/>
          <w:sz w:val="26"/>
        </w:rPr>
        <w:t> </w:t>
      </w:r>
      <w:r>
        <w:rPr>
          <w:sz w:val="26"/>
        </w:rPr>
        <w:t>=</w:t>
      </w:r>
      <w:r>
        <w:rPr>
          <w:spacing w:val="-5"/>
          <w:sz w:val="26"/>
        </w:rPr>
        <w:t> </w:t>
      </w:r>
      <w:r>
        <w:rPr>
          <w:sz w:val="26"/>
        </w:rPr>
        <w:t>100</w:t>
      </w:r>
      <w:r>
        <w:rPr>
          <w:spacing w:val="-3"/>
          <w:sz w:val="26"/>
        </w:rPr>
        <w:t> </w:t>
      </w:r>
      <w:r>
        <w:rPr>
          <w:rFonts w:ascii="Calibri" w:hAnsi="Calibri"/>
          <w:sz w:val="26"/>
        </w:rPr>
        <w:t>μ</w:t>
      </w:r>
      <w:r>
        <w:rPr>
          <w:sz w:val="26"/>
        </w:rPr>
        <w:t>g/mL</w:t>
      </w:r>
      <w:r>
        <w:rPr>
          <w:spacing w:val="-6"/>
          <w:sz w:val="26"/>
        </w:rPr>
        <w:t> </w:t>
      </w:r>
      <w:r>
        <w:rPr>
          <w:spacing w:val="-4"/>
          <w:sz w:val="26"/>
        </w:rPr>
        <w:t>(C2)</w:t>
      </w:r>
    </w:p>
    <w:p>
      <w:pPr>
        <w:pStyle w:val="BodyText"/>
        <w:spacing w:before="168"/>
        <w:rPr>
          <w:sz w:val="26"/>
        </w:rPr>
      </w:pPr>
    </w:p>
    <w:p>
      <w:pPr>
        <w:spacing w:line="616" w:lineRule="auto" w:before="0"/>
        <w:ind w:left="1200" w:right="2445" w:firstLine="0"/>
        <w:jc w:val="left"/>
        <w:rPr>
          <w:sz w:val="26"/>
        </w:rPr>
      </w:pPr>
      <w:r>
        <w:rPr>
          <w:sz w:val="26"/>
        </w:rPr>
        <w:t>Volume</w:t>
      </w:r>
      <w:r>
        <w:rPr>
          <w:spacing w:val="-4"/>
          <w:sz w:val="26"/>
        </w:rPr>
        <w:t> </w:t>
      </w:r>
      <w:r>
        <w:rPr>
          <w:sz w:val="26"/>
        </w:rPr>
        <w:t>of</w:t>
      </w:r>
      <w:r>
        <w:rPr>
          <w:spacing w:val="-1"/>
          <w:sz w:val="26"/>
        </w:rPr>
        <w:t> </w:t>
      </w:r>
      <w:r>
        <w:rPr>
          <w:sz w:val="26"/>
        </w:rPr>
        <w:t>stock</w:t>
      </w:r>
      <w:r>
        <w:rPr>
          <w:spacing w:val="-4"/>
          <w:sz w:val="26"/>
        </w:rPr>
        <w:t> </w:t>
      </w:r>
      <w:r>
        <w:rPr>
          <w:sz w:val="26"/>
        </w:rPr>
        <w:t>solution</w:t>
      </w:r>
      <w:r>
        <w:rPr>
          <w:spacing w:val="-4"/>
          <w:sz w:val="26"/>
        </w:rPr>
        <w:t> </w:t>
      </w:r>
      <w:r>
        <w:rPr>
          <w:sz w:val="26"/>
        </w:rPr>
        <w:t>to</w:t>
      </w:r>
      <w:r>
        <w:rPr>
          <w:spacing w:val="-4"/>
          <w:sz w:val="26"/>
        </w:rPr>
        <w:t> </w:t>
      </w:r>
      <w:r>
        <w:rPr>
          <w:sz w:val="26"/>
        </w:rPr>
        <w:t>be</w:t>
      </w:r>
      <w:r>
        <w:rPr>
          <w:spacing w:val="-4"/>
          <w:sz w:val="26"/>
        </w:rPr>
        <w:t> </w:t>
      </w:r>
      <w:r>
        <w:rPr>
          <w:sz w:val="26"/>
        </w:rPr>
        <w:t>added</w:t>
      </w:r>
      <w:r>
        <w:rPr>
          <w:spacing w:val="-4"/>
          <w:sz w:val="26"/>
        </w:rPr>
        <w:t> </w:t>
      </w:r>
      <w:r>
        <w:rPr>
          <w:sz w:val="26"/>
        </w:rPr>
        <w:t>to</w:t>
      </w:r>
      <w:r>
        <w:rPr>
          <w:spacing w:val="-4"/>
          <w:sz w:val="26"/>
        </w:rPr>
        <w:t> </w:t>
      </w:r>
      <w:r>
        <w:rPr>
          <w:sz w:val="26"/>
        </w:rPr>
        <w:t>10</w:t>
      </w:r>
      <w:r>
        <w:rPr>
          <w:spacing w:val="-2"/>
          <w:sz w:val="26"/>
        </w:rPr>
        <w:t> </w:t>
      </w:r>
      <w:r>
        <w:rPr>
          <w:sz w:val="26"/>
        </w:rPr>
        <w:t>mL</w:t>
      </w:r>
      <w:r>
        <w:rPr>
          <w:spacing w:val="-1"/>
          <w:sz w:val="26"/>
        </w:rPr>
        <w:t> </w:t>
      </w:r>
      <w:r>
        <w:rPr>
          <w:sz w:val="26"/>
        </w:rPr>
        <w:t>volumetric</w:t>
      </w:r>
      <w:r>
        <w:rPr>
          <w:spacing w:val="-4"/>
          <w:sz w:val="26"/>
        </w:rPr>
        <w:t> </w:t>
      </w:r>
      <w:r>
        <w:rPr>
          <w:sz w:val="26"/>
        </w:rPr>
        <w:t>flask</w:t>
      </w:r>
      <w:r>
        <w:rPr>
          <w:spacing w:val="-4"/>
          <w:sz w:val="26"/>
        </w:rPr>
        <w:t> </w:t>
      </w:r>
      <w:r>
        <w:rPr>
          <w:sz w:val="26"/>
        </w:rPr>
        <w:t>C</w:t>
      </w:r>
      <w:r>
        <w:rPr>
          <w:sz w:val="26"/>
          <w:vertAlign w:val="subscript"/>
        </w:rPr>
        <w:t>1</w:t>
      </w:r>
      <w:r>
        <w:rPr>
          <w:spacing w:val="-2"/>
          <w:sz w:val="26"/>
          <w:vertAlign w:val="baseline"/>
        </w:rPr>
        <w:t> </w:t>
      </w:r>
      <w:r>
        <w:rPr>
          <w:sz w:val="26"/>
          <w:vertAlign w:val="baseline"/>
        </w:rPr>
        <w:t>=</w:t>
      </w:r>
      <w:r>
        <w:rPr>
          <w:spacing w:val="-4"/>
          <w:sz w:val="26"/>
          <w:vertAlign w:val="baseline"/>
        </w:rPr>
        <w:t> </w:t>
      </w:r>
      <w:r>
        <w:rPr>
          <w:sz w:val="26"/>
          <w:vertAlign w:val="baseline"/>
        </w:rPr>
        <w:t>(V2?) Final concentration of 10 mL volumetric flask C</w:t>
      </w:r>
      <w:r>
        <w:rPr>
          <w:sz w:val="26"/>
          <w:vertAlign w:val="subscript"/>
        </w:rPr>
        <w:t>1</w:t>
      </w:r>
      <w:r>
        <w:rPr>
          <w:sz w:val="26"/>
          <w:vertAlign w:val="baseline"/>
        </w:rPr>
        <w:t> = 20 </w:t>
      </w:r>
      <w:r>
        <w:rPr>
          <w:rFonts w:ascii="Calibri" w:hAnsi="Calibri"/>
          <w:sz w:val="26"/>
          <w:vertAlign w:val="baseline"/>
        </w:rPr>
        <w:t>μg</w:t>
      </w:r>
      <w:r>
        <w:rPr>
          <w:sz w:val="26"/>
          <w:vertAlign w:val="baseline"/>
        </w:rPr>
        <w:t>/mL (C3)</w:t>
      </w:r>
    </w:p>
    <w:p>
      <w:pPr>
        <w:spacing w:line="268" w:lineRule="exact" w:before="0"/>
        <w:ind w:left="1200" w:right="0" w:firstLine="0"/>
        <w:jc w:val="left"/>
        <w:rPr>
          <w:sz w:val="26"/>
        </w:rPr>
      </w:pPr>
      <w:r>
        <w:rPr>
          <w:sz w:val="26"/>
        </w:rPr>
        <w:t>Final</w:t>
      </w:r>
      <w:r>
        <w:rPr>
          <w:spacing w:val="-6"/>
          <w:sz w:val="26"/>
        </w:rPr>
        <w:t> </w:t>
      </w:r>
      <w:r>
        <w:rPr>
          <w:sz w:val="26"/>
        </w:rPr>
        <w:t>volume</w:t>
      </w:r>
      <w:r>
        <w:rPr>
          <w:spacing w:val="-6"/>
          <w:sz w:val="26"/>
        </w:rPr>
        <w:t> </w:t>
      </w:r>
      <w:r>
        <w:rPr>
          <w:sz w:val="26"/>
        </w:rPr>
        <w:t>of</w:t>
      </w:r>
      <w:r>
        <w:rPr>
          <w:spacing w:val="-3"/>
          <w:sz w:val="26"/>
        </w:rPr>
        <w:t> </w:t>
      </w:r>
      <w:r>
        <w:rPr>
          <w:sz w:val="26"/>
        </w:rPr>
        <w:t>10</w:t>
      </w:r>
      <w:r>
        <w:rPr>
          <w:spacing w:val="-4"/>
          <w:sz w:val="26"/>
        </w:rPr>
        <w:t> </w:t>
      </w:r>
      <w:r>
        <w:rPr>
          <w:sz w:val="26"/>
        </w:rPr>
        <w:t>mL</w:t>
      </w:r>
      <w:r>
        <w:rPr>
          <w:spacing w:val="-3"/>
          <w:sz w:val="26"/>
        </w:rPr>
        <w:t> </w:t>
      </w:r>
      <w:r>
        <w:rPr>
          <w:sz w:val="26"/>
        </w:rPr>
        <w:t>volumetric</w:t>
      </w:r>
      <w:r>
        <w:rPr>
          <w:spacing w:val="-3"/>
          <w:sz w:val="26"/>
        </w:rPr>
        <w:t> </w:t>
      </w:r>
      <w:r>
        <w:rPr>
          <w:sz w:val="26"/>
        </w:rPr>
        <w:t>flask</w:t>
      </w:r>
      <w:r>
        <w:rPr>
          <w:spacing w:val="-6"/>
          <w:sz w:val="26"/>
        </w:rPr>
        <w:t> </w:t>
      </w:r>
      <w:r>
        <w:rPr>
          <w:sz w:val="26"/>
        </w:rPr>
        <w:t>C</w:t>
      </w:r>
      <w:r>
        <w:rPr>
          <w:sz w:val="26"/>
          <w:vertAlign w:val="subscript"/>
        </w:rPr>
        <w:t>1</w:t>
      </w:r>
      <w:r>
        <w:rPr>
          <w:spacing w:val="-4"/>
          <w:sz w:val="26"/>
          <w:vertAlign w:val="baseline"/>
        </w:rPr>
        <w:t> </w:t>
      </w:r>
      <w:r>
        <w:rPr>
          <w:sz w:val="26"/>
          <w:vertAlign w:val="baseline"/>
        </w:rPr>
        <w:t>=10</w:t>
      </w:r>
      <w:r>
        <w:rPr>
          <w:spacing w:val="-3"/>
          <w:sz w:val="26"/>
          <w:vertAlign w:val="baseline"/>
        </w:rPr>
        <w:t> </w:t>
      </w:r>
      <w:r>
        <w:rPr>
          <w:sz w:val="26"/>
          <w:vertAlign w:val="baseline"/>
        </w:rPr>
        <w:t>mL</w:t>
      </w:r>
      <w:r>
        <w:rPr>
          <w:spacing w:val="-5"/>
          <w:sz w:val="26"/>
          <w:vertAlign w:val="baseline"/>
        </w:rPr>
        <w:t> </w:t>
      </w:r>
      <w:r>
        <w:rPr>
          <w:spacing w:val="-4"/>
          <w:sz w:val="26"/>
          <w:vertAlign w:val="baseline"/>
        </w:rPr>
        <w:t>(V3)</w:t>
      </w:r>
    </w:p>
    <w:p>
      <w:pPr>
        <w:pStyle w:val="BodyText"/>
        <w:spacing w:before="161"/>
        <w:rPr>
          <w:sz w:val="26"/>
        </w:rPr>
      </w:pPr>
    </w:p>
    <w:p>
      <w:pPr>
        <w:spacing w:before="0"/>
        <w:ind w:left="1200" w:right="0" w:firstLine="0"/>
        <w:jc w:val="left"/>
        <w:rPr>
          <w:sz w:val="26"/>
        </w:rPr>
      </w:pPr>
      <w:r>
        <w:rPr>
          <w:sz w:val="26"/>
        </w:rPr>
        <w:t>C1V1+C2V2</w:t>
      </w:r>
      <w:r>
        <w:rPr>
          <w:spacing w:val="-13"/>
          <w:sz w:val="26"/>
        </w:rPr>
        <w:t> </w:t>
      </w:r>
      <w:r>
        <w:rPr>
          <w:spacing w:val="-2"/>
          <w:sz w:val="26"/>
        </w:rPr>
        <w:t>=C3V3</w:t>
      </w:r>
    </w:p>
    <w:p>
      <w:pPr>
        <w:pStyle w:val="BodyText"/>
        <w:spacing w:before="170"/>
        <w:rPr>
          <w:sz w:val="26"/>
        </w:rPr>
      </w:pPr>
    </w:p>
    <w:p>
      <w:pPr>
        <w:spacing w:line="600" w:lineRule="auto" w:before="0"/>
        <w:ind w:left="1200" w:right="4897" w:firstLine="0"/>
        <w:jc w:val="left"/>
        <w:rPr>
          <w:sz w:val="26"/>
        </w:rPr>
      </w:pPr>
      <w:r>
        <w:rPr>
          <w:sz w:val="26"/>
        </w:rPr>
        <w:t>10</w:t>
      </w:r>
      <w:r>
        <w:rPr>
          <w:spacing w:val="-4"/>
          <w:sz w:val="26"/>
        </w:rPr>
        <w:t> </w:t>
      </w:r>
      <w:r>
        <w:rPr>
          <w:rFonts w:ascii="Calibri" w:hAnsi="Calibri"/>
          <w:sz w:val="26"/>
        </w:rPr>
        <w:t>μ</w:t>
      </w:r>
      <w:r>
        <w:rPr>
          <w:sz w:val="26"/>
        </w:rPr>
        <w:t>g/mL</w:t>
      </w:r>
      <w:r>
        <w:rPr>
          <w:spacing w:val="-3"/>
          <w:sz w:val="26"/>
        </w:rPr>
        <w:t> </w:t>
      </w:r>
      <w:r>
        <w:rPr>
          <w:sz w:val="26"/>
        </w:rPr>
        <w:t>*</w:t>
      </w:r>
      <w:r>
        <w:rPr>
          <w:spacing w:val="-4"/>
          <w:sz w:val="26"/>
        </w:rPr>
        <w:t> </w:t>
      </w:r>
      <w:r>
        <w:rPr>
          <w:sz w:val="26"/>
        </w:rPr>
        <w:t>5</w:t>
      </w:r>
      <w:r>
        <w:rPr>
          <w:spacing w:val="-2"/>
          <w:sz w:val="26"/>
        </w:rPr>
        <w:t> </w:t>
      </w:r>
      <w:r>
        <w:rPr>
          <w:sz w:val="26"/>
        </w:rPr>
        <w:t>ml</w:t>
      </w:r>
      <w:r>
        <w:rPr>
          <w:spacing w:val="-4"/>
          <w:sz w:val="26"/>
        </w:rPr>
        <w:t> </w:t>
      </w:r>
      <w:r>
        <w:rPr>
          <w:sz w:val="26"/>
        </w:rPr>
        <w:t>+100</w:t>
      </w:r>
      <w:r>
        <w:rPr>
          <w:spacing w:val="-1"/>
          <w:sz w:val="26"/>
        </w:rPr>
        <w:t> </w:t>
      </w:r>
      <w:r>
        <w:rPr>
          <w:rFonts w:ascii="Calibri" w:hAnsi="Calibri"/>
          <w:sz w:val="26"/>
        </w:rPr>
        <w:t>μ</w:t>
      </w:r>
      <w:r>
        <w:rPr>
          <w:sz w:val="26"/>
        </w:rPr>
        <w:t>g/ml</w:t>
      </w:r>
      <w:r>
        <w:rPr>
          <w:spacing w:val="-4"/>
          <w:sz w:val="26"/>
        </w:rPr>
        <w:t> </w:t>
      </w:r>
      <w:r>
        <w:rPr>
          <w:sz w:val="26"/>
        </w:rPr>
        <w:t>*</w:t>
      </w:r>
      <w:r>
        <w:rPr>
          <w:spacing w:val="-2"/>
          <w:sz w:val="26"/>
        </w:rPr>
        <w:t> </w:t>
      </w:r>
      <w:r>
        <w:rPr>
          <w:sz w:val="26"/>
        </w:rPr>
        <w:t>V2</w:t>
      </w:r>
      <w:r>
        <w:rPr>
          <w:spacing w:val="-4"/>
          <w:sz w:val="26"/>
        </w:rPr>
        <w:t> </w:t>
      </w:r>
      <w:r>
        <w:rPr>
          <w:sz w:val="26"/>
        </w:rPr>
        <w:t>=</w:t>
      </w:r>
      <w:r>
        <w:rPr>
          <w:spacing w:val="-4"/>
          <w:sz w:val="26"/>
        </w:rPr>
        <w:t> </w:t>
      </w:r>
      <w:r>
        <w:rPr>
          <w:sz w:val="26"/>
        </w:rPr>
        <w:t>20</w:t>
      </w:r>
      <w:r>
        <w:rPr>
          <w:spacing w:val="-3"/>
          <w:sz w:val="26"/>
        </w:rPr>
        <w:t> </w:t>
      </w:r>
      <w:r>
        <w:rPr>
          <w:rFonts w:ascii="Calibri" w:hAnsi="Calibri"/>
          <w:sz w:val="26"/>
        </w:rPr>
        <w:t>μ</w:t>
      </w:r>
      <w:r>
        <w:rPr>
          <w:sz w:val="26"/>
        </w:rPr>
        <w:t>g/ml</w:t>
      </w:r>
      <w:r>
        <w:rPr>
          <w:spacing w:val="-2"/>
          <w:sz w:val="26"/>
        </w:rPr>
        <w:t> </w:t>
      </w:r>
      <w:r>
        <w:rPr>
          <w:sz w:val="26"/>
        </w:rPr>
        <w:t>*</w:t>
      </w:r>
      <w:r>
        <w:rPr>
          <w:spacing w:val="-4"/>
          <w:sz w:val="26"/>
        </w:rPr>
        <w:t> </w:t>
      </w:r>
      <w:r>
        <w:rPr>
          <w:sz w:val="26"/>
        </w:rPr>
        <w:t>10</w:t>
      </w:r>
      <w:r>
        <w:rPr>
          <w:spacing w:val="-2"/>
          <w:sz w:val="26"/>
        </w:rPr>
        <w:t> </w:t>
      </w:r>
      <w:r>
        <w:rPr>
          <w:sz w:val="26"/>
        </w:rPr>
        <w:t>ml 50 </w:t>
      </w:r>
      <w:r>
        <w:rPr>
          <w:rFonts w:ascii="Calibri" w:hAnsi="Calibri"/>
          <w:sz w:val="26"/>
        </w:rPr>
        <w:t>μ</w:t>
      </w:r>
      <w:r>
        <w:rPr>
          <w:sz w:val="26"/>
        </w:rPr>
        <w:t>g + 100 </w:t>
      </w:r>
      <w:r>
        <w:rPr>
          <w:rFonts w:ascii="Calibri" w:hAnsi="Calibri"/>
          <w:sz w:val="26"/>
        </w:rPr>
        <w:t>μ</w:t>
      </w:r>
      <w:r>
        <w:rPr>
          <w:sz w:val="26"/>
        </w:rPr>
        <w:t>g/mL * V2 = 200 </w:t>
      </w:r>
      <w:r>
        <w:rPr>
          <w:rFonts w:ascii="Calibri" w:hAnsi="Calibri"/>
          <w:sz w:val="26"/>
        </w:rPr>
        <w:t>μ</w:t>
      </w:r>
      <w:r>
        <w:rPr>
          <w:sz w:val="26"/>
        </w:rPr>
        <w:t>g</w:t>
      </w:r>
    </w:p>
    <w:p>
      <w:pPr>
        <w:spacing w:line="600" w:lineRule="auto" w:before="2"/>
        <w:ind w:left="1200" w:right="6970" w:firstLine="0"/>
        <w:jc w:val="left"/>
        <w:rPr>
          <w:sz w:val="26"/>
        </w:rPr>
      </w:pPr>
      <w:r>
        <w:rPr>
          <w:sz w:val="26"/>
        </w:rPr>
        <w:t>100</w:t>
      </w:r>
      <w:r>
        <w:rPr>
          <w:spacing w:val="-6"/>
          <w:sz w:val="26"/>
        </w:rPr>
        <w:t> </w:t>
      </w:r>
      <w:r>
        <w:rPr>
          <w:rFonts w:ascii="Calibri" w:hAnsi="Calibri"/>
          <w:sz w:val="26"/>
        </w:rPr>
        <w:t>μ</w:t>
      </w:r>
      <w:r>
        <w:rPr>
          <w:sz w:val="26"/>
        </w:rPr>
        <w:t>g/mL</w:t>
      </w:r>
      <w:r>
        <w:rPr>
          <w:spacing w:val="-5"/>
          <w:sz w:val="26"/>
        </w:rPr>
        <w:t> </w:t>
      </w:r>
      <w:r>
        <w:rPr>
          <w:sz w:val="26"/>
        </w:rPr>
        <w:t>*</w:t>
      </w:r>
      <w:r>
        <w:rPr>
          <w:spacing w:val="-6"/>
          <w:sz w:val="26"/>
        </w:rPr>
        <w:t> </w:t>
      </w:r>
      <w:r>
        <w:rPr>
          <w:sz w:val="26"/>
        </w:rPr>
        <w:t>V2</w:t>
      </w:r>
      <w:r>
        <w:rPr>
          <w:spacing w:val="-6"/>
          <w:sz w:val="26"/>
        </w:rPr>
        <w:t> </w:t>
      </w:r>
      <w:r>
        <w:rPr>
          <w:sz w:val="26"/>
        </w:rPr>
        <w:t>=</w:t>
      </w:r>
      <w:r>
        <w:rPr>
          <w:spacing w:val="-6"/>
          <w:sz w:val="26"/>
        </w:rPr>
        <w:t> </w:t>
      </w:r>
      <w:r>
        <w:rPr>
          <w:sz w:val="26"/>
        </w:rPr>
        <w:t>200</w:t>
      </w:r>
      <w:r>
        <w:rPr>
          <w:spacing w:val="-2"/>
          <w:sz w:val="26"/>
        </w:rPr>
        <w:t> </w:t>
      </w:r>
      <w:r>
        <w:rPr>
          <w:rFonts w:ascii="Calibri" w:hAnsi="Calibri"/>
          <w:sz w:val="26"/>
        </w:rPr>
        <w:t>μ</w:t>
      </w:r>
      <w:r>
        <w:rPr>
          <w:sz w:val="26"/>
        </w:rPr>
        <w:t>g</w:t>
      </w:r>
      <w:r>
        <w:rPr>
          <w:spacing w:val="-6"/>
          <w:sz w:val="26"/>
        </w:rPr>
        <w:t> </w:t>
      </w:r>
      <w:r>
        <w:rPr>
          <w:sz w:val="26"/>
        </w:rPr>
        <w:t>–</w:t>
      </w:r>
      <w:r>
        <w:rPr>
          <w:spacing w:val="-6"/>
          <w:sz w:val="26"/>
        </w:rPr>
        <w:t> </w:t>
      </w:r>
      <w:r>
        <w:rPr>
          <w:sz w:val="26"/>
        </w:rPr>
        <w:t>50</w:t>
      </w:r>
      <w:r>
        <w:rPr>
          <w:spacing w:val="-5"/>
          <w:sz w:val="26"/>
        </w:rPr>
        <w:t> </w:t>
      </w:r>
      <w:r>
        <w:rPr>
          <w:rFonts w:ascii="Calibri" w:hAnsi="Calibri"/>
          <w:sz w:val="26"/>
        </w:rPr>
        <w:t>μ</w:t>
      </w:r>
      <w:r>
        <w:rPr>
          <w:sz w:val="26"/>
        </w:rPr>
        <w:t>g 100 </w:t>
      </w:r>
      <w:r>
        <w:rPr>
          <w:rFonts w:ascii="Calibri" w:hAnsi="Calibri"/>
          <w:sz w:val="26"/>
        </w:rPr>
        <w:t>μ</w:t>
      </w:r>
      <w:r>
        <w:rPr>
          <w:sz w:val="26"/>
        </w:rPr>
        <w:t>g/mL * V2 =150 </w:t>
      </w:r>
      <w:r>
        <w:rPr>
          <w:rFonts w:ascii="Calibri" w:hAnsi="Calibri"/>
          <w:sz w:val="26"/>
        </w:rPr>
        <w:t>μ</w:t>
      </w:r>
      <w:r>
        <w:rPr>
          <w:sz w:val="26"/>
        </w:rPr>
        <w:t>g</w:t>
      </w:r>
    </w:p>
    <w:p>
      <w:pPr>
        <w:spacing w:line="592" w:lineRule="auto" w:before="5"/>
        <w:ind w:left="1200" w:right="7900" w:firstLine="0"/>
        <w:jc w:val="left"/>
        <w:rPr>
          <w:sz w:val="26"/>
        </w:rPr>
      </w:pPr>
      <w:r>
        <w:rPr>
          <w:sz w:val="26"/>
        </w:rPr>
        <w:t>V2</w:t>
      </w:r>
      <w:r>
        <w:rPr>
          <w:spacing w:val="-8"/>
          <w:sz w:val="26"/>
        </w:rPr>
        <w:t> </w:t>
      </w:r>
      <w:r>
        <w:rPr>
          <w:sz w:val="26"/>
        </w:rPr>
        <w:t>=</w:t>
      </w:r>
      <w:r>
        <w:rPr>
          <w:spacing w:val="-8"/>
          <w:sz w:val="26"/>
        </w:rPr>
        <w:t> </w:t>
      </w:r>
      <w:r>
        <w:rPr>
          <w:sz w:val="26"/>
        </w:rPr>
        <w:t>150</w:t>
      </w:r>
      <w:r>
        <w:rPr>
          <w:spacing w:val="-6"/>
          <w:sz w:val="26"/>
        </w:rPr>
        <w:t> </w:t>
      </w:r>
      <w:r>
        <w:rPr>
          <w:rFonts w:ascii="Calibri" w:hAnsi="Calibri"/>
          <w:sz w:val="26"/>
        </w:rPr>
        <w:t>μ</w:t>
      </w:r>
      <w:r>
        <w:rPr>
          <w:sz w:val="26"/>
        </w:rPr>
        <w:t>g</w:t>
      </w:r>
      <w:r>
        <w:rPr>
          <w:spacing w:val="-8"/>
          <w:sz w:val="26"/>
        </w:rPr>
        <w:t> </w:t>
      </w:r>
      <w:r>
        <w:rPr>
          <w:sz w:val="26"/>
        </w:rPr>
        <w:t>*</w:t>
      </w:r>
      <w:r>
        <w:rPr>
          <w:spacing w:val="-6"/>
          <w:sz w:val="26"/>
        </w:rPr>
        <w:t> </w:t>
      </w:r>
      <w:r>
        <w:rPr>
          <w:sz w:val="26"/>
        </w:rPr>
        <w:t>mL/100</w:t>
      </w:r>
      <w:r>
        <w:rPr>
          <w:spacing w:val="-5"/>
          <w:sz w:val="26"/>
        </w:rPr>
        <w:t> </w:t>
      </w:r>
      <w:r>
        <w:rPr>
          <w:rFonts w:ascii="Calibri" w:hAnsi="Calibri"/>
          <w:sz w:val="26"/>
        </w:rPr>
        <w:t>μ</w:t>
      </w:r>
      <w:r>
        <w:rPr>
          <w:sz w:val="26"/>
        </w:rPr>
        <w:t>g V2 = 1.5 mL</w:t>
      </w:r>
    </w:p>
    <w:p>
      <w:pPr>
        <w:spacing w:after="0" w:line="592" w:lineRule="auto"/>
        <w:jc w:val="left"/>
        <w:rPr>
          <w:sz w:val="26"/>
        </w:rPr>
        <w:sectPr>
          <w:pgSz w:w="12240" w:h="15840"/>
          <w:pgMar w:header="0" w:footer="1015" w:top="1360" w:bottom="1200" w:left="240" w:right="0"/>
        </w:sectPr>
      </w:pPr>
    </w:p>
    <w:p>
      <w:pPr>
        <w:spacing w:line="480" w:lineRule="auto" w:before="73"/>
        <w:ind w:left="1200" w:right="1431" w:firstLine="0"/>
        <w:jc w:val="left"/>
        <w:rPr>
          <w:sz w:val="26"/>
        </w:rPr>
      </w:pPr>
      <w:r>
        <w:rPr>
          <w:sz w:val="26"/>
        </w:rPr>
        <w:t>1.5 mL from the stock solution was withdrawn and added to 10 mL volumetric flask C</w:t>
      </w:r>
      <w:r>
        <w:rPr>
          <w:sz w:val="26"/>
          <w:vertAlign w:val="subscript"/>
        </w:rPr>
        <w:t>1</w:t>
      </w:r>
      <w:r>
        <w:rPr>
          <w:spacing w:val="40"/>
          <w:sz w:val="26"/>
          <w:vertAlign w:val="baseline"/>
        </w:rPr>
        <w:t> </w:t>
      </w:r>
      <w:r>
        <w:rPr>
          <w:sz w:val="26"/>
          <w:vertAlign w:val="baseline"/>
        </w:rPr>
        <w:t>and</w:t>
      </w:r>
      <w:r>
        <w:rPr>
          <w:spacing w:val="6"/>
          <w:sz w:val="26"/>
          <w:vertAlign w:val="baseline"/>
        </w:rPr>
        <w:t> </w:t>
      </w:r>
      <w:r>
        <w:rPr>
          <w:sz w:val="26"/>
          <w:vertAlign w:val="baseline"/>
        </w:rPr>
        <w:t>made</w:t>
      </w:r>
      <w:r>
        <w:rPr>
          <w:spacing w:val="6"/>
          <w:sz w:val="26"/>
          <w:vertAlign w:val="baseline"/>
        </w:rPr>
        <w:t> </w:t>
      </w:r>
      <w:r>
        <w:rPr>
          <w:sz w:val="26"/>
          <w:vertAlign w:val="baseline"/>
        </w:rPr>
        <w:t>up</w:t>
      </w:r>
      <w:r>
        <w:rPr>
          <w:spacing w:val="4"/>
          <w:sz w:val="26"/>
          <w:vertAlign w:val="baseline"/>
        </w:rPr>
        <w:t> </w:t>
      </w:r>
      <w:r>
        <w:rPr>
          <w:sz w:val="26"/>
          <w:vertAlign w:val="baseline"/>
        </w:rPr>
        <w:t>to</w:t>
      </w:r>
      <w:r>
        <w:rPr>
          <w:spacing w:val="4"/>
          <w:sz w:val="26"/>
          <w:vertAlign w:val="baseline"/>
        </w:rPr>
        <w:t> </w:t>
      </w:r>
      <w:r>
        <w:rPr>
          <w:sz w:val="26"/>
          <w:vertAlign w:val="baseline"/>
        </w:rPr>
        <w:t>10</w:t>
      </w:r>
      <w:r>
        <w:rPr>
          <w:spacing w:val="7"/>
          <w:sz w:val="26"/>
          <w:vertAlign w:val="baseline"/>
        </w:rPr>
        <w:t> </w:t>
      </w:r>
      <w:r>
        <w:rPr>
          <w:sz w:val="26"/>
          <w:vertAlign w:val="baseline"/>
        </w:rPr>
        <w:t>mL</w:t>
      </w:r>
      <w:r>
        <w:rPr>
          <w:spacing w:val="9"/>
          <w:sz w:val="26"/>
          <w:vertAlign w:val="baseline"/>
        </w:rPr>
        <w:t> </w:t>
      </w:r>
      <w:r>
        <w:rPr>
          <w:sz w:val="26"/>
          <w:vertAlign w:val="baseline"/>
        </w:rPr>
        <w:t>volume</w:t>
      </w:r>
      <w:r>
        <w:rPr>
          <w:spacing w:val="6"/>
          <w:sz w:val="26"/>
          <w:vertAlign w:val="baseline"/>
        </w:rPr>
        <w:t> </w:t>
      </w:r>
      <w:r>
        <w:rPr>
          <w:sz w:val="26"/>
          <w:vertAlign w:val="baseline"/>
        </w:rPr>
        <w:t>with</w:t>
      </w:r>
      <w:r>
        <w:rPr>
          <w:spacing w:val="6"/>
          <w:sz w:val="26"/>
          <w:vertAlign w:val="baseline"/>
        </w:rPr>
        <w:t> </w:t>
      </w:r>
      <w:r>
        <w:rPr>
          <w:sz w:val="26"/>
          <w:vertAlign w:val="baseline"/>
        </w:rPr>
        <w:t>distilled</w:t>
      </w:r>
      <w:r>
        <w:rPr>
          <w:spacing w:val="6"/>
          <w:sz w:val="26"/>
          <w:vertAlign w:val="baseline"/>
        </w:rPr>
        <w:t> </w:t>
      </w:r>
      <w:r>
        <w:rPr>
          <w:sz w:val="26"/>
          <w:vertAlign w:val="baseline"/>
        </w:rPr>
        <w:t>water</w:t>
      </w:r>
      <w:r>
        <w:rPr>
          <w:spacing w:val="4"/>
          <w:sz w:val="26"/>
          <w:vertAlign w:val="baseline"/>
        </w:rPr>
        <w:t> </w:t>
      </w:r>
      <w:r>
        <w:rPr>
          <w:sz w:val="26"/>
          <w:vertAlign w:val="baseline"/>
        </w:rPr>
        <w:t>and</w:t>
      </w:r>
      <w:r>
        <w:rPr>
          <w:spacing w:val="7"/>
          <w:sz w:val="26"/>
          <w:vertAlign w:val="baseline"/>
        </w:rPr>
        <w:t> </w:t>
      </w:r>
      <w:r>
        <w:rPr>
          <w:sz w:val="26"/>
          <w:vertAlign w:val="baseline"/>
        </w:rPr>
        <w:t>its</w:t>
      </w:r>
      <w:r>
        <w:rPr>
          <w:spacing w:val="3"/>
          <w:sz w:val="26"/>
          <w:vertAlign w:val="baseline"/>
        </w:rPr>
        <w:t> </w:t>
      </w:r>
      <w:r>
        <w:rPr>
          <w:sz w:val="26"/>
          <w:vertAlign w:val="baseline"/>
        </w:rPr>
        <w:t>absorbance</w:t>
      </w:r>
      <w:r>
        <w:rPr>
          <w:spacing w:val="4"/>
          <w:sz w:val="26"/>
          <w:vertAlign w:val="baseline"/>
        </w:rPr>
        <w:t> </w:t>
      </w:r>
      <w:r>
        <w:rPr>
          <w:sz w:val="26"/>
          <w:vertAlign w:val="baseline"/>
        </w:rPr>
        <w:t>was</w:t>
      </w:r>
      <w:r>
        <w:rPr>
          <w:spacing w:val="6"/>
          <w:sz w:val="26"/>
          <w:vertAlign w:val="baseline"/>
        </w:rPr>
        <w:t> </w:t>
      </w:r>
      <w:r>
        <w:rPr>
          <w:sz w:val="26"/>
          <w:vertAlign w:val="baseline"/>
        </w:rPr>
        <w:t>measure</w:t>
      </w:r>
      <w:r>
        <w:rPr>
          <w:spacing w:val="7"/>
          <w:sz w:val="26"/>
          <w:vertAlign w:val="baseline"/>
        </w:rPr>
        <w:t> </w:t>
      </w:r>
      <w:r>
        <w:rPr>
          <w:sz w:val="26"/>
          <w:vertAlign w:val="baseline"/>
        </w:rPr>
        <w:t>as</w:t>
      </w:r>
      <w:r>
        <w:rPr>
          <w:spacing w:val="4"/>
          <w:sz w:val="26"/>
          <w:vertAlign w:val="baseline"/>
        </w:rPr>
        <w:t> </w:t>
      </w:r>
      <w:r>
        <w:rPr>
          <w:spacing w:val="-5"/>
          <w:sz w:val="26"/>
          <w:vertAlign w:val="baseline"/>
        </w:rPr>
        <w:t>(c</w:t>
      </w:r>
    </w:p>
    <w:p>
      <w:pPr>
        <w:spacing w:line="296" w:lineRule="exact" w:before="0"/>
        <w:ind w:left="1200" w:right="0" w:firstLine="0"/>
        <w:jc w:val="left"/>
        <w:rPr>
          <w:sz w:val="26"/>
        </w:rPr>
      </w:pPr>
      <w:r>
        <w:rPr>
          <w:sz w:val="26"/>
        </w:rPr>
        <w:t>=</w:t>
      </w:r>
      <w:r>
        <w:rPr>
          <w:spacing w:val="-3"/>
          <w:sz w:val="26"/>
        </w:rPr>
        <w:t> </w:t>
      </w:r>
      <w:r>
        <w:rPr>
          <w:spacing w:val="-2"/>
          <w:sz w:val="26"/>
        </w:rPr>
        <w:t>1.235)</w:t>
      </w:r>
    </w:p>
    <w:p>
      <w:pPr>
        <w:pStyle w:val="BodyText"/>
        <w:spacing w:before="169"/>
        <w:rPr>
          <w:sz w:val="26"/>
        </w:rPr>
      </w:pPr>
    </w:p>
    <w:p>
      <w:pPr>
        <w:spacing w:before="1"/>
        <w:ind w:left="1200" w:right="0" w:firstLine="0"/>
        <w:jc w:val="left"/>
        <w:rPr>
          <w:sz w:val="26"/>
        </w:rPr>
      </w:pPr>
      <w:r>
        <w:rPr>
          <w:sz w:val="26"/>
        </w:rPr>
        <w:t>How</w:t>
      </w:r>
      <w:r>
        <w:rPr>
          <w:spacing w:val="-6"/>
          <w:sz w:val="26"/>
        </w:rPr>
        <w:t> </w:t>
      </w:r>
      <w:r>
        <w:rPr>
          <w:sz w:val="26"/>
        </w:rPr>
        <w:t>to</w:t>
      </w:r>
      <w:r>
        <w:rPr>
          <w:spacing w:val="-5"/>
          <w:sz w:val="26"/>
        </w:rPr>
        <w:t> </w:t>
      </w:r>
      <w:r>
        <w:rPr>
          <w:sz w:val="26"/>
        </w:rPr>
        <w:t>prepare</w:t>
      </w:r>
      <w:r>
        <w:rPr>
          <w:spacing w:val="-6"/>
          <w:sz w:val="26"/>
        </w:rPr>
        <w:t> </w:t>
      </w:r>
      <w:r>
        <w:rPr>
          <w:sz w:val="26"/>
        </w:rPr>
        <w:t>22</w:t>
      </w:r>
      <w:r>
        <w:rPr>
          <w:spacing w:val="-2"/>
          <w:sz w:val="26"/>
        </w:rPr>
        <w:t> </w:t>
      </w:r>
      <w:r>
        <w:rPr>
          <w:rFonts w:ascii="Calibri" w:hAnsi="Calibri"/>
          <w:sz w:val="26"/>
        </w:rPr>
        <w:t>μ</w:t>
      </w:r>
      <w:r>
        <w:rPr>
          <w:sz w:val="26"/>
        </w:rPr>
        <w:t>g/mL</w:t>
      </w:r>
      <w:r>
        <w:rPr>
          <w:spacing w:val="-4"/>
          <w:sz w:val="26"/>
        </w:rPr>
        <w:t> </w:t>
      </w:r>
      <w:r>
        <w:rPr>
          <w:sz w:val="26"/>
        </w:rPr>
        <w:t>in</w:t>
      </w:r>
      <w:r>
        <w:rPr>
          <w:spacing w:val="-5"/>
          <w:sz w:val="26"/>
        </w:rPr>
        <w:t> </w:t>
      </w:r>
      <w:r>
        <w:rPr>
          <w:sz w:val="26"/>
        </w:rPr>
        <w:t>10</w:t>
      </w:r>
      <w:r>
        <w:rPr>
          <w:spacing w:val="-3"/>
          <w:sz w:val="26"/>
        </w:rPr>
        <w:t> </w:t>
      </w:r>
      <w:r>
        <w:rPr>
          <w:sz w:val="26"/>
        </w:rPr>
        <w:t>mL</w:t>
      </w:r>
      <w:r>
        <w:rPr>
          <w:spacing w:val="-4"/>
          <w:sz w:val="26"/>
        </w:rPr>
        <w:t> </w:t>
      </w:r>
      <w:r>
        <w:rPr>
          <w:sz w:val="26"/>
        </w:rPr>
        <w:t>volumetric</w:t>
      </w:r>
      <w:r>
        <w:rPr>
          <w:spacing w:val="-5"/>
          <w:sz w:val="26"/>
        </w:rPr>
        <w:t> </w:t>
      </w:r>
      <w:r>
        <w:rPr>
          <w:sz w:val="26"/>
        </w:rPr>
        <w:t>flask</w:t>
      </w:r>
      <w:r>
        <w:rPr>
          <w:spacing w:val="-6"/>
          <w:sz w:val="26"/>
        </w:rPr>
        <w:t> </w:t>
      </w:r>
      <w:r>
        <w:rPr>
          <w:spacing w:val="-5"/>
          <w:sz w:val="26"/>
        </w:rPr>
        <w:t>D</w:t>
      </w:r>
      <w:r>
        <w:rPr>
          <w:spacing w:val="-5"/>
          <w:sz w:val="26"/>
          <w:vertAlign w:val="subscript"/>
        </w:rPr>
        <w:t>1</w:t>
      </w:r>
      <w:r>
        <w:rPr>
          <w:spacing w:val="-5"/>
          <w:sz w:val="26"/>
          <w:vertAlign w:val="baseline"/>
        </w:rPr>
        <w:t>.</w:t>
      </w:r>
    </w:p>
    <w:p>
      <w:pPr>
        <w:pStyle w:val="BodyText"/>
        <w:spacing w:before="177"/>
        <w:rPr>
          <w:sz w:val="26"/>
        </w:rPr>
      </w:pPr>
    </w:p>
    <w:p>
      <w:pPr>
        <w:spacing w:line="592" w:lineRule="auto" w:before="1"/>
        <w:ind w:left="1200" w:right="1431" w:firstLine="0"/>
        <w:jc w:val="left"/>
        <w:rPr>
          <w:sz w:val="26"/>
        </w:rPr>
      </w:pPr>
      <w:r>
        <w:rPr>
          <w:sz w:val="26"/>
        </w:rPr>
        <w:t>Concentration</w:t>
      </w:r>
      <w:r>
        <w:rPr>
          <w:spacing w:val="-5"/>
          <w:sz w:val="26"/>
        </w:rPr>
        <w:t> </w:t>
      </w:r>
      <w:r>
        <w:rPr>
          <w:sz w:val="26"/>
        </w:rPr>
        <w:t>of</w:t>
      </w:r>
      <w:r>
        <w:rPr>
          <w:spacing w:val="-2"/>
          <w:sz w:val="26"/>
        </w:rPr>
        <w:t> </w:t>
      </w:r>
      <w:r>
        <w:rPr>
          <w:sz w:val="26"/>
        </w:rPr>
        <w:t>isoniazid</w:t>
      </w:r>
      <w:r>
        <w:rPr>
          <w:spacing w:val="-5"/>
          <w:sz w:val="26"/>
        </w:rPr>
        <w:t> </w:t>
      </w:r>
      <w:r>
        <w:rPr>
          <w:sz w:val="26"/>
        </w:rPr>
        <w:t>solution</w:t>
      </w:r>
      <w:r>
        <w:rPr>
          <w:spacing w:val="-5"/>
          <w:sz w:val="26"/>
        </w:rPr>
        <w:t> </w:t>
      </w:r>
      <w:r>
        <w:rPr>
          <w:sz w:val="26"/>
        </w:rPr>
        <w:t>in</w:t>
      </w:r>
      <w:r>
        <w:rPr>
          <w:spacing w:val="-5"/>
          <w:sz w:val="26"/>
        </w:rPr>
        <w:t> </w:t>
      </w:r>
      <w:r>
        <w:rPr>
          <w:sz w:val="26"/>
        </w:rPr>
        <w:t>10</w:t>
      </w:r>
      <w:r>
        <w:rPr>
          <w:spacing w:val="-3"/>
          <w:sz w:val="26"/>
        </w:rPr>
        <w:t> </w:t>
      </w:r>
      <w:r>
        <w:rPr>
          <w:sz w:val="26"/>
        </w:rPr>
        <w:t>mL</w:t>
      </w:r>
      <w:r>
        <w:rPr>
          <w:spacing w:val="-2"/>
          <w:sz w:val="26"/>
        </w:rPr>
        <w:t> </w:t>
      </w:r>
      <w:r>
        <w:rPr>
          <w:sz w:val="26"/>
        </w:rPr>
        <w:t>volumetric</w:t>
      </w:r>
      <w:r>
        <w:rPr>
          <w:spacing w:val="-5"/>
          <w:sz w:val="26"/>
        </w:rPr>
        <w:t> </w:t>
      </w:r>
      <w:r>
        <w:rPr>
          <w:sz w:val="26"/>
        </w:rPr>
        <w:t>flask</w:t>
      </w:r>
      <w:r>
        <w:rPr>
          <w:spacing w:val="-5"/>
          <w:sz w:val="26"/>
        </w:rPr>
        <w:t> </w:t>
      </w:r>
      <w:r>
        <w:rPr>
          <w:sz w:val="26"/>
        </w:rPr>
        <w:t>D</w:t>
      </w:r>
      <w:r>
        <w:rPr>
          <w:sz w:val="26"/>
          <w:vertAlign w:val="subscript"/>
        </w:rPr>
        <w:t>1</w:t>
      </w:r>
      <w:r>
        <w:rPr>
          <w:spacing w:val="-3"/>
          <w:sz w:val="26"/>
          <w:vertAlign w:val="baseline"/>
        </w:rPr>
        <w:t> </w:t>
      </w:r>
      <w:r>
        <w:rPr>
          <w:sz w:val="26"/>
          <w:vertAlign w:val="baseline"/>
        </w:rPr>
        <w:t>=</w:t>
      </w:r>
      <w:r>
        <w:rPr>
          <w:spacing w:val="-5"/>
          <w:sz w:val="26"/>
          <w:vertAlign w:val="baseline"/>
        </w:rPr>
        <w:t> </w:t>
      </w:r>
      <w:r>
        <w:rPr>
          <w:sz w:val="26"/>
          <w:vertAlign w:val="baseline"/>
        </w:rPr>
        <w:t>10</w:t>
      </w:r>
      <w:r>
        <w:rPr>
          <w:spacing w:val="-2"/>
          <w:sz w:val="26"/>
          <w:vertAlign w:val="baseline"/>
        </w:rPr>
        <w:t> </w:t>
      </w:r>
      <w:r>
        <w:rPr>
          <w:rFonts w:ascii="Calibri" w:hAnsi="Calibri"/>
          <w:sz w:val="26"/>
          <w:vertAlign w:val="baseline"/>
        </w:rPr>
        <w:t>μ</w:t>
      </w:r>
      <w:r>
        <w:rPr>
          <w:sz w:val="26"/>
          <w:vertAlign w:val="baseline"/>
        </w:rPr>
        <w:t>g/mL</w:t>
      </w:r>
      <w:r>
        <w:rPr>
          <w:spacing w:val="-1"/>
          <w:sz w:val="26"/>
          <w:vertAlign w:val="baseline"/>
        </w:rPr>
        <w:t> </w:t>
      </w:r>
      <w:r>
        <w:rPr>
          <w:sz w:val="26"/>
          <w:vertAlign w:val="baseline"/>
        </w:rPr>
        <w:t>(C1) Volume of solution in 10 mL volumetric flask D</w:t>
      </w:r>
      <w:r>
        <w:rPr>
          <w:sz w:val="26"/>
          <w:vertAlign w:val="subscript"/>
        </w:rPr>
        <w:t>1</w:t>
      </w:r>
      <w:r>
        <w:rPr>
          <w:sz w:val="26"/>
          <w:vertAlign w:val="baseline"/>
        </w:rPr>
        <w:t> = 5 mL (V1)</w:t>
      </w:r>
    </w:p>
    <w:p>
      <w:pPr>
        <w:spacing w:before="31"/>
        <w:ind w:left="1200" w:right="0" w:firstLine="0"/>
        <w:jc w:val="left"/>
        <w:rPr>
          <w:sz w:val="26"/>
        </w:rPr>
      </w:pPr>
      <w:r>
        <w:rPr>
          <w:sz w:val="26"/>
        </w:rPr>
        <w:t>Concentration</w:t>
      </w:r>
      <w:r>
        <w:rPr>
          <w:spacing w:val="-7"/>
          <w:sz w:val="26"/>
        </w:rPr>
        <w:t> </w:t>
      </w:r>
      <w:r>
        <w:rPr>
          <w:sz w:val="26"/>
        </w:rPr>
        <w:t>of</w:t>
      </w:r>
      <w:r>
        <w:rPr>
          <w:spacing w:val="-5"/>
          <w:sz w:val="26"/>
        </w:rPr>
        <w:t> </w:t>
      </w:r>
      <w:r>
        <w:rPr>
          <w:sz w:val="26"/>
        </w:rPr>
        <w:t>stock</w:t>
      </w:r>
      <w:r>
        <w:rPr>
          <w:spacing w:val="-5"/>
          <w:sz w:val="26"/>
        </w:rPr>
        <w:t> </w:t>
      </w:r>
      <w:r>
        <w:rPr>
          <w:sz w:val="26"/>
        </w:rPr>
        <w:t>solution</w:t>
      </w:r>
      <w:r>
        <w:rPr>
          <w:spacing w:val="-7"/>
          <w:sz w:val="26"/>
        </w:rPr>
        <w:t> </w:t>
      </w:r>
      <w:r>
        <w:rPr>
          <w:sz w:val="26"/>
        </w:rPr>
        <w:t>=</w:t>
      </w:r>
      <w:r>
        <w:rPr>
          <w:spacing w:val="-5"/>
          <w:sz w:val="26"/>
        </w:rPr>
        <w:t> </w:t>
      </w:r>
      <w:r>
        <w:rPr>
          <w:sz w:val="26"/>
        </w:rPr>
        <w:t>100</w:t>
      </w:r>
      <w:r>
        <w:rPr>
          <w:spacing w:val="-3"/>
          <w:sz w:val="26"/>
        </w:rPr>
        <w:t> </w:t>
      </w:r>
      <w:r>
        <w:rPr>
          <w:rFonts w:ascii="Calibri" w:hAnsi="Calibri"/>
          <w:sz w:val="26"/>
        </w:rPr>
        <w:t>μ</w:t>
      </w:r>
      <w:r>
        <w:rPr>
          <w:sz w:val="26"/>
        </w:rPr>
        <w:t>g/mL</w:t>
      </w:r>
      <w:r>
        <w:rPr>
          <w:spacing w:val="-6"/>
          <w:sz w:val="26"/>
        </w:rPr>
        <w:t> </w:t>
      </w:r>
      <w:r>
        <w:rPr>
          <w:spacing w:val="-4"/>
          <w:sz w:val="26"/>
        </w:rPr>
        <w:t>(C2)</w:t>
      </w:r>
    </w:p>
    <w:p>
      <w:pPr>
        <w:pStyle w:val="BodyText"/>
        <w:spacing w:before="168"/>
        <w:rPr>
          <w:sz w:val="26"/>
        </w:rPr>
      </w:pPr>
    </w:p>
    <w:p>
      <w:pPr>
        <w:spacing w:line="616" w:lineRule="auto" w:before="0"/>
        <w:ind w:left="1200" w:right="2445" w:firstLine="0"/>
        <w:jc w:val="left"/>
        <w:rPr>
          <w:sz w:val="26"/>
        </w:rPr>
      </w:pPr>
      <w:r>
        <w:rPr>
          <w:sz w:val="26"/>
        </w:rPr>
        <w:t>Volume</w:t>
      </w:r>
      <w:r>
        <w:rPr>
          <w:spacing w:val="-4"/>
          <w:sz w:val="26"/>
        </w:rPr>
        <w:t> </w:t>
      </w:r>
      <w:r>
        <w:rPr>
          <w:sz w:val="26"/>
        </w:rPr>
        <w:t>of</w:t>
      </w:r>
      <w:r>
        <w:rPr>
          <w:spacing w:val="-1"/>
          <w:sz w:val="26"/>
        </w:rPr>
        <w:t> </w:t>
      </w:r>
      <w:r>
        <w:rPr>
          <w:sz w:val="26"/>
        </w:rPr>
        <w:t>stock</w:t>
      </w:r>
      <w:r>
        <w:rPr>
          <w:spacing w:val="-4"/>
          <w:sz w:val="26"/>
        </w:rPr>
        <w:t> </w:t>
      </w:r>
      <w:r>
        <w:rPr>
          <w:sz w:val="26"/>
        </w:rPr>
        <w:t>solution</w:t>
      </w:r>
      <w:r>
        <w:rPr>
          <w:spacing w:val="-4"/>
          <w:sz w:val="26"/>
        </w:rPr>
        <w:t> </w:t>
      </w:r>
      <w:r>
        <w:rPr>
          <w:sz w:val="26"/>
        </w:rPr>
        <w:t>to</w:t>
      </w:r>
      <w:r>
        <w:rPr>
          <w:spacing w:val="-4"/>
          <w:sz w:val="26"/>
        </w:rPr>
        <w:t> </w:t>
      </w:r>
      <w:r>
        <w:rPr>
          <w:sz w:val="26"/>
        </w:rPr>
        <w:t>be</w:t>
      </w:r>
      <w:r>
        <w:rPr>
          <w:spacing w:val="-4"/>
          <w:sz w:val="26"/>
        </w:rPr>
        <w:t> </w:t>
      </w:r>
      <w:r>
        <w:rPr>
          <w:sz w:val="26"/>
        </w:rPr>
        <w:t>added</w:t>
      </w:r>
      <w:r>
        <w:rPr>
          <w:spacing w:val="-4"/>
          <w:sz w:val="26"/>
        </w:rPr>
        <w:t> </w:t>
      </w:r>
      <w:r>
        <w:rPr>
          <w:sz w:val="26"/>
        </w:rPr>
        <w:t>to</w:t>
      </w:r>
      <w:r>
        <w:rPr>
          <w:spacing w:val="-4"/>
          <w:sz w:val="26"/>
        </w:rPr>
        <w:t> </w:t>
      </w:r>
      <w:r>
        <w:rPr>
          <w:sz w:val="26"/>
        </w:rPr>
        <w:t>10</w:t>
      </w:r>
      <w:r>
        <w:rPr>
          <w:spacing w:val="-2"/>
          <w:sz w:val="26"/>
        </w:rPr>
        <w:t> </w:t>
      </w:r>
      <w:r>
        <w:rPr>
          <w:sz w:val="26"/>
        </w:rPr>
        <w:t>mL</w:t>
      </w:r>
      <w:r>
        <w:rPr>
          <w:spacing w:val="-1"/>
          <w:sz w:val="26"/>
        </w:rPr>
        <w:t> </w:t>
      </w:r>
      <w:r>
        <w:rPr>
          <w:sz w:val="26"/>
        </w:rPr>
        <w:t>volumetric</w:t>
      </w:r>
      <w:r>
        <w:rPr>
          <w:spacing w:val="-4"/>
          <w:sz w:val="26"/>
        </w:rPr>
        <w:t> </w:t>
      </w:r>
      <w:r>
        <w:rPr>
          <w:sz w:val="26"/>
        </w:rPr>
        <w:t>flask</w:t>
      </w:r>
      <w:r>
        <w:rPr>
          <w:spacing w:val="-4"/>
          <w:sz w:val="26"/>
        </w:rPr>
        <w:t> </w:t>
      </w:r>
      <w:r>
        <w:rPr>
          <w:sz w:val="26"/>
        </w:rPr>
        <w:t>D</w:t>
      </w:r>
      <w:r>
        <w:rPr>
          <w:sz w:val="26"/>
          <w:vertAlign w:val="subscript"/>
        </w:rPr>
        <w:t>1</w:t>
      </w:r>
      <w:r>
        <w:rPr>
          <w:spacing w:val="-2"/>
          <w:sz w:val="26"/>
          <w:vertAlign w:val="baseline"/>
        </w:rPr>
        <w:t> </w:t>
      </w:r>
      <w:r>
        <w:rPr>
          <w:sz w:val="26"/>
          <w:vertAlign w:val="baseline"/>
        </w:rPr>
        <w:t>=</w:t>
      </w:r>
      <w:r>
        <w:rPr>
          <w:spacing w:val="-4"/>
          <w:sz w:val="26"/>
          <w:vertAlign w:val="baseline"/>
        </w:rPr>
        <w:t> </w:t>
      </w:r>
      <w:r>
        <w:rPr>
          <w:sz w:val="26"/>
          <w:vertAlign w:val="baseline"/>
        </w:rPr>
        <w:t>(V2?) Final concentration of 10 mL volumetric flask D</w:t>
      </w:r>
      <w:r>
        <w:rPr>
          <w:sz w:val="26"/>
          <w:vertAlign w:val="subscript"/>
        </w:rPr>
        <w:t>1</w:t>
      </w:r>
      <w:r>
        <w:rPr>
          <w:sz w:val="26"/>
          <w:vertAlign w:val="baseline"/>
        </w:rPr>
        <w:t> = 22 </w:t>
      </w:r>
      <w:r>
        <w:rPr>
          <w:rFonts w:ascii="Calibri" w:hAnsi="Calibri"/>
          <w:sz w:val="26"/>
          <w:vertAlign w:val="baseline"/>
        </w:rPr>
        <w:t>μ</w:t>
      </w:r>
      <w:r>
        <w:rPr>
          <w:sz w:val="26"/>
          <w:vertAlign w:val="baseline"/>
        </w:rPr>
        <w:t>/ml (C3)</w:t>
      </w:r>
    </w:p>
    <w:p>
      <w:pPr>
        <w:spacing w:line="268" w:lineRule="exact" w:before="0"/>
        <w:ind w:left="1200" w:right="0" w:firstLine="0"/>
        <w:jc w:val="left"/>
        <w:rPr>
          <w:sz w:val="26"/>
        </w:rPr>
      </w:pPr>
      <w:r>
        <w:rPr>
          <w:sz w:val="26"/>
        </w:rPr>
        <w:t>Final</w:t>
      </w:r>
      <w:r>
        <w:rPr>
          <w:spacing w:val="-6"/>
          <w:sz w:val="26"/>
        </w:rPr>
        <w:t> </w:t>
      </w:r>
      <w:r>
        <w:rPr>
          <w:sz w:val="26"/>
        </w:rPr>
        <w:t>volume</w:t>
      </w:r>
      <w:r>
        <w:rPr>
          <w:spacing w:val="-6"/>
          <w:sz w:val="26"/>
        </w:rPr>
        <w:t> </w:t>
      </w:r>
      <w:r>
        <w:rPr>
          <w:sz w:val="26"/>
        </w:rPr>
        <w:t>of</w:t>
      </w:r>
      <w:r>
        <w:rPr>
          <w:spacing w:val="-3"/>
          <w:sz w:val="26"/>
        </w:rPr>
        <w:t> </w:t>
      </w:r>
      <w:r>
        <w:rPr>
          <w:sz w:val="26"/>
        </w:rPr>
        <w:t>10</w:t>
      </w:r>
      <w:r>
        <w:rPr>
          <w:spacing w:val="-4"/>
          <w:sz w:val="26"/>
        </w:rPr>
        <w:t> </w:t>
      </w:r>
      <w:r>
        <w:rPr>
          <w:sz w:val="26"/>
        </w:rPr>
        <w:t>mL</w:t>
      </w:r>
      <w:r>
        <w:rPr>
          <w:spacing w:val="-3"/>
          <w:sz w:val="26"/>
        </w:rPr>
        <w:t> </w:t>
      </w:r>
      <w:r>
        <w:rPr>
          <w:sz w:val="26"/>
        </w:rPr>
        <w:t>volumetric</w:t>
      </w:r>
      <w:r>
        <w:rPr>
          <w:spacing w:val="-3"/>
          <w:sz w:val="26"/>
        </w:rPr>
        <w:t> </w:t>
      </w:r>
      <w:r>
        <w:rPr>
          <w:sz w:val="26"/>
        </w:rPr>
        <w:t>flask</w:t>
      </w:r>
      <w:r>
        <w:rPr>
          <w:spacing w:val="-6"/>
          <w:sz w:val="26"/>
        </w:rPr>
        <w:t> </w:t>
      </w:r>
      <w:r>
        <w:rPr>
          <w:sz w:val="26"/>
        </w:rPr>
        <w:t>D</w:t>
      </w:r>
      <w:r>
        <w:rPr>
          <w:sz w:val="26"/>
          <w:vertAlign w:val="subscript"/>
        </w:rPr>
        <w:t>1</w:t>
      </w:r>
      <w:r>
        <w:rPr>
          <w:spacing w:val="-4"/>
          <w:sz w:val="26"/>
          <w:vertAlign w:val="baseline"/>
        </w:rPr>
        <w:t> </w:t>
      </w:r>
      <w:r>
        <w:rPr>
          <w:sz w:val="26"/>
          <w:vertAlign w:val="baseline"/>
        </w:rPr>
        <w:t>=10</w:t>
      </w:r>
      <w:r>
        <w:rPr>
          <w:spacing w:val="-3"/>
          <w:sz w:val="26"/>
          <w:vertAlign w:val="baseline"/>
        </w:rPr>
        <w:t> </w:t>
      </w:r>
      <w:r>
        <w:rPr>
          <w:sz w:val="26"/>
          <w:vertAlign w:val="baseline"/>
        </w:rPr>
        <w:t>mL</w:t>
      </w:r>
      <w:r>
        <w:rPr>
          <w:spacing w:val="-5"/>
          <w:sz w:val="26"/>
          <w:vertAlign w:val="baseline"/>
        </w:rPr>
        <w:t> </w:t>
      </w:r>
      <w:r>
        <w:rPr>
          <w:spacing w:val="-4"/>
          <w:sz w:val="26"/>
          <w:vertAlign w:val="baseline"/>
        </w:rPr>
        <w:t>(V3)</w:t>
      </w:r>
    </w:p>
    <w:p>
      <w:pPr>
        <w:pStyle w:val="BodyText"/>
        <w:spacing w:before="161"/>
        <w:rPr>
          <w:sz w:val="26"/>
        </w:rPr>
      </w:pPr>
    </w:p>
    <w:p>
      <w:pPr>
        <w:spacing w:before="0"/>
        <w:ind w:left="1200" w:right="0" w:firstLine="0"/>
        <w:jc w:val="left"/>
        <w:rPr>
          <w:sz w:val="26"/>
        </w:rPr>
      </w:pPr>
      <w:r>
        <w:rPr>
          <w:sz w:val="26"/>
        </w:rPr>
        <w:t>C1V1+C2V2</w:t>
      </w:r>
      <w:r>
        <w:rPr>
          <w:spacing w:val="-13"/>
          <w:sz w:val="26"/>
        </w:rPr>
        <w:t> </w:t>
      </w:r>
      <w:r>
        <w:rPr>
          <w:spacing w:val="-2"/>
          <w:sz w:val="26"/>
        </w:rPr>
        <w:t>=C3V3</w:t>
      </w:r>
    </w:p>
    <w:p>
      <w:pPr>
        <w:pStyle w:val="BodyText"/>
        <w:spacing w:before="170"/>
        <w:rPr>
          <w:sz w:val="26"/>
        </w:rPr>
      </w:pPr>
    </w:p>
    <w:p>
      <w:pPr>
        <w:spacing w:line="600" w:lineRule="auto" w:before="0"/>
        <w:ind w:left="1200" w:right="4719" w:firstLine="0"/>
        <w:jc w:val="left"/>
        <w:rPr>
          <w:sz w:val="26"/>
        </w:rPr>
      </w:pPr>
      <w:r>
        <w:rPr>
          <w:sz w:val="26"/>
        </w:rPr>
        <w:t>10</w:t>
      </w:r>
      <w:r>
        <w:rPr>
          <w:spacing w:val="-5"/>
          <w:sz w:val="26"/>
        </w:rPr>
        <w:t> </w:t>
      </w:r>
      <w:r>
        <w:rPr>
          <w:rFonts w:ascii="Calibri" w:hAnsi="Calibri"/>
          <w:sz w:val="26"/>
        </w:rPr>
        <w:t>μ</w:t>
      </w:r>
      <w:r>
        <w:rPr>
          <w:sz w:val="26"/>
        </w:rPr>
        <w:t>g/mL</w:t>
      </w:r>
      <w:r>
        <w:rPr>
          <w:spacing w:val="-5"/>
          <w:sz w:val="26"/>
        </w:rPr>
        <w:t> </w:t>
      </w:r>
      <w:r>
        <w:rPr>
          <w:sz w:val="26"/>
        </w:rPr>
        <w:t>*</w:t>
      </w:r>
      <w:r>
        <w:rPr>
          <w:spacing w:val="-5"/>
          <w:sz w:val="26"/>
        </w:rPr>
        <w:t> </w:t>
      </w:r>
      <w:r>
        <w:rPr>
          <w:sz w:val="26"/>
        </w:rPr>
        <w:t>5</w:t>
      </w:r>
      <w:r>
        <w:rPr>
          <w:spacing w:val="-3"/>
          <w:sz w:val="26"/>
        </w:rPr>
        <w:t> </w:t>
      </w:r>
      <w:r>
        <w:rPr>
          <w:sz w:val="26"/>
        </w:rPr>
        <w:t>mL</w:t>
      </w:r>
      <w:r>
        <w:rPr>
          <w:spacing w:val="-4"/>
          <w:sz w:val="26"/>
        </w:rPr>
        <w:t> </w:t>
      </w:r>
      <w:r>
        <w:rPr>
          <w:sz w:val="26"/>
        </w:rPr>
        <w:t>+100</w:t>
      </w:r>
      <w:r>
        <w:rPr>
          <w:spacing w:val="-1"/>
          <w:sz w:val="26"/>
        </w:rPr>
        <w:t> </w:t>
      </w:r>
      <w:r>
        <w:rPr>
          <w:rFonts w:ascii="Calibri" w:hAnsi="Calibri"/>
          <w:sz w:val="26"/>
        </w:rPr>
        <w:t>μ</w:t>
      </w:r>
      <w:r>
        <w:rPr>
          <w:sz w:val="26"/>
        </w:rPr>
        <w:t>g/mL</w:t>
      </w:r>
      <w:r>
        <w:rPr>
          <w:spacing w:val="-2"/>
          <w:sz w:val="26"/>
        </w:rPr>
        <w:t> </w:t>
      </w:r>
      <w:r>
        <w:rPr>
          <w:sz w:val="26"/>
        </w:rPr>
        <w:t>*</w:t>
      </w:r>
      <w:r>
        <w:rPr>
          <w:spacing w:val="-5"/>
          <w:sz w:val="26"/>
        </w:rPr>
        <w:t> </w:t>
      </w:r>
      <w:r>
        <w:rPr>
          <w:sz w:val="26"/>
        </w:rPr>
        <w:t>V2</w:t>
      </w:r>
      <w:r>
        <w:rPr>
          <w:spacing w:val="-5"/>
          <w:sz w:val="26"/>
        </w:rPr>
        <w:t> </w:t>
      </w:r>
      <w:r>
        <w:rPr>
          <w:sz w:val="26"/>
        </w:rPr>
        <w:t>=</w:t>
      </w:r>
      <w:r>
        <w:rPr>
          <w:spacing w:val="-2"/>
          <w:sz w:val="26"/>
        </w:rPr>
        <w:t> </w:t>
      </w:r>
      <w:r>
        <w:rPr>
          <w:sz w:val="26"/>
        </w:rPr>
        <w:t>22</w:t>
      </w:r>
      <w:r>
        <w:rPr>
          <w:spacing w:val="-4"/>
          <w:sz w:val="26"/>
        </w:rPr>
        <w:t> </w:t>
      </w:r>
      <w:r>
        <w:rPr>
          <w:rFonts w:ascii="Calibri" w:hAnsi="Calibri"/>
          <w:sz w:val="26"/>
        </w:rPr>
        <w:t>μ</w:t>
      </w:r>
      <w:r>
        <w:rPr>
          <w:sz w:val="26"/>
        </w:rPr>
        <w:t>g/mL</w:t>
      </w:r>
      <w:r>
        <w:rPr>
          <w:spacing w:val="-3"/>
          <w:sz w:val="26"/>
        </w:rPr>
        <w:t> </w:t>
      </w:r>
      <w:r>
        <w:rPr>
          <w:sz w:val="26"/>
        </w:rPr>
        <w:t>*</w:t>
      </w:r>
      <w:r>
        <w:rPr>
          <w:spacing w:val="-5"/>
          <w:sz w:val="26"/>
        </w:rPr>
        <w:t> </w:t>
      </w:r>
      <w:r>
        <w:rPr>
          <w:sz w:val="26"/>
        </w:rPr>
        <w:t>10</w:t>
      </w:r>
      <w:r>
        <w:rPr>
          <w:spacing w:val="-3"/>
          <w:sz w:val="26"/>
        </w:rPr>
        <w:t> </w:t>
      </w:r>
      <w:r>
        <w:rPr>
          <w:sz w:val="26"/>
        </w:rPr>
        <w:t>mL 50 </w:t>
      </w:r>
      <w:r>
        <w:rPr>
          <w:rFonts w:ascii="Calibri" w:hAnsi="Calibri"/>
          <w:sz w:val="26"/>
        </w:rPr>
        <w:t>μ</w:t>
      </w:r>
      <w:r>
        <w:rPr>
          <w:sz w:val="26"/>
        </w:rPr>
        <w:t>g + 100 </w:t>
      </w:r>
      <w:r>
        <w:rPr>
          <w:rFonts w:ascii="Calibri" w:hAnsi="Calibri"/>
          <w:sz w:val="26"/>
        </w:rPr>
        <w:t>μ</w:t>
      </w:r>
      <w:r>
        <w:rPr>
          <w:sz w:val="26"/>
        </w:rPr>
        <w:t>g/mL * V2 = 220 </w:t>
      </w:r>
      <w:r>
        <w:rPr>
          <w:rFonts w:ascii="Calibri" w:hAnsi="Calibri"/>
          <w:sz w:val="26"/>
        </w:rPr>
        <w:t>μ</w:t>
      </w:r>
      <w:r>
        <w:rPr>
          <w:sz w:val="26"/>
        </w:rPr>
        <w:t>g</w:t>
      </w:r>
    </w:p>
    <w:p>
      <w:pPr>
        <w:spacing w:line="600" w:lineRule="auto" w:before="2"/>
        <w:ind w:left="1200" w:right="6970" w:firstLine="0"/>
        <w:jc w:val="left"/>
        <w:rPr>
          <w:sz w:val="26"/>
        </w:rPr>
      </w:pPr>
      <w:r>
        <w:rPr>
          <w:sz w:val="26"/>
        </w:rPr>
        <w:t>100</w:t>
      </w:r>
      <w:r>
        <w:rPr>
          <w:spacing w:val="-6"/>
          <w:sz w:val="26"/>
        </w:rPr>
        <w:t> </w:t>
      </w:r>
      <w:r>
        <w:rPr>
          <w:rFonts w:ascii="Calibri" w:hAnsi="Calibri"/>
          <w:sz w:val="26"/>
        </w:rPr>
        <w:t>μ</w:t>
      </w:r>
      <w:r>
        <w:rPr>
          <w:sz w:val="26"/>
        </w:rPr>
        <w:t>g/mL</w:t>
      </w:r>
      <w:r>
        <w:rPr>
          <w:spacing w:val="-5"/>
          <w:sz w:val="26"/>
        </w:rPr>
        <w:t> </w:t>
      </w:r>
      <w:r>
        <w:rPr>
          <w:sz w:val="26"/>
        </w:rPr>
        <w:t>*</w:t>
      </w:r>
      <w:r>
        <w:rPr>
          <w:spacing w:val="-6"/>
          <w:sz w:val="26"/>
        </w:rPr>
        <w:t> </w:t>
      </w:r>
      <w:r>
        <w:rPr>
          <w:sz w:val="26"/>
        </w:rPr>
        <w:t>V2</w:t>
      </w:r>
      <w:r>
        <w:rPr>
          <w:spacing w:val="-6"/>
          <w:sz w:val="26"/>
        </w:rPr>
        <w:t> </w:t>
      </w:r>
      <w:r>
        <w:rPr>
          <w:sz w:val="26"/>
        </w:rPr>
        <w:t>=</w:t>
      </w:r>
      <w:r>
        <w:rPr>
          <w:spacing w:val="-6"/>
          <w:sz w:val="26"/>
        </w:rPr>
        <w:t> </w:t>
      </w:r>
      <w:r>
        <w:rPr>
          <w:sz w:val="26"/>
        </w:rPr>
        <w:t>220</w:t>
      </w:r>
      <w:r>
        <w:rPr>
          <w:spacing w:val="-2"/>
          <w:sz w:val="26"/>
        </w:rPr>
        <w:t> </w:t>
      </w:r>
      <w:r>
        <w:rPr>
          <w:rFonts w:ascii="Calibri" w:hAnsi="Calibri"/>
          <w:sz w:val="26"/>
        </w:rPr>
        <w:t>μ</w:t>
      </w:r>
      <w:r>
        <w:rPr>
          <w:sz w:val="26"/>
        </w:rPr>
        <w:t>g</w:t>
      </w:r>
      <w:r>
        <w:rPr>
          <w:spacing w:val="-6"/>
          <w:sz w:val="26"/>
        </w:rPr>
        <w:t> </w:t>
      </w:r>
      <w:r>
        <w:rPr>
          <w:sz w:val="26"/>
        </w:rPr>
        <w:t>–</w:t>
      </w:r>
      <w:r>
        <w:rPr>
          <w:spacing w:val="-6"/>
          <w:sz w:val="26"/>
        </w:rPr>
        <w:t> </w:t>
      </w:r>
      <w:r>
        <w:rPr>
          <w:sz w:val="26"/>
        </w:rPr>
        <w:t>50</w:t>
      </w:r>
      <w:r>
        <w:rPr>
          <w:spacing w:val="-5"/>
          <w:sz w:val="26"/>
        </w:rPr>
        <w:t> </w:t>
      </w:r>
      <w:r>
        <w:rPr>
          <w:rFonts w:ascii="Calibri" w:hAnsi="Calibri"/>
          <w:sz w:val="26"/>
        </w:rPr>
        <w:t>μ</w:t>
      </w:r>
      <w:r>
        <w:rPr>
          <w:sz w:val="26"/>
        </w:rPr>
        <w:t>g 100 </w:t>
      </w:r>
      <w:r>
        <w:rPr>
          <w:rFonts w:ascii="Calibri" w:hAnsi="Calibri"/>
          <w:sz w:val="26"/>
        </w:rPr>
        <w:t>μ</w:t>
      </w:r>
      <w:r>
        <w:rPr>
          <w:sz w:val="26"/>
        </w:rPr>
        <w:t>g/mL * V2 =170 </w:t>
      </w:r>
      <w:r>
        <w:rPr>
          <w:rFonts w:ascii="Calibri" w:hAnsi="Calibri"/>
          <w:sz w:val="26"/>
        </w:rPr>
        <w:t>μ</w:t>
      </w:r>
      <w:r>
        <w:rPr>
          <w:sz w:val="26"/>
        </w:rPr>
        <w:t>g</w:t>
      </w:r>
    </w:p>
    <w:p>
      <w:pPr>
        <w:spacing w:line="592" w:lineRule="auto" w:before="5"/>
        <w:ind w:left="1200" w:right="7900" w:firstLine="0"/>
        <w:jc w:val="left"/>
        <w:rPr>
          <w:sz w:val="26"/>
        </w:rPr>
      </w:pPr>
      <w:r>
        <w:rPr>
          <w:sz w:val="26"/>
        </w:rPr>
        <w:t>V2</w:t>
      </w:r>
      <w:r>
        <w:rPr>
          <w:spacing w:val="-8"/>
          <w:sz w:val="26"/>
        </w:rPr>
        <w:t> </w:t>
      </w:r>
      <w:r>
        <w:rPr>
          <w:sz w:val="26"/>
        </w:rPr>
        <w:t>=</w:t>
      </w:r>
      <w:r>
        <w:rPr>
          <w:spacing w:val="-8"/>
          <w:sz w:val="26"/>
        </w:rPr>
        <w:t> </w:t>
      </w:r>
      <w:r>
        <w:rPr>
          <w:sz w:val="26"/>
        </w:rPr>
        <w:t>170</w:t>
      </w:r>
      <w:r>
        <w:rPr>
          <w:spacing w:val="-6"/>
          <w:sz w:val="26"/>
        </w:rPr>
        <w:t> </w:t>
      </w:r>
      <w:r>
        <w:rPr>
          <w:rFonts w:ascii="Calibri" w:hAnsi="Calibri"/>
          <w:sz w:val="26"/>
        </w:rPr>
        <w:t>μ</w:t>
      </w:r>
      <w:r>
        <w:rPr>
          <w:sz w:val="26"/>
        </w:rPr>
        <w:t>g</w:t>
      </w:r>
      <w:r>
        <w:rPr>
          <w:spacing w:val="-8"/>
          <w:sz w:val="26"/>
        </w:rPr>
        <w:t> </w:t>
      </w:r>
      <w:r>
        <w:rPr>
          <w:sz w:val="26"/>
        </w:rPr>
        <w:t>*</w:t>
      </w:r>
      <w:r>
        <w:rPr>
          <w:spacing w:val="-6"/>
          <w:sz w:val="26"/>
        </w:rPr>
        <w:t> </w:t>
      </w:r>
      <w:r>
        <w:rPr>
          <w:sz w:val="26"/>
        </w:rPr>
        <w:t>mL/100</w:t>
      </w:r>
      <w:r>
        <w:rPr>
          <w:spacing w:val="-5"/>
          <w:sz w:val="26"/>
        </w:rPr>
        <w:t> </w:t>
      </w:r>
      <w:r>
        <w:rPr>
          <w:rFonts w:ascii="Calibri" w:hAnsi="Calibri"/>
          <w:sz w:val="26"/>
        </w:rPr>
        <w:t>μ</w:t>
      </w:r>
      <w:r>
        <w:rPr>
          <w:sz w:val="26"/>
        </w:rPr>
        <w:t>g V2 = 1.7 mL</w:t>
      </w:r>
    </w:p>
    <w:p>
      <w:pPr>
        <w:spacing w:after="0" w:line="592" w:lineRule="auto"/>
        <w:jc w:val="left"/>
        <w:rPr>
          <w:sz w:val="26"/>
        </w:rPr>
        <w:sectPr>
          <w:pgSz w:w="12240" w:h="15840"/>
          <w:pgMar w:header="0" w:footer="1015" w:top="1360" w:bottom="1200" w:left="240" w:right="0"/>
        </w:sectPr>
      </w:pPr>
    </w:p>
    <w:p>
      <w:pPr>
        <w:spacing w:line="480" w:lineRule="auto" w:before="73"/>
        <w:ind w:left="1200" w:right="1431" w:firstLine="0"/>
        <w:jc w:val="left"/>
        <w:rPr>
          <w:sz w:val="26"/>
        </w:rPr>
      </w:pPr>
      <w:r>
        <w:rPr>
          <w:sz w:val="26"/>
        </w:rPr>
        <w:t>1.7 mL from the stock solution was withdrawn and added to 10 mL volumetric flask D</w:t>
      </w:r>
      <w:r>
        <w:rPr>
          <w:sz w:val="26"/>
          <w:vertAlign w:val="subscript"/>
        </w:rPr>
        <w:t>1</w:t>
      </w:r>
      <w:r>
        <w:rPr>
          <w:spacing w:val="40"/>
          <w:sz w:val="26"/>
          <w:vertAlign w:val="baseline"/>
        </w:rPr>
        <w:t> </w:t>
      </w:r>
      <w:r>
        <w:rPr>
          <w:sz w:val="26"/>
          <w:vertAlign w:val="baseline"/>
        </w:rPr>
        <w:t>and</w:t>
      </w:r>
      <w:r>
        <w:rPr>
          <w:spacing w:val="5"/>
          <w:sz w:val="26"/>
          <w:vertAlign w:val="baseline"/>
        </w:rPr>
        <w:t> </w:t>
      </w:r>
      <w:r>
        <w:rPr>
          <w:sz w:val="26"/>
          <w:vertAlign w:val="baseline"/>
        </w:rPr>
        <w:t>made</w:t>
      </w:r>
      <w:r>
        <w:rPr>
          <w:spacing w:val="5"/>
          <w:sz w:val="26"/>
          <w:vertAlign w:val="baseline"/>
        </w:rPr>
        <w:t> </w:t>
      </w:r>
      <w:r>
        <w:rPr>
          <w:sz w:val="26"/>
          <w:vertAlign w:val="baseline"/>
        </w:rPr>
        <w:t>up</w:t>
      </w:r>
      <w:r>
        <w:rPr>
          <w:spacing w:val="4"/>
          <w:sz w:val="26"/>
          <w:vertAlign w:val="baseline"/>
        </w:rPr>
        <w:t> </w:t>
      </w:r>
      <w:r>
        <w:rPr>
          <w:sz w:val="26"/>
          <w:vertAlign w:val="baseline"/>
        </w:rPr>
        <w:t>to</w:t>
      </w:r>
      <w:r>
        <w:rPr>
          <w:spacing w:val="4"/>
          <w:sz w:val="26"/>
          <w:vertAlign w:val="baseline"/>
        </w:rPr>
        <w:t> </w:t>
      </w:r>
      <w:r>
        <w:rPr>
          <w:sz w:val="26"/>
          <w:vertAlign w:val="baseline"/>
        </w:rPr>
        <w:t>10</w:t>
      </w:r>
      <w:r>
        <w:rPr>
          <w:spacing w:val="6"/>
          <w:sz w:val="26"/>
          <w:vertAlign w:val="baseline"/>
        </w:rPr>
        <w:t> </w:t>
      </w:r>
      <w:r>
        <w:rPr>
          <w:sz w:val="26"/>
          <w:vertAlign w:val="baseline"/>
        </w:rPr>
        <w:t>mL</w:t>
      </w:r>
      <w:r>
        <w:rPr>
          <w:spacing w:val="7"/>
          <w:sz w:val="26"/>
          <w:vertAlign w:val="baseline"/>
        </w:rPr>
        <w:t> </w:t>
      </w:r>
      <w:r>
        <w:rPr>
          <w:sz w:val="26"/>
          <w:vertAlign w:val="baseline"/>
        </w:rPr>
        <w:t>volume</w:t>
      </w:r>
      <w:r>
        <w:rPr>
          <w:spacing w:val="4"/>
          <w:sz w:val="26"/>
          <w:vertAlign w:val="baseline"/>
        </w:rPr>
        <w:t> </w:t>
      </w:r>
      <w:r>
        <w:rPr>
          <w:sz w:val="26"/>
          <w:vertAlign w:val="baseline"/>
        </w:rPr>
        <w:t>with</w:t>
      </w:r>
      <w:r>
        <w:rPr>
          <w:spacing w:val="5"/>
          <w:sz w:val="26"/>
          <w:vertAlign w:val="baseline"/>
        </w:rPr>
        <w:t> </w:t>
      </w:r>
      <w:r>
        <w:rPr>
          <w:sz w:val="26"/>
          <w:vertAlign w:val="baseline"/>
        </w:rPr>
        <w:t>distilled</w:t>
      </w:r>
      <w:r>
        <w:rPr>
          <w:spacing w:val="6"/>
          <w:sz w:val="26"/>
          <w:vertAlign w:val="baseline"/>
        </w:rPr>
        <w:t> </w:t>
      </w:r>
      <w:r>
        <w:rPr>
          <w:sz w:val="26"/>
          <w:vertAlign w:val="baseline"/>
        </w:rPr>
        <w:t>water</w:t>
      </w:r>
      <w:r>
        <w:rPr>
          <w:spacing w:val="4"/>
          <w:sz w:val="26"/>
          <w:vertAlign w:val="baseline"/>
        </w:rPr>
        <w:t> </w:t>
      </w:r>
      <w:r>
        <w:rPr>
          <w:sz w:val="26"/>
          <w:vertAlign w:val="baseline"/>
        </w:rPr>
        <w:t>and</w:t>
      </w:r>
      <w:r>
        <w:rPr>
          <w:spacing w:val="4"/>
          <w:sz w:val="26"/>
          <w:vertAlign w:val="baseline"/>
        </w:rPr>
        <w:t> </w:t>
      </w:r>
      <w:r>
        <w:rPr>
          <w:sz w:val="26"/>
          <w:vertAlign w:val="baseline"/>
        </w:rPr>
        <w:t>its</w:t>
      </w:r>
      <w:r>
        <w:rPr>
          <w:spacing w:val="3"/>
          <w:sz w:val="26"/>
          <w:vertAlign w:val="baseline"/>
        </w:rPr>
        <w:t> </w:t>
      </w:r>
      <w:r>
        <w:rPr>
          <w:sz w:val="26"/>
          <w:vertAlign w:val="baseline"/>
        </w:rPr>
        <w:t>absorbance</w:t>
      </w:r>
      <w:r>
        <w:rPr>
          <w:spacing w:val="4"/>
          <w:sz w:val="26"/>
          <w:vertAlign w:val="baseline"/>
        </w:rPr>
        <w:t> </w:t>
      </w:r>
      <w:r>
        <w:rPr>
          <w:sz w:val="26"/>
          <w:vertAlign w:val="baseline"/>
        </w:rPr>
        <w:t>was</w:t>
      </w:r>
      <w:r>
        <w:rPr>
          <w:spacing w:val="6"/>
          <w:sz w:val="26"/>
          <w:vertAlign w:val="baseline"/>
        </w:rPr>
        <w:t> </w:t>
      </w:r>
      <w:r>
        <w:rPr>
          <w:sz w:val="26"/>
          <w:vertAlign w:val="baseline"/>
        </w:rPr>
        <w:t>measure</w:t>
      </w:r>
      <w:r>
        <w:rPr>
          <w:spacing w:val="4"/>
          <w:sz w:val="26"/>
          <w:vertAlign w:val="baseline"/>
        </w:rPr>
        <w:t> </w:t>
      </w:r>
      <w:r>
        <w:rPr>
          <w:sz w:val="26"/>
          <w:vertAlign w:val="baseline"/>
        </w:rPr>
        <w:t>as</w:t>
      </w:r>
      <w:r>
        <w:rPr>
          <w:spacing w:val="4"/>
          <w:sz w:val="26"/>
          <w:vertAlign w:val="baseline"/>
        </w:rPr>
        <w:t> </w:t>
      </w:r>
      <w:r>
        <w:rPr>
          <w:spacing w:val="-5"/>
          <w:sz w:val="26"/>
          <w:vertAlign w:val="baseline"/>
        </w:rPr>
        <w:t>(d</w:t>
      </w:r>
    </w:p>
    <w:p>
      <w:pPr>
        <w:spacing w:line="296" w:lineRule="exact" w:before="0"/>
        <w:ind w:left="1200" w:right="0" w:firstLine="0"/>
        <w:jc w:val="left"/>
        <w:rPr>
          <w:sz w:val="26"/>
        </w:rPr>
      </w:pPr>
      <w:r>
        <w:rPr>
          <w:sz w:val="26"/>
        </w:rPr>
        <w:t>=</w:t>
      </w:r>
      <w:r>
        <w:rPr>
          <w:spacing w:val="-3"/>
          <w:sz w:val="26"/>
        </w:rPr>
        <w:t> </w:t>
      </w:r>
      <w:r>
        <w:rPr>
          <w:spacing w:val="-2"/>
          <w:sz w:val="26"/>
        </w:rPr>
        <w:t>1.422)</w:t>
      </w:r>
    </w:p>
    <w:p>
      <w:pPr>
        <w:pStyle w:val="BodyText"/>
        <w:spacing w:before="160"/>
        <w:rPr>
          <w:sz w:val="26"/>
        </w:rPr>
      </w:pPr>
    </w:p>
    <w:p>
      <w:pPr>
        <w:spacing w:line="609" w:lineRule="auto" w:before="0"/>
        <w:ind w:left="1200" w:right="3766" w:firstLine="0"/>
        <w:jc w:val="left"/>
        <w:rPr>
          <w:sz w:val="26"/>
        </w:rPr>
      </w:pPr>
      <w:r>
        <w:rPr>
          <w:sz w:val="26"/>
        </w:rPr>
        <w:t>Then</w:t>
      </w:r>
      <w:r>
        <w:rPr>
          <w:spacing w:val="-6"/>
          <w:sz w:val="26"/>
        </w:rPr>
        <w:t> </w:t>
      </w:r>
      <w:r>
        <w:rPr>
          <w:sz w:val="26"/>
        </w:rPr>
        <w:t>using</w:t>
      </w:r>
      <w:r>
        <w:rPr>
          <w:spacing w:val="-4"/>
          <w:sz w:val="26"/>
        </w:rPr>
        <w:t> </w:t>
      </w:r>
      <w:r>
        <w:rPr>
          <w:sz w:val="26"/>
        </w:rPr>
        <w:t>regression/linear</w:t>
      </w:r>
      <w:r>
        <w:rPr>
          <w:spacing w:val="-6"/>
          <w:sz w:val="26"/>
        </w:rPr>
        <w:t> </w:t>
      </w:r>
      <w:r>
        <w:rPr>
          <w:sz w:val="26"/>
        </w:rPr>
        <w:t>equation,</w:t>
      </w:r>
      <w:r>
        <w:rPr>
          <w:spacing w:val="-6"/>
          <w:sz w:val="26"/>
        </w:rPr>
        <w:t> </w:t>
      </w:r>
      <w:r>
        <w:rPr>
          <w:sz w:val="26"/>
        </w:rPr>
        <w:t>we</w:t>
      </w:r>
      <w:r>
        <w:rPr>
          <w:spacing w:val="-6"/>
          <w:sz w:val="26"/>
        </w:rPr>
        <w:t> </w:t>
      </w:r>
      <w:r>
        <w:rPr>
          <w:sz w:val="26"/>
        </w:rPr>
        <w:t>can</w:t>
      </w:r>
      <w:r>
        <w:rPr>
          <w:spacing w:val="-4"/>
          <w:sz w:val="26"/>
        </w:rPr>
        <w:t> </w:t>
      </w:r>
      <w:r>
        <w:rPr>
          <w:sz w:val="26"/>
        </w:rPr>
        <w:t>calculate</w:t>
      </w:r>
      <w:r>
        <w:rPr>
          <w:spacing w:val="-6"/>
          <w:sz w:val="26"/>
        </w:rPr>
        <w:t> </w:t>
      </w:r>
      <w:r>
        <w:rPr>
          <w:sz w:val="26"/>
        </w:rPr>
        <w:t>as</w:t>
      </w:r>
      <w:r>
        <w:rPr>
          <w:spacing w:val="-6"/>
          <w:sz w:val="26"/>
        </w:rPr>
        <w:t> </w:t>
      </w:r>
      <w:r>
        <w:rPr>
          <w:sz w:val="26"/>
        </w:rPr>
        <w:t>follows: y = 0.0657x-0.0288</w:t>
      </w:r>
    </w:p>
    <w:p>
      <w:pPr>
        <w:spacing w:line="600" w:lineRule="auto" w:before="8"/>
        <w:ind w:left="1200" w:right="7775" w:firstLine="0"/>
        <w:jc w:val="left"/>
        <w:rPr>
          <w:sz w:val="26"/>
        </w:rPr>
      </w:pPr>
      <w:r>
        <w:rPr>
          <w:sz w:val="26"/>
        </w:rPr>
        <w:t>For</w:t>
      </w:r>
      <w:r>
        <w:rPr>
          <w:spacing w:val="-9"/>
          <w:sz w:val="26"/>
        </w:rPr>
        <w:t> </w:t>
      </w:r>
      <w:r>
        <w:rPr>
          <w:sz w:val="26"/>
        </w:rPr>
        <w:t>B</w:t>
      </w:r>
      <w:r>
        <w:rPr>
          <w:sz w:val="26"/>
          <w:vertAlign w:val="subscript"/>
        </w:rPr>
        <w:t>1</w:t>
      </w:r>
      <w:r>
        <w:rPr>
          <w:spacing w:val="-7"/>
          <w:sz w:val="26"/>
          <w:vertAlign w:val="baseline"/>
        </w:rPr>
        <w:t> </w:t>
      </w:r>
      <w:r>
        <w:rPr>
          <w:sz w:val="26"/>
          <w:vertAlign w:val="baseline"/>
        </w:rPr>
        <w:t>which</w:t>
      </w:r>
      <w:r>
        <w:rPr>
          <w:spacing w:val="-9"/>
          <w:sz w:val="26"/>
          <w:vertAlign w:val="baseline"/>
        </w:rPr>
        <w:t> </w:t>
      </w:r>
      <w:r>
        <w:rPr>
          <w:sz w:val="26"/>
          <w:vertAlign w:val="baseline"/>
        </w:rPr>
        <w:t>was</w:t>
      </w:r>
      <w:r>
        <w:rPr>
          <w:spacing w:val="-9"/>
          <w:sz w:val="26"/>
          <w:vertAlign w:val="baseline"/>
        </w:rPr>
        <w:t> </w:t>
      </w:r>
      <w:r>
        <w:rPr>
          <w:sz w:val="26"/>
          <w:vertAlign w:val="baseline"/>
        </w:rPr>
        <w:t>18</w:t>
      </w:r>
      <w:r>
        <w:rPr>
          <w:spacing w:val="-6"/>
          <w:sz w:val="26"/>
          <w:vertAlign w:val="baseline"/>
        </w:rPr>
        <w:t> </w:t>
      </w:r>
      <w:r>
        <w:rPr>
          <w:rFonts w:ascii="Calibri" w:hAnsi="Calibri"/>
          <w:sz w:val="26"/>
          <w:vertAlign w:val="baseline"/>
        </w:rPr>
        <w:t>μ</w:t>
      </w:r>
      <w:r>
        <w:rPr>
          <w:sz w:val="26"/>
          <w:vertAlign w:val="baseline"/>
        </w:rPr>
        <w:t>g/mL: (b-a) = 0.0657x – 0.0288 0.0657x= (b-a) + 0.0288</w:t>
      </w:r>
    </w:p>
    <w:p>
      <w:pPr>
        <w:spacing w:before="13"/>
        <w:ind w:left="1200" w:right="0" w:firstLine="0"/>
        <w:jc w:val="left"/>
        <w:rPr>
          <w:sz w:val="26"/>
        </w:rPr>
      </w:pPr>
      <w:r>
        <w:rPr>
          <w:sz w:val="26"/>
        </w:rPr>
        <w:t>0.0657x</w:t>
      </w:r>
      <w:r>
        <w:rPr>
          <w:spacing w:val="-6"/>
          <w:sz w:val="26"/>
        </w:rPr>
        <w:t> </w:t>
      </w:r>
      <w:r>
        <w:rPr>
          <w:sz w:val="26"/>
        </w:rPr>
        <w:t>=</w:t>
      </w:r>
      <w:r>
        <w:rPr>
          <w:spacing w:val="-6"/>
          <w:sz w:val="26"/>
        </w:rPr>
        <w:t> </w:t>
      </w:r>
      <w:r>
        <w:rPr>
          <w:sz w:val="26"/>
        </w:rPr>
        <w:t>(1.156-0.630)</w:t>
      </w:r>
      <w:r>
        <w:rPr>
          <w:spacing w:val="-6"/>
          <w:sz w:val="26"/>
        </w:rPr>
        <w:t> </w:t>
      </w:r>
      <w:r>
        <w:rPr>
          <w:sz w:val="26"/>
        </w:rPr>
        <w:t>+</w:t>
      </w:r>
      <w:r>
        <w:rPr>
          <w:spacing w:val="-6"/>
          <w:sz w:val="26"/>
        </w:rPr>
        <w:t> </w:t>
      </w:r>
      <w:r>
        <w:rPr>
          <w:spacing w:val="-2"/>
          <w:sz w:val="26"/>
        </w:rPr>
        <w:t>0.0288</w:t>
      </w:r>
    </w:p>
    <w:p>
      <w:pPr>
        <w:pStyle w:val="BodyText"/>
        <w:spacing w:before="158"/>
        <w:rPr>
          <w:sz w:val="26"/>
        </w:rPr>
      </w:pPr>
    </w:p>
    <w:p>
      <w:pPr>
        <w:spacing w:before="1"/>
        <w:ind w:left="1200" w:right="0" w:firstLine="0"/>
        <w:jc w:val="left"/>
        <w:rPr>
          <w:sz w:val="26"/>
        </w:rPr>
      </w:pPr>
      <w:r>
        <w:rPr>
          <w:sz w:val="26"/>
        </w:rPr>
        <w:t>0.0657x</w:t>
      </w:r>
      <w:r>
        <w:rPr>
          <w:spacing w:val="-6"/>
          <w:sz w:val="26"/>
        </w:rPr>
        <w:t> </w:t>
      </w:r>
      <w:r>
        <w:rPr>
          <w:sz w:val="26"/>
        </w:rPr>
        <w:t>=</w:t>
      </w:r>
      <w:r>
        <w:rPr>
          <w:spacing w:val="-2"/>
          <w:sz w:val="26"/>
        </w:rPr>
        <w:t> </w:t>
      </w:r>
      <w:r>
        <w:rPr>
          <w:sz w:val="26"/>
        </w:rPr>
        <w:t>0.526</w:t>
      </w:r>
      <w:r>
        <w:rPr>
          <w:spacing w:val="-5"/>
          <w:sz w:val="26"/>
        </w:rPr>
        <w:t> </w:t>
      </w:r>
      <w:r>
        <w:rPr>
          <w:sz w:val="26"/>
        </w:rPr>
        <w:t>+</w:t>
      </w:r>
      <w:r>
        <w:rPr>
          <w:spacing w:val="-3"/>
          <w:sz w:val="26"/>
        </w:rPr>
        <w:t> </w:t>
      </w:r>
      <w:r>
        <w:rPr>
          <w:spacing w:val="-2"/>
          <w:sz w:val="26"/>
        </w:rPr>
        <w:t>0.0288</w:t>
      </w:r>
    </w:p>
    <w:p>
      <w:pPr>
        <w:pStyle w:val="BodyText"/>
        <w:spacing w:before="160"/>
        <w:rPr>
          <w:sz w:val="26"/>
        </w:rPr>
      </w:pPr>
    </w:p>
    <w:p>
      <w:pPr>
        <w:spacing w:before="0"/>
        <w:ind w:left="1200" w:right="0" w:firstLine="0"/>
        <w:jc w:val="left"/>
        <w:rPr>
          <w:sz w:val="26"/>
        </w:rPr>
      </w:pPr>
      <w:r>
        <w:rPr>
          <w:sz w:val="26"/>
        </w:rPr>
        <w:t>0.0657x</w:t>
      </w:r>
      <w:r>
        <w:rPr>
          <w:spacing w:val="-6"/>
          <w:sz w:val="26"/>
        </w:rPr>
        <w:t> </w:t>
      </w:r>
      <w:r>
        <w:rPr>
          <w:sz w:val="26"/>
        </w:rPr>
        <w:t>=</w:t>
      </w:r>
      <w:r>
        <w:rPr>
          <w:spacing w:val="-3"/>
          <w:sz w:val="26"/>
        </w:rPr>
        <w:t> </w:t>
      </w:r>
      <w:r>
        <w:rPr>
          <w:spacing w:val="-2"/>
          <w:sz w:val="26"/>
        </w:rPr>
        <w:t>0.5548</w:t>
      </w:r>
    </w:p>
    <w:p>
      <w:pPr>
        <w:pStyle w:val="BodyText"/>
        <w:spacing w:before="170"/>
        <w:rPr>
          <w:sz w:val="26"/>
        </w:rPr>
      </w:pPr>
    </w:p>
    <w:p>
      <w:pPr>
        <w:spacing w:before="0"/>
        <w:ind w:left="1200" w:right="0" w:firstLine="0"/>
        <w:jc w:val="left"/>
        <w:rPr>
          <w:sz w:val="26"/>
        </w:rPr>
      </w:pPr>
      <w:r>
        <w:rPr>
          <w:sz w:val="26"/>
        </w:rPr>
        <w:t>X</w:t>
      </w:r>
      <w:r>
        <w:rPr>
          <w:spacing w:val="-6"/>
          <w:sz w:val="26"/>
        </w:rPr>
        <w:t> </w:t>
      </w:r>
      <w:r>
        <w:rPr>
          <w:sz w:val="26"/>
        </w:rPr>
        <w:t>=</w:t>
      </w:r>
      <w:r>
        <w:rPr>
          <w:spacing w:val="-5"/>
          <w:sz w:val="26"/>
        </w:rPr>
        <w:t> </w:t>
      </w:r>
      <w:r>
        <w:rPr>
          <w:sz w:val="26"/>
        </w:rPr>
        <w:t>0.5548/0.0657</w:t>
      </w:r>
      <w:r>
        <w:rPr>
          <w:spacing w:val="-4"/>
          <w:sz w:val="26"/>
        </w:rPr>
        <w:t> </w:t>
      </w:r>
      <w:r>
        <w:rPr>
          <w:sz w:val="26"/>
        </w:rPr>
        <w:t>=</w:t>
      </w:r>
      <w:r>
        <w:rPr>
          <w:spacing w:val="-6"/>
          <w:sz w:val="26"/>
        </w:rPr>
        <w:t> </w:t>
      </w:r>
      <w:r>
        <w:rPr>
          <w:sz w:val="26"/>
        </w:rPr>
        <w:t>8.444</w:t>
      </w:r>
      <w:r>
        <w:rPr>
          <w:spacing w:val="-3"/>
          <w:sz w:val="26"/>
        </w:rPr>
        <w:t> </w:t>
      </w:r>
      <w:r>
        <w:rPr>
          <w:rFonts w:ascii="Calibri" w:hAnsi="Calibri"/>
          <w:spacing w:val="-5"/>
          <w:sz w:val="26"/>
        </w:rPr>
        <w:t>μ</w:t>
      </w:r>
      <w:r>
        <w:rPr>
          <w:spacing w:val="-5"/>
          <w:sz w:val="26"/>
        </w:rPr>
        <w:t>g</w:t>
      </w:r>
    </w:p>
    <w:p>
      <w:pPr>
        <w:pStyle w:val="BodyText"/>
        <w:spacing w:before="169"/>
        <w:rPr>
          <w:sz w:val="26"/>
        </w:rPr>
      </w:pPr>
    </w:p>
    <w:p>
      <w:pPr>
        <w:spacing w:line="612" w:lineRule="auto" w:before="0"/>
        <w:ind w:left="1200" w:right="6977" w:firstLine="0"/>
        <w:jc w:val="left"/>
        <w:rPr>
          <w:sz w:val="26"/>
        </w:rPr>
      </w:pPr>
      <w:r>
        <w:rPr>
          <w:sz w:val="26"/>
        </w:rPr>
        <w:t>%</w:t>
      </w:r>
      <w:r>
        <w:rPr>
          <w:spacing w:val="-7"/>
          <w:sz w:val="26"/>
        </w:rPr>
        <w:t> </w:t>
      </w:r>
      <w:r>
        <w:rPr>
          <w:sz w:val="26"/>
        </w:rPr>
        <w:t>recovery</w:t>
      </w:r>
      <w:r>
        <w:rPr>
          <w:spacing w:val="-11"/>
          <w:sz w:val="26"/>
        </w:rPr>
        <w:t> </w:t>
      </w:r>
      <w:r>
        <w:rPr>
          <w:sz w:val="26"/>
        </w:rPr>
        <w:t>=</w:t>
      </w:r>
      <w:r>
        <w:rPr>
          <w:spacing w:val="-4"/>
          <w:sz w:val="26"/>
        </w:rPr>
        <w:t> </w:t>
      </w:r>
      <w:r>
        <w:rPr>
          <w:sz w:val="26"/>
        </w:rPr>
        <w:t>8.444/8</w:t>
      </w:r>
      <w:r>
        <w:rPr>
          <w:spacing w:val="-7"/>
          <w:sz w:val="26"/>
        </w:rPr>
        <w:t> </w:t>
      </w:r>
      <w:r>
        <w:rPr>
          <w:sz w:val="26"/>
        </w:rPr>
        <w:t>x100</w:t>
      </w:r>
      <w:r>
        <w:rPr>
          <w:spacing w:val="-7"/>
          <w:sz w:val="26"/>
        </w:rPr>
        <w:t> </w:t>
      </w:r>
      <w:r>
        <w:rPr>
          <w:sz w:val="26"/>
        </w:rPr>
        <w:t>=</w:t>
      </w:r>
      <w:r>
        <w:rPr>
          <w:spacing w:val="-7"/>
          <w:sz w:val="26"/>
        </w:rPr>
        <w:t> </w:t>
      </w:r>
      <w:r>
        <w:rPr>
          <w:sz w:val="26"/>
        </w:rPr>
        <w:t>105.55 Accuracy = 8.444 – 8/8 = 0.0555</w:t>
      </w:r>
      <w:r>
        <w:rPr>
          <w:spacing w:val="40"/>
          <w:sz w:val="26"/>
        </w:rPr>
        <w:t> </w:t>
      </w:r>
      <w:r>
        <w:rPr>
          <w:sz w:val="26"/>
        </w:rPr>
        <w:t>For C</w:t>
      </w:r>
      <w:r>
        <w:rPr>
          <w:sz w:val="26"/>
          <w:vertAlign w:val="subscript"/>
        </w:rPr>
        <w:t>1</w:t>
      </w:r>
      <w:r>
        <w:rPr>
          <w:sz w:val="26"/>
          <w:vertAlign w:val="baseline"/>
        </w:rPr>
        <w:t> which was 20 </w:t>
      </w:r>
      <w:r>
        <w:rPr>
          <w:rFonts w:ascii="Calibri" w:hAnsi="Calibri"/>
          <w:sz w:val="26"/>
          <w:vertAlign w:val="baseline"/>
        </w:rPr>
        <w:t>μ</w:t>
      </w:r>
      <w:r>
        <w:rPr>
          <w:sz w:val="26"/>
          <w:vertAlign w:val="baseline"/>
        </w:rPr>
        <w:t>g/mL:</w:t>
      </w:r>
    </w:p>
    <w:p>
      <w:pPr>
        <w:spacing w:line="277" w:lineRule="exact" w:before="0"/>
        <w:ind w:left="1200" w:right="0" w:firstLine="0"/>
        <w:jc w:val="left"/>
        <w:rPr>
          <w:sz w:val="26"/>
        </w:rPr>
      </w:pPr>
      <w:r>
        <w:rPr>
          <w:sz w:val="26"/>
        </w:rPr>
        <w:t>(c-a)</w:t>
      </w:r>
      <w:r>
        <w:rPr>
          <w:spacing w:val="-4"/>
          <w:sz w:val="26"/>
        </w:rPr>
        <w:t> </w:t>
      </w:r>
      <w:r>
        <w:rPr>
          <w:sz w:val="26"/>
        </w:rPr>
        <w:t>=</w:t>
      </w:r>
      <w:r>
        <w:rPr>
          <w:spacing w:val="-4"/>
          <w:sz w:val="26"/>
        </w:rPr>
        <w:t> </w:t>
      </w:r>
      <w:r>
        <w:rPr>
          <w:sz w:val="26"/>
        </w:rPr>
        <w:t>0.0657x</w:t>
      </w:r>
      <w:r>
        <w:rPr>
          <w:spacing w:val="-4"/>
          <w:sz w:val="26"/>
        </w:rPr>
        <w:t> </w:t>
      </w:r>
      <w:r>
        <w:rPr>
          <w:sz w:val="26"/>
        </w:rPr>
        <w:t>–</w:t>
      </w:r>
      <w:r>
        <w:rPr>
          <w:spacing w:val="-5"/>
          <w:sz w:val="26"/>
        </w:rPr>
        <w:t> </w:t>
      </w:r>
      <w:r>
        <w:rPr>
          <w:spacing w:val="-2"/>
          <w:sz w:val="26"/>
        </w:rPr>
        <w:t>0.0288</w:t>
      </w:r>
    </w:p>
    <w:p>
      <w:pPr>
        <w:pStyle w:val="BodyText"/>
        <w:spacing w:before="160"/>
        <w:rPr>
          <w:sz w:val="26"/>
        </w:rPr>
      </w:pPr>
    </w:p>
    <w:p>
      <w:pPr>
        <w:spacing w:before="0"/>
        <w:ind w:left="1200" w:right="0" w:firstLine="0"/>
        <w:jc w:val="left"/>
        <w:rPr>
          <w:sz w:val="26"/>
        </w:rPr>
      </w:pPr>
      <w:r>
        <w:rPr>
          <w:sz w:val="26"/>
        </w:rPr>
        <w:t>0.0657x=(c-a)</w:t>
      </w:r>
      <w:r>
        <w:rPr>
          <w:spacing w:val="-8"/>
          <w:sz w:val="26"/>
        </w:rPr>
        <w:t> </w:t>
      </w:r>
      <w:r>
        <w:rPr>
          <w:sz w:val="26"/>
        </w:rPr>
        <w:t>+</w:t>
      </w:r>
      <w:r>
        <w:rPr>
          <w:spacing w:val="-7"/>
          <w:sz w:val="26"/>
        </w:rPr>
        <w:t> </w:t>
      </w:r>
      <w:r>
        <w:rPr>
          <w:spacing w:val="-2"/>
          <w:sz w:val="26"/>
        </w:rPr>
        <w:t>0.0288</w:t>
      </w:r>
    </w:p>
    <w:p>
      <w:pPr>
        <w:spacing w:after="0"/>
        <w:jc w:val="left"/>
        <w:rPr>
          <w:sz w:val="26"/>
        </w:rPr>
        <w:sectPr>
          <w:pgSz w:w="12240" w:h="15840"/>
          <w:pgMar w:header="0" w:footer="1015" w:top="1360" w:bottom="1200" w:left="240" w:right="0"/>
        </w:sectPr>
      </w:pPr>
    </w:p>
    <w:p>
      <w:pPr>
        <w:spacing w:before="70"/>
        <w:ind w:left="1200" w:right="0" w:firstLine="0"/>
        <w:jc w:val="left"/>
        <w:rPr>
          <w:sz w:val="26"/>
        </w:rPr>
      </w:pPr>
      <w:r>
        <w:rPr>
          <w:sz w:val="26"/>
        </w:rPr>
        <w:t>0.0657x</w:t>
      </w:r>
      <w:r>
        <w:rPr>
          <w:spacing w:val="-6"/>
          <w:sz w:val="26"/>
        </w:rPr>
        <w:t> </w:t>
      </w:r>
      <w:r>
        <w:rPr>
          <w:sz w:val="26"/>
        </w:rPr>
        <w:t>=</w:t>
      </w:r>
      <w:r>
        <w:rPr>
          <w:spacing w:val="-6"/>
          <w:sz w:val="26"/>
        </w:rPr>
        <w:t> </w:t>
      </w:r>
      <w:r>
        <w:rPr>
          <w:sz w:val="26"/>
        </w:rPr>
        <w:t>(1.235-0.630)</w:t>
      </w:r>
      <w:r>
        <w:rPr>
          <w:spacing w:val="-6"/>
          <w:sz w:val="26"/>
        </w:rPr>
        <w:t> </w:t>
      </w:r>
      <w:r>
        <w:rPr>
          <w:sz w:val="26"/>
        </w:rPr>
        <w:t>+</w:t>
      </w:r>
      <w:r>
        <w:rPr>
          <w:spacing w:val="-6"/>
          <w:sz w:val="26"/>
        </w:rPr>
        <w:t> </w:t>
      </w:r>
      <w:r>
        <w:rPr>
          <w:spacing w:val="-2"/>
          <w:sz w:val="26"/>
        </w:rPr>
        <w:t>0.0288</w:t>
      </w:r>
    </w:p>
    <w:p>
      <w:pPr>
        <w:pStyle w:val="BodyText"/>
        <w:spacing w:before="160"/>
        <w:rPr>
          <w:sz w:val="26"/>
        </w:rPr>
      </w:pPr>
    </w:p>
    <w:p>
      <w:pPr>
        <w:spacing w:before="1"/>
        <w:ind w:left="1200" w:right="0" w:firstLine="0"/>
        <w:jc w:val="left"/>
        <w:rPr>
          <w:sz w:val="26"/>
        </w:rPr>
      </w:pPr>
      <w:r>
        <w:rPr>
          <w:sz w:val="26"/>
        </w:rPr>
        <w:t>0.0657x</w:t>
      </w:r>
      <w:r>
        <w:rPr>
          <w:spacing w:val="-6"/>
          <w:sz w:val="26"/>
        </w:rPr>
        <w:t> </w:t>
      </w:r>
      <w:r>
        <w:rPr>
          <w:sz w:val="26"/>
        </w:rPr>
        <w:t>=</w:t>
      </w:r>
      <w:r>
        <w:rPr>
          <w:spacing w:val="-2"/>
          <w:sz w:val="26"/>
        </w:rPr>
        <w:t> </w:t>
      </w:r>
      <w:r>
        <w:rPr>
          <w:sz w:val="26"/>
        </w:rPr>
        <w:t>0.605</w:t>
      </w:r>
      <w:r>
        <w:rPr>
          <w:spacing w:val="-5"/>
          <w:sz w:val="26"/>
        </w:rPr>
        <w:t> </w:t>
      </w:r>
      <w:r>
        <w:rPr>
          <w:sz w:val="26"/>
        </w:rPr>
        <w:t>+</w:t>
      </w:r>
      <w:r>
        <w:rPr>
          <w:spacing w:val="-3"/>
          <w:sz w:val="26"/>
        </w:rPr>
        <w:t> </w:t>
      </w:r>
      <w:r>
        <w:rPr>
          <w:spacing w:val="-2"/>
          <w:sz w:val="26"/>
        </w:rPr>
        <w:t>0.0288</w:t>
      </w:r>
    </w:p>
    <w:p>
      <w:pPr>
        <w:pStyle w:val="BodyText"/>
        <w:spacing w:before="160"/>
        <w:rPr>
          <w:sz w:val="26"/>
        </w:rPr>
      </w:pPr>
    </w:p>
    <w:p>
      <w:pPr>
        <w:spacing w:before="0"/>
        <w:ind w:left="1200" w:right="0" w:firstLine="0"/>
        <w:jc w:val="left"/>
        <w:rPr>
          <w:sz w:val="26"/>
        </w:rPr>
      </w:pPr>
      <w:r>
        <w:rPr>
          <w:sz w:val="26"/>
        </w:rPr>
        <w:t>0.0657x</w:t>
      </w:r>
      <w:r>
        <w:rPr>
          <w:spacing w:val="-6"/>
          <w:sz w:val="26"/>
        </w:rPr>
        <w:t> </w:t>
      </w:r>
      <w:r>
        <w:rPr>
          <w:sz w:val="26"/>
        </w:rPr>
        <w:t>=</w:t>
      </w:r>
      <w:r>
        <w:rPr>
          <w:spacing w:val="-3"/>
          <w:sz w:val="26"/>
        </w:rPr>
        <w:t> </w:t>
      </w:r>
      <w:r>
        <w:rPr>
          <w:spacing w:val="-2"/>
          <w:sz w:val="26"/>
        </w:rPr>
        <w:t>0.6338</w:t>
      </w:r>
    </w:p>
    <w:p>
      <w:pPr>
        <w:pStyle w:val="BodyText"/>
        <w:spacing w:before="158"/>
        <w:rPr>
          <w:sz w:val="26"/>
        </w:rPr>
      </w:pPr>
    </w:p>
    <w:p>
      <w:pPr>
        <w:spacing w:before="0"/>
        <w:ind w:left="1200" w:right="0" w:firstLine="0"/>
        <w:jc w:val="left"/>
        <w:rPr>
          <w:sz w:val="26"/>
        </w:rPr>
      </w:pPr>
      <w:r>
        <w:rPr>
          <w:sz w:val="26"/>
        </w:rPr>
        <w:t>X</w:t>
      </w:r>
      <w:r>
        <w:rPr>
          <w:spacing w:val="-6"/>
          <w:sz w:val="26"/>
        </w:rPr>
        <w:t> </w:t>
      </w:r>
      <w:r>
        <w:rPr>
          <w:sz w:val="26"/>
        </w:rPr>
        <w:t>=</w:t>
      </w:r>
      <w:r>
        <w:rPr>
          <w:spacing w:val="-6"/>
          <w:sz w:val="26"/>
        </w:rPr>
        <w:t> </w:t>
      </w:r>
      <w:r>
        <w:rPr>
          <w:sz w:val="26"/>
        </w:rPr>
        <w:t>0.6338/0.0657</w:t>
      </w:r>
      <w:r>
        <w:rPr>
          <w:spacing w:val="-4"/>
          <w:sz w:val="26"/>
        </w:rPr>
        <w:t> </w:t>
      </w:r>
      <w:r>
        <w:rPr>
          <w:sz w:val="26"/>
        </w:rPr>
        <w:t>=</w:t>
      </w:r>
      <w:r>
        <w:rPr>
          <w:spacing w:val="-5"/>
          <w:sz w:val="26"/>
        </w:rPr>
        <w:t> </w:t>
      </w:r>
      <w:r>
        <w:rPr>
          <w:spacing w:val="-2"/>
          <w:sz w:val="26"/>
        </w:rPr>
        <w:t>9.650</w:t>
      </w:r>
    </w:p>
    <w:p>
      <w:pPr>
        <w:pStyle w:val="BodyText"/>
        <w:spacing w:before="160"/>
        <w:rPr>
          <w:sz w:val="26"/>
        </w:rPr>
      </w:pPr>
    </w:p>
    <w:p>
      <w:pPr>
        <w:spacing w:line="612" w:lineRule="auto" w:before="1"/>
        <w:ind w:left="1200" w:right="7017" w:firstLine="0"/>
        <w:jc w:val="left"/>
        <w:rPr>
          <w:sz w:val="26"/>
        </w:rPr>
      </w:pPr>
      <w:r>
        <w:rPr>
          <w:sz w:val="26"/>
        </w:rPr>
        <w:t>%</w:t>
      </w:r>
      <w:r>
        <w:rPr>
          <w:spacing w:val="-7"/>
          <w:sz w:val="26"/>
        </w:rPr>
        <w:t> </w:t>
      </w:r>
      <w:r>
        <w:rPr>
          <w:sz w:val="26"/>
        </w:rPr>
        <w:t>recovery</w:t>
      </w:r>
      <w:r>
        <w:rPr>
          <w:spacing w:val="-12"/>
          <w:sz w:val="26"/>
        </w:rPr>
        <w:t> </w:t>
      </w:r>
      <w:r>
        <w:rPr>
          <w:sz w:val="26"/>
        </w:rPr>
        <w:t>=</w:t>
      </w:r>
      <w:r>
        <w:rPr>
          <w:spacing w:val="-4"/>
          <w:sz w:val="26"/>
        </w:rPr>
        <w:t> </w:t>
      </w:r>
      <w:r>
        <w:rPr>
          <w:sz w:val="26"/>
        </w:rPr>
        <w:t>9.650/10</w:t>
      </w:r>
      <w:r>
        <w:rPr>
          <w:spacing w:val="-5"/>
          <w:sz w:val="26"/>
        </w:rPr>
        <w:t> </w:t>
      </w:r>
      <w:r>
        <w:rPr>
          <w:sz w:val="26"/>
        </w:rPr>
        <w:t>x100</w:t>
      </w:r>
      <w:r>
        <w:rPr>
          <w:spacing w:val="-7"/>
          <w:sz w:val="26"/>
        </w:rPr>
        <w:t> </w:t>
      </w:r>
      <w:r>
        <w:rPr>
          <w:sz w:val="26"/>
        </w:rPr>
        <w:t>=</w:t>
      </w:r>
      <w:r>
        <w:rPr>
          <w:spacing w:val="-7"/>
          <w:sz w:val="26"/>
        </w:rPr>
        <w:t> </w:t>
      </w:r>
      <w:r>
        <w:rPr>
          <w:sz w:val="26"/>
        </w:rPr>
        <w:t>96.5 Accuracy = 10 – 9.65/10 = 0.035 For D</w:t>
      </w:r>
      <w:r>
        <w:rPr>
          <w:sz w:val="26"/>
          <w:vertAlign w:val="subscript"/>
        </w:rPr>
        <w:t>1</w:t>
      </w:r>
      <w:r>
        <w:rPr>
          <w:sz w:val="26"/>
          <w:vertAlign w:val="baseline"/>
        </w:rPr>
        <w:t> which was 22 </w:t>
      </w:r>
      <w:r>
        <w:rPr>
          <w:rFonts w:ascii="Calibri" w:hAnsi="Calibri"/>
          <w:sz w:val="26"/>
          <w:vertAlign w:val="baseline"/>
        </w:rPr>
        <w:t>μ</w:t>
      </w:r>
      <w:r>
        <w:rPr>
          <w:sz w:val="26"/>
          <w:vertAlign w:val="baseline"/>
        </w:rPr>
        <w:t>g/mL:</w:t>
      </w:r>
    </w:p>
    <w:p>
      <w:pPr>
        <w:spacing w:line="277" w:lineRule="exact" w:before="0"/>
        <w:ind w:left="1200" w:right="0" w:firstLine="0"/>
        <w:jc w:val="left"/>
        <w:rPr>
          <w:sz w:val="26"/>
        </w:rPr>
      </w:pPr>
      <w:r>
        <w:rPr>
          <w:sz w:val="26"/>
        </w:rPr>
        <w:t>(d-a)</w:t>
      </w:r>
      <w:r>
        <w:rPr>
          <w:spacing w:val="-4"/>
          <w:sz w:val="26"/>
        </w:rPr>
        <w:t> </w:t>
      </w:r>
      <w:r>
        <w:rPr>
          <w:sz w:val="26"/>
        </w:rPr>
        <w:t>=</w:t>
      </w:r>
      <w:r>
        <w:rPr>
          <w:spacing w:val="-4"/>
          <w:sz w:val="26"/>
        </w:rPr>
        <w:t> </w:t>
      </w:r>
      <w:r>
        <w:rPr>
          <w:sz w:val="26"/>
        </w:rPr>
        <w:t>0.0657x</w:t>
      </w:r>
      <w:r>
        <w:rPr>
          <w:spacing w:val="-5"/>
          <w:sz w:val="26"/>
        </w:rPr>
        <w:t> </w:t>
      </w:r>
      <w:r>
        <w:rPr>
          <w:sz w:val="26"/>
        </w:rPr>
        <w:t>–</w:t>
      </w:r>
      <w:r>
        <w:rPr>
          <w:spacing w:val="-5"/>
          <w:sz w:val="26"/>
        </w:rPr>
        <w:t> </w:t>
      </w:r>
      <w:r>
        <w:rPr>
          <w:spacing w:val="-2"/>
          <w:sz w:val="26"/>
        </w:rPr>
        <w:t>0.0288</w:t>
      </w:r>
    </w:p>
    <w:p>
      <w:pPr>
        <w:pStyle w:val="BodyText"/>
        <w:spacing w:before="160"/>
        <w:rPr>
          <w:sz w:val="26"/>
        </w:rPr>
      </w:pPr>
    </w:p>
    <w:p>
      <w:pPr>
        <w:spacing w:before="0"/>
        <w:ind w:left="1200" w:right="0" w:firstLine="0"/>
        <w:jc w:val="left"/>
        <w:rPr>
          <w:sz w:val="26"/>
        </w:rPr>
      </w:pPr>
      <w:r>
        <w:rPr>
          <w:sz w:val="26"/>
        </w:rPr>
        <w:t>0.0657x=</w:t>
      </w:r>
      <w:r>
        <w:rPr>
          <w:spacing w:val="-6"/>
          <w:sz w:val="26"/>
        </w:rPr>
        <w:t> </w:t>
      </w:r>
      <w:r>
        <w:rPr>
          <w:sz w:val="26"/>
        </w:rPr>
        <w:t>(d-a)</w:t>
      </w:r>
      <w:r>
        <w:rPr>
          <w:spacing w:val="-5"/>
          <w:sz w:val="26"/>
        </w:rPr>
        <w:t> </w:t>
      </w:r>
      <w:r>
        <w:rPr>
          <w:sz w:val="26"/>
        </w:rPr>
        <w:t>+</w:t>
      </w:r>
      <w:r>
        <w:rPr>
          <w:spacing w:val="-5"/>
          <w:sz w:val="26"/>
        </w:rPr>
        <w:t> </w:t>
      </w:r>
      <w:r>
        <w:rPr>
          <w:spacing w:val="-2"/>
          <w:sz w:val="26"/>
        </w:rPr>
        <w:t>0.0288</w:t>
      </w:r>
    </w:p>
    <w:p>
      <w:pPr>
        <w:pStyle w:val="BodyText"/>
        <w:spacing w:before="161"/>
        <w:rPr>
          <w:sz w:val="26"/>
        </w:rPr>
      </w:pPr>
    </w:p>
    <w:p>
      <w:pPr>
        <w:spacing w:before="0"/>
        <w:ind w:left="1200" w:right="0" w:firstLine="0"/>
        <w:jc w:val="left"/>
        <w:rPr>
          <w:sz w:val="26"/>
        </w:rPr>
      </w:pPr>
      <w:r>
        <w:rPr>
          <w:sz w:val="26"/>
        </w:rPr>
        <w:t>0.0657x</w:t>
      </w:r>
      <w:r>
        <w:rPr>
          <w:spacing w:val="-6"/>
          <w:sz w:val="26"/>
        </w:rPr>
        <w:t> </w:t>
      </w:r>
      <w:r>
        <w:rPr>
          <w:sz w:val="26"/>
        </w:rPr>
        <w:t>=</w:t>
      </w:r>
      <w:r>
        <w:rPr>
          <w:spacing w:val="-6"/>
          <w:sz w:val="26"/>
        </w:rPr>
        <w:t> </w:t>
      </w:r>
      <w:r>
        <w:rPr>
          <w:sz w:val="26"/>
        </w:rPr>
        <w:t>(1.422-0.630)</w:t>
      </w:r>
      <w:r>
        <w:rPr>
          <w:spacing w:val="-6"/>
          <w:sz w:val="26"/>
        </w:rPr>
        <w:t> </w:t>
      </w:r>
      <w:r>
        <w:rPr>
          <w:sz w:val="26"/>
        </w:rPr>
        <w:t>+</w:t>
      </w:r>
      <w:r>
        <w:rPr>
          <w:spacing w:val="-6"/>
          <w:sz w:val="26"/>
        </w:rPr>
        <w:t> </w:t>
      </w:r>
      <w:r>
        <w:rPr>
          <w:spacing w:val="-2"/>
          <w:sz w:val="26"/>
        </w:rPr>
        <w:t>0.0288</w:t>
      </w:r>
    </w:p>
    <w:p>
      <w:pPr>
        <w:pStyle w:val="BodyText"/>
        <w:spacing w:before="158"/>
        <w:rPr>
          <w:sz w:val="26"/>
        </w:rPr>
      </w:pPr>
    </w:p>
    <w:p>
      <w:pPr>
        <w:spacing w:before="0"/>
        <w:ind w:left="1200" w:right="0" w:firstLine="0"/>
        <w:jc w:val="left"/>
        <w:rPr>
          <w:sz w:val="26"/>
        </w:rPr>
      </w:pPr>
      <w:r>
        <w:rPr>
          <w:sz w:val="26"/>
        </w:rPr>
        <w:t>0.0657x</w:t>
      </w:r>
      <w:r>
        <w:rPr>
          <w:spacing w:val="-6"/>
          <w:sz w:val="26"/>
        </w:rPr>
        <w:t> </w:t>
      </w:r>
      <w:r>
        <w:rPr>
          <w:sz w:val="26"/>
        </w:rPr>
        <w:t>=</w:t>
      </w:r>
      <w:r>
        <w:rPr>
          <w:spacing w:val="-3"/>
          <w:sz w:val="26"/>
        </w:rPr>
        <w:t> </w:t>
      </w:r>
      <w:r>
        <w:rPr>
          <w:sz w:val="26"/>
        </w:rPr>
        <w:t>0.7920</w:t>
      </w:r>
      <w:r>
        <w:rPr>
          <w:spacing w:val="-3"/>
          <w:sz w:val="26"/>
        </w:rPr>
        <w:t> </w:t>
      </w:r>
      <w:r>
        <w:rPr>
          <w:sz w:val="26"/>
        </w:rPr>
        <w:t>+</w:t>
      </w:r>
      <w:r>
        <w:rPr>
          <w:spacing w:val="-6"/>
          <w:sz w:val="26"/>
        </w:rPr>
        <w:t> </w:t>
      </w:r>
      <w:r>
        <w:rPr>
          <w:spacing w:val="-2"/>
          <w:sz w:val="26"/>
        </w:rPr>
        <w:t>0.0288</w:t>
      </w:r>
    </w:p>
    <w:p>
      <w:pPr>
        <w:pStyle w:val="BodyText"/>
        <w:spacing w:before="160"/>
        <w:rPr>
          <w:sz w:val="26"/>
        </w:rPr>
      </w:pPr>
    </w:p>
    <w:p>
      <w:pPr>
        <w:spacing w:before="0"/>
        <w:ind w:left="1200" w:right="0" w:firstLine="0"/>
        <w:jc w:val="left"/>
        <w:rPr>
          <w:sz w:val="26"/>
        </w:rPr>
      </w:pPr>
      <w:r>
        <w:rPr>
          <w:sz w:val="26"/>
        </w:rPr>
        <w:t>0.0657x</w:t>
      </w:r>
      <w:r>
        <w:rPr>
          <w:spacing w:val="-6"/>
          <w:sz w:val="26"/>
        </w:rPr>
        <w:t> </w:t>
      </w:r>
      <w:r>
        <w:rPr>
          <w:sz w:val="26"/>
        </w:rPr>
        <w:t>=</w:t>
      </w:r>
      <w:r>
        <w:rPr>
          <w:spacing w:val="-3"/>
          <w:sz w:val="26"/>
        </w:rPr>
        <w:t> </w:t>
      </w:r>
      <w:r>
        <w:rPr>
          <w:spacing w:val="-2"/>
          <w:sz w:val="26"/>
        </w:rPr>
        <w:t>0.8208</w:t>
      </w:r>
    </w:p>
    <w:p>
      <w:pPr>
        <w:pStyle w:val="BodyText"/>
        <w:spacing w:before="170"/>
        <w:rPr>
          <w:sz w:val="26"/>
        </w:rPr>
      </w:pPr>
    </w:p>
    <w:p>
      <w:pPr>
        <w:spacing w:before="0"/>
        <w:ind w:left="1200" w:right="0" w:firstLine="0"/>
        <w:jc w:val="left"/>
        <w:rPr>
          <w:sz w:val="26"/>
        </w:rPr>
      </w:pPr>
      <w:r>
        <w:rPr>
          <w:sz w:val="26"/>
        </w:rPr>
        <w:t>X</w:t>
      </w:r>
      <w:r>
        <w:rPr>
          <w:spacing w:val="-6"/>
          <w:sz w:val="26"/>
        </w:rPr>
        <w:t> </w:t>
      </w:r>
      <w:r>
        <w:rPr>
          <w:sz w:val="26"/>
        </w:rPr>
        <w:t>=</w:t>
      </w:r>
      <w:r>
        <w:rPr>
          <w:spacing w:val="-5"/>
          <w:sz w:val="26"/>
        </w:rPr>
        <w:t> </w:t>
      </w:r>
      <w:r>
        <w:rPr>
          <w:sz w:val="26"/>
        </w:rPr>
        <w:t>0.8208/0.0657</w:t>
      </w:r>
      <w:r>
        <w:rPr>
          <w:spacing w:val="-4"/>
          <w:sz w:val="26"/>
        </w:rPr>
        <w:t> </w:t>
      </w:r>
      <w:r>
        <w:rPr>
          <w:sz w:val="26"/>
        </w:rPr>
        <w:t>=</w:t>
      </w:r>
      <w:r>
        <w:rPr>
          <w:spacing w:val="-6"/>
          <w:sz w:val="26"/>
        </w:rPr>
        <w:t> </w:t>
      </w:r>
      <w:r>
        <w:rPr>
          <w:sz w:val="26"/>
        </w:rPr>
        <w:t>12.49</w:t>
      </w:r>
      <w:r>
        <w:rPr>
          <w:spacing w:val="-3"/>
          <w:sz w:val="26"/>
        </w:rPr>
        <w:t> </w:t>
      </w:r>
      <w:r>
        <w:rPr>
          <w:rFonts w:ascii="Calibri" w:hAnsi="Calibri"/>
          <w:spacing w:val="-5"/>
          <w:sz w:val="26"/>
        </w:rPr>
        <w:t>μ</w:t>
      </w:r>
      <w:r>
        <w:rPr>
          <w:spacing w:val="-5"/>
          <w:sz w:val="26"/>
        </w:rPr>
        <w:t>g</w:t>
      </w:r>
    </w:p>
    <w:p>
      <w:pPr>
        <w:pStyle w:val="BodyText"/>
        <w:spacing w:before="169"/>
        <w:rPr>
          <w:sz w:val="26"/>
        </w:rPr>
      </w:pPr>
    </w:p>
    <w:p>
      <w:pPr>
        <w:spacing w:line="609" w:lineRule="auto" w:before="0"/>
        <w:ind w:left="1200" w:right="6514" w:firstLine="0"/>
        <w:jc w:val="left"/>
        <w:rPr>
          <w:sz w:val="26"/>
        </w:rPr>
      </w:pPr>
      <w:r>
        <w:rPr>
          <w:sz w:val="26"/>
        </w:rPr>
        <w:t>% recovery = 12.49/12 x100 = 104 Accuracy</w:t>
      </w:r>
      <w:r>
        <w:rPr>
          <w:spacing w:val="-12"/>
          <w:sz w:val="26"/>
        </w:rPr>
        <w:t> </w:t>
      </w:r>
      <w:r>
        <w:rPr>
          <w:sz w:val="26"/>
        </w:rPr>
        <w:t>=</w:t>
      </w:r>
      <w:r>
        <w:rPr>
          <w:spacing w:val="-7"/>
          <w:sz w:val="26"/>
        </w:rPr>
        <w:t> </w:t>
      </w:r>
      <w:r>
        <w:rPr>
          <w:sz w:val="26"/>
        </w:rPr>
        <w:t>12.49</w:t>
      </w:r>
      <w:r>
        <w:rPr>
          <w:spacing w:val="-6"/>
          <w:sz w:val="26"/>
        </w:rPr>
        <w:t> </w:t>
      </w:r>
      <w:r>
        <w:rPr>
          <w:sz w:val="26"/>
        </w:rPr>
        <w:t>–</w:t>
      </w:r>
      <w:r>
        <w:rPr>
          <w:spacing w:val="-4"/>
          <w:sz w:val="26"/>
        </w:rPr>
        <w:t> </w:t>
      </w:r>
      <w:r>
        <w:rPr>
          <w:sz w:val="26"/>
        </w:rPr>
        <w:t>12/12</w:t>
      </w:r>
      <w:r>
        <w:rPr>
          <w:spacing w:val="-7"/>
          <w:sz w:val="26"/>
        </w:rPr>
        <w:t> </w:t>
      </w:r>
      <w:r>
        <w:rPr>
          <w:sz w:val="26"/>
        </w:rPr>
        <w:t>=</w:t>
      </w:r>
      <w:r>
        <w:rPr>
          <w:spacing w:val="-7"/>
          <w:sz w:val="26"/>
        </w:rPr>
        <w:t> </w:t>
      </w:r>
      <w:r>
        <w:rPr>
          <w:sz w:val="26"/>
        </w:rPr>
        <w:t>0.04083333</w:t>
      </w:r>
    </w:p>
    <w:p>
      <w:pPr>
        <w:spacing w:line="609" w:lineRule="auto" w:before="0"/>
        <w:ind w:left="1200" w:right="1431" w:firstLine="0"/>
        <w:jc w:val="left"/>
        <w:rPr>
          <w:sz w:val="26"/>
        </w:rPr>
      </w:pPr>
      <w:r>
        <w:rPr>
          <w:sz w:val="26"/>
        </w:rPr>
        <w:t>Therefore mean % recovery for the three values = 105.5+96.5+104/3 = 102.01 % Therefore</w:t>
      </w:r>
      <w:r>
        <w:rPr>
          <w:spacing w:val="-4"/>
          <w:sz w:val="26"/>
        </w:rPr>
        <w:t> </w:t>
      </w:r>
      <w:r>
        <w:rPr>
          <w:sz w:val="26"/>
        </w:rPr>
        <w:t>mean</w:t>
      </w:r>
      <w:r>
        <w:rPr>
          <w:spacing w:val="40"/>
          <w:sz w:val="26"/>
        </w:rPr>
        <w:t> </w:t>
      </w:r>
      <w:r>
        <w:rPr>
          <w:sz w:val="26"/>
        </w:rPr>
        <w:t>Accuracy</w:t>
      </w:r>
      <w:r>
        <w:rPr>
          <w:spacing w:val="-9"/>
          <w:sz w:val="26"/>
        </w:rPr>
        <w:t> </w:t>
      </w:r>
      <w:r>
        <w:rPr>
          <w:sz w:val="26"/>
        </w:rPr>
        <w:t>for</w:t>
      </w:r>
      <w:r>
        <w:rPr>
          <w:spacing w:val="-4"/>
          <w:sz w:val="26"/>
        </w:rPr>
        <w:t> </w:t>
      </w:r>
      <w:r>
        <w:rPr>
          <w:sz w:val="26"/>
        </w:rPr>
        <w:t>the</w:t>
      </w:r>
      <w:r>
        <w:rPr>
          <w:spacing w:val="-4"/>
          <w:sz w:val="26"/>
        </w:rPr>
        <w:t> </w:t>
      </w:r>
      <w:r>
        <w:rPr>
          <w:sz w:val="26"/>
        </w:rPr>
        <w:t>three</w:t>
      </w:r>
      <w:r>
        <w:rPr>
          <w:spacing w:val="-4"/>
          <w:sz w:val="26"/>
        </w:rPr>
        <w:t> </w:t>
      </w:r>
      <w:r>
        <w:rPr>
          <w:sz w:val="26"/>
        </w:rPr>
        <w:t>values</w:t>
      </w:r>
      <w:r>
        <w:rPr>
          <w:spacing w:val="-1"/>
          <w:sz w:val="26"/>
        </w:rPr>
        <w:t> </w:t>
      </w:r>
      <w:r>
        <w:rPr>
          <w:sz w:val="26"/>
        </w:rPr>
        <w:t>=</w:t>
      </w:r>
      <w:r>
        <w:rPr>
          <w:spacing w:val="-4"/>
          <w:sz w:val="26"/>
        </w:rPr>
        <w:t> </w:t>
      </w:r>
      <w:r>
        <w:rPr>
          <w:sz w:val="26"/>
        </w:rPr>
        <w:t>0.04083333+</w:t>
      </w:r>
      <w:r>
        <w:rPr>
          <w:spacing w:val="-4"/>
          <w:sz w:val="26"/>
        </w:rPr>
        <w:t> </w:t>
      </w:r>
      <w:r>
        <w:rPr>
          <w:sz w:val="26"/>
        </w:rPr>
        <w:t>0.035+0.0555/3</w:t>
      </w:r>
      <w:r>
        <w:rPr>
          <w:spacing w:val="-4"/>
          <w:sz w:val="26"/>
        </w:rPr>
        <w:t> </w:t>
      </w:r>
      <w:r>
        <w:rPr>
          <w:sz w:val="26"/>
        </w:rPr>
        <w:t>=</w:t>
      </w:r>
      <w:r>
        <w:rPr>
          <w:spacing w:val="-1"/>
          <w:sz w:val="26"/>
        </w:rPr>
        <w:t> </w:t>
      </w:r>
      <w:r>
        <w:rPr>
          <w:sz w:val="26"/>
        </w:rPr>
        <w:t>0.04377</w:t>
      </w:r>
    </w:p>
    <w:p>
      <w:pPr>
        <w:spacing w:after="0" w:line="609" w:lineRule="auto"/>
        <w:jc w:val="left"/>
        <w:rPr>
          <w:sz w:val="26"/>
        </w:rPr>
        <w:sectPr>
          <w:pgSz w:w="12240" w:h="15840"/>
          <w:pgMar w:header="0" w:footer="1015" w:top="1360" w:bottom="1200" w:left="240" w:right="0"/>
        </w:sectPr>
      </w:pPr>
    </w:p>
    <w:p>
      <w:pPr>
        <w:spacing w:line="477" w:lineRule="auto" w:before="73"/>
        <w:ind w:left="1200" w:right="1431" w:firstLine="0"/>
        <w:jc w:val="left"/>
        <w:rPr>
          <w:sz w:val="26"/>
        </w:rPr>
      </w:pPr>
      <w:r>
        <w:rPr>
          <w:b/>
          <w:i/>
          <w:sz w:val="26"/>
        </w:rPr>
        <w:t>Detection limit: </w:t>
      </w:r>
      <w:r>
        <w:rPr>
          <w:sz w:val="26"/>
        </w:rPr>
        <w:t>The</w:t>
      </w:r>
      <w:r>
        <w:rPr>
          <w:spacing w:val="-1"/>
          <w:sz w:val="26"/>
        </w:rPr>
        <w:t> </w:t>
      </w:r>
      <w:r>
        <w:rPr>
          <w:sz w:val="26"/>
        </w:rPr>
        <w:t>detection</w:t>
      </w:r>
      <w:r>
        <w:rPr>
          <w:spacing w:val="-1"/>
          <w:sz w:val="26"/>
        </w:rPr>
        <w:t> </w:t>
      </w:r>
      <w:r>
        <w:rPr>
          <w:sz w:val="26"/>
        </w:rPr>
        <w:t>limit (LOD) was</w:t>
      </w:r>
      <w:r>
        <w:rPr>
          <w:spacing w:val="-1"/>
          <w:sz w:val="26"/>
        </w:rPr>
        <w:t> </w:t>
      </w:r>
      <w:r>
        <w:rPr>
          <w:sz w:val="26"/>
        </w:rPr>
        <w:t>the sensitivity</w:t>
      </w:r>
      <w:r>
        <w:rPr>
          <w:spacing w:val="-4"/>
          <w:sz w:val="26"/>
        </w:rPr>
        <w:t> </w:t>
      </w:r>
      <w:r>
        <w:rPr>
          <w:sz w:val="26"/>
        </w:rPr>
        <w:t>of the method to detect the presence of the analytical drug in the solution- LOD is expressed as the formula:</w:t>
      </w:r>
    </w:p>
    <w:p>
      <w:pPr>
        <w:spacing w:before="163"/>
        <w:ind w:left="1200" w:right="0" w:firstLine="0"/>
        <w:jc w:val="left"/>
        <w:rPr>
          <w:sz w:val="26"/>
        </w:rPr>
      </w:pPr>
      <w:r>
        <w:rPr>
          <w:sz w:val="26"/>
        </w:rPr>
        <w:t>LOD</w:t>
      </w:r>
      <w:r>
        <w:rPr>
          <w:spacing w:val="-5"/>
          <w:sz w:val="26"/>
        </w:rPr>
        <w:t> </w:t>
      </w:r>
      <w:r>
        <w:rPr>
          <w:sz w:val="26"/>
        </w:rPr>
        <w:t>=</w:t>
      </w:r>
      <w:r>
        <w:rPr>
          <w:spacing w:val="-4"/>
          <w:sz w:val="26"/>
        </w:rPr>
        <w:t> </w:t>
      </w:r>
      <w:r>
        <w:rPr>
          <w:spacing w:val="-2"/>
          <w:sz w:val="26"/>
        </w:rPr>
        <w:t>3.3σ/S</w:t>
      </w:r>
    </w:p>
    <w:p>
      <w:pPr>
        <w:pStyle w:val="BodyText"/>
        <w:spacing w:before="163"/>
        <w:rPr>
          <w:sz w:val="26"/>
        </w:rPr>
      </w:pPr>
    </w:p>
    <w:p>
      <w:pPr>
        <w:spacing w:line="477" w:lineRule="auto" w:before="0"/>
        <w:ind w:left="1200" w:right="1431" w:firstLine="0"/>
        <w:jc w:val="left"/>
        <w:rPr>
          <w:sz w:val="26"/>
        </w:rPr>
      </w:pPr>
      <w:r>
        <w:rPr>
          <w:sz w:val="26"/>
        </w:rPr>
        <w:t>Where</w:t>
      </w:r>
      <w:r>
        <w:rPr>
          <w:spacing w:val="-1"/>
          <w:sz w:val="26"/>
        </w:rPr>
        <w:t> </w:t>
      </w:r>
      <w:r>
        <w:rPr>
          <w:sz w:val="26"/>
        </w:rPr>
        <w:t>σ is the</w:t>
      </w:r>
      <w:r>
        <w:rPr>
          <w:spacing w:val="-2"/>
          <w:sz w:val="26"/>
        </w:rPr>
        <w:t> </w:t>
      </w:r>
      <w:r>
        <w:rPr>
          <w:sz w:val="26"/>
        </w:rPr>
        <w:t>standard</w:t>
      </w:r>
      <w:r>
        <w:rPr>
          <w:spacing w:val="-2"/>
          <w:sz w:val="26"/>
        </w:rPr>
        <w:t> </w:t>
      </w:r>
      <w:r>
        <w:rPr>
          <w:sz w:val="26"/>
        </w:rPr>
        <w:t>deviation</w:t>
      </w:r>
      <w:r>
        <w:rPr>
          <w:spacing w:val="-2"/>
          <w:sz w:val="26"/>
        </w:rPr>
        <w:t> </w:t>
      </w:r>
      <w:r>
        <w:rPr>
          <w:sz w:val="26"/>
        </w:rPr>
        <w:t>of y-intercepts</w:t>
      </w:r>
      <w:r>
        <w:rPr>
          <w:spacing w:val="-2"/>
          <w:sz w:val="26"/>
        </w:rPr>
        <w:t> </w:t>
      </w:r>
      <w:r>
        <w:rPr>
          <w:sz w:val="26"/>
        </w:rPr>
        <w:t>of the</w:t>
      </w:r>
      <w:r>
        <w:rPr>
          <w:spacing w:val="-2"/>
          <w:sz w:val="26"/>
        </w:rPr>
        <w:t> </w:t>
      </w:r>
      <w:r>
        <w:rPr>
          <w:sz w:val="26"/>
        </w:rPr>
        <w:t>regression lines</w:t>
      </w:r>
      <w:r>
        <w:rPr>
          <w:spacing w:val="-1"/>
          <w:sz w:val="26"/>
        </w:rPr>
        <w:t> </w:t>
      </w:r>
      <w:r>
        <w:rPr>
          <w:sz w:val="26"/>
        </w:rPr>
        <w:t>and S</w:t>
      </w:r>
      <w:r>
        <w:rPr>
          <w:spacing w:val="-2"/>
          <w:sz w:val="26"/>
        </w:rPr>
        <w:t> </w:t>
      </w:r>
      <w:r>
        <w:rPr>
          <w:sz w:val="26"/>
        </w:rPr>
        <w:t>is the slope of the calibration curve.</w:t>
      </w:r>
    </w:p>
    <w:p>
      <w:pPr>
        <w:spacing w:line="609" w:lineRule="auto" w:before="164"/>
        <w:ind w:left="1200" w:right="1431" w:firstLine="0"/>
        <w:jc w:val="left"/>
        <w:rPr>
          <w:sz w:val="26"/>
        </w:rPr>
      </w:pPr>
      <w:r>
        <w:rPr>
          <w:b/>
          <w:i/>
          <w:sz w:val="26"/>
        </w:rPr>
        <w:t>Quantitation</w:t>
      </w:r>
      <w:r>
        <w:rPr>
          <w:b/>
          <w:i/>
          <w:spacing w:val="-5"/>
          <w:sz w:val="26"/>
        </w:rPr>
        <w:t> </w:t>
      </w:r>
      <w:r>
        <w:rPr>
          <w:b/>
          <w:i/>
          <w:sz w:val="26"/>
        </w:rPr>
        <w:t>limit:</w:t>
      </w:r>
      <w:r>
        <w:rPr>
          <w:b/>
          <w:i/>
          <w:spacing w:val="-4"/>
          <w:sz w:val="26"/>
        </w:rPr>
        <w:t> </w:t>
      </w:r>
      <w:r>
        <w:rPr>
          <w:sz w:val="26"/>
        </w:rPr>
        <w:t>The</w:t>
      </w:r>
      <w:r>
        <w:rPr>
          <w:spacing w:val="-5"/>
          <w:sz w:val="26"/>
        </w:rPr>
        <w:t> </w:t>
      </w:r>
      <w:r>
        <w:rPr>
          <w:sz w:val="26"/>
        </w:rPr>
        <w:t>quantitation</w:t>
      </w:r>
      <w:r>
        <w:rPr>
          <w:spacing w:val="-5"/>
          <w:sz w:val="26"/>
        </w:rPr>
        <w:t> </w:t>
      </w:r>
      <w:r>
        <w:rPr>
          <w:sz w:val="26"/>
        </w:rPr>
        <w:t>limit</w:t>
      </w:r>
      <w:r>
        <w:rPr>
          <w:spacing w:val="-3"/>
          <w:sz w:val="26"/>
        </w:rPr>
        <w:t> </w:t>
      </w:r>
      <w:r>
        <w:rPr>
          <w:sz w:val="26"/>
        </w:rPr>
        <w:t>(LOQ)</w:t>
      </w:r>
      <w:r>
        <w:rPr>
          <w:spacing w:val="-5"/>
          <w:sz w:val="26"/>
        </w:rPr>
        <w:t> </w:t>
      </w:r>
      <w:r>
        <w:rPr>
          <w:sz w:val="26"/>
        </w:rPr>
        <w:t>was</w:t>
      </w:r>
      <w:r>
        <w:rPr>
          <w:spacing w:val="-5"/>
          <w:sz w:val="26"/>
        </w:rPr>
        <w:t> </w:t>
      </w:r>
      <w:r>
        <w:rPr>
          <w:sz w:val="26"/>
        </w:rPr>
        <w:t>determined</w:t>
      </w:r>
      <w:r>
        <w:rPr>
          <w:spacing w:val="-5"/>
          <w:sz w:val="26"/>
        </w:rPr>
        <w:t> </w:t>
      </w:r>
      <w:r>
        <w:rPr>
          <w:sz w:val="26"/>
        </w:rPr>
        <w:t>using</w:t>
      </w:r>
      <w:r>
        <w:rPr>
          <w:spacing w:val="-5"/>
          <w:sz w:val="26"/>
        </w:rPr>
        <w:t> </w:t>
      </w:r>
      <w:r>
        <w:rPr>
          <w:sz w:val="26"/>
        </w:rPr>
        <w:t>the</w:t>
      </w:r>
      <w:r>
        <w:rPr>
          <w:spacing w:val="-5"/>
          <w:sz w:val="26"/>
        </w:rPr>
        <w:t> </w:t>
      </w:r>
      <w:r>
        <w:rPr>
          <w:sz w:val="26"/>
        </w:rPr>
        <w:t>expression: LOQ = 10σ/S</w:t>
      </w:r>
    </w:p>
    <w:p>
      <w:pPr>
        <w:spacing w:line="477" w:lineRule="auto" w:before="0"/>
        <w:ind w:left="1200" w:right="1431" w:firstLine="0"/>
        <w:jc w:val="left"/>
        <w:rPr>
          <w:sz w:val="26"/>
        </w:rPr>
      </w:pPr>
      <w:r>
        <w:rPr>
          <w:sz w:val="26"/>
        </w:rPr>
        <w:t>Where</w:t>
      </w:r>
      <w:r>
        <w:rPr>
          <w:spacing w:val="-1"/>
          <w:sz w:val="26"/>
        </w:rPr>
        <w:t> </w:t>
      </w:r>
      <w:r>
        <w:rPr>
          <w:sz w:val="26"/>
        </w:rPr>
        <w:t>σ is the</w:t>
      </w:r>
      <w:r>
        <w:rPr>
          <w:spacing w:val="-2"/>
          <w:sz w:val="26"/>
        </w:rPr>
        <w:t> </w:t>
      </w:r>
      <w:r>
        <w:rPr>
          <w:sz w:val="26"/>
        </w:rPr>
        <w:t>standard</w:t>
      </w:r>
      <w:r>
        <w:rPr>
          <w:spacing w:val="-2"/>
          <w:sz w:val="26"/>
        </w:rPr>
        <w:t> </w:t>
      </w:r>
      <w:r>
        <w:rPr>
          <w:sz w:val="26"/>
        </w:rPr>
        <w:t>deviation</w:t>
      </w:r>
      <w:r>
        <w:rPr>
          <w:spacing w:val="-2"/>
          <w:sz w:val="26"/>
        </w:rPr>
        <w:t> </w:t>
      </w:r>
      <w:r>
        <w:rPr>
          <w:sz w:val="26"/>
        </w:rPr>
        <w:t>of y-intercepts</w:t>
      </w:r>
      <w:r>
        <w:rPr>
          <w:spacing w:val="-2"/>
          <w:sz w:val="26"/>
        </w:rPr>
        <w:t> </w:t>
      </w:r>
      <w:r>
        <w:rPr>
          <w:sz w:val="26"/>
        </w:rPr>
        <w:t>of the</w:t>
      </w:r>
      <w:r>
        <w:rPr>
          <w:spacing w:val="-2"/>
          <w:sz w:val="26"/>
        </w:rPr>
        <w:t> </w:t>
      </w:r>
      <w:r>
        <w:rPr>
          <w:sz w:val="26"/>
        </w:rPr>
        <w:t>regression lines</w:t>
      </w:r>
      <w:r>
        <w:rPr>
          <w:spacing w:val="-1"/>
          <w:sz w:val="26"/>
        </w:rPr>
        <w:t> </w:t>
      </w:r>
      <w:r>
        <w:rPr>
          <w:sz w:val="26"/>
        </w:rPr>
        <w:t>and S</w:t>
      </w:r>
      <w:r>
        <w:rPr>
          <w:spacing w:val="-2"/>
          <w:sz w:val="26"/>
        </w:rPr>
        <w:t> </w:t>
      </w:r>
      <w:r>
        <w:rPr>
          <w:sz w:val="26"/>
        </w:rPr>
        <w:t>is the slope of the calibration curve.</w:t>
      </w:r>
    </w:p>
    <w:p>
      <w:pPr>
        <w:spacing w:after="0" w:line="477" w:lineRule="auto"/>
        <w:jc w:val="left"/>
        <w:rPr>
          <w:sz w:val="26"/>
        </w:rPr>
        <w:sectPr>
          <w:pgSz w:w="12240" w:h="15840"/>
          <w:pgMar w:header="0" w:footer="1015" w:top="1360" w:bottom="1200" w:left="240" w:right="0"/>
        </w:sectPr>
      </w:pPr>
    </w:p>
    <w:p>
      <w:pPr>
        <w:pStyle w:val="Heading1"/>
      </w:pPr>
      <w:r>
        <w:rPr/>
        <w:t>Appendix</w:t>
      </w:r>
      <w:r>
        <w:rPr>
          <w:spacing w:val="-6"/>
        </w:rPr>
        <w:t> </w:t>
      </w:r>
      <w:r>
        <w:rPr/>
        <w:t>XI:</w:t>
      </w:r>
      <w:r>
        <w:rPr>
          <w:spacing w:val="-6"/>
        </w:rPr>
        <w:t> </w:t>
      </w:r>
      <w:r>
        <w:rPr/>
        <w:t>slope,</w:t>
      </w:r>
      <w:r>
        <w:rPr>
          <w:spacing w:val="-8"/>
        </w:rPr>
        <w:t> </w:t>
      </w:r>
      <w:r>
        <w:rPr/>
        <w:t>intercept</w:t>
      </w:r>
      <w:r>
        <w:rPr>
          <w:spacing w:val="-7"/>
        </w:rPr>
        <w:t> </w:t>
      </w:r>
      <w:r>
        <w:rPr/>
        <w:t>and</w:t>
      </w:r>
      <w:r>
        <w:rPr>
          <w:spacing w:val="-7"/>
        </w:rPr>
        <w:t> </w:t>
      </w:r>
      <w:r>
        <w:rPr/>
        <w:t>standard</w:t>
      </w:r>
      <w:r>
        <w:rPr>
          <w:spacing w:val="-5"/>
        </w:rPr>
        <w:t> </w:t>
      </w:r>
      <w:r>
        <w:rPr>
          <w:spacing w:val="-2"/>
        </w:rPr>
        <w:t>deviations</w:t>
      </w:r>
    </w:p>
    <w:p>
      <w:pPr>
        <w:pStyle w:val="BodyText"/>
        <w:spacing w:before="70" w:after="1"/>
        <w:rPr>
          <w:b/>
          <w:sz w:val="20"/>
        </w:rPr>
      </w:pPr>
    </w:p>
    <w:tbl>
      <w:tblPr>
        <w:tblW w:w="0" w:type="auto"/>
        <w:jc w:val="left"/>
        <w:tblInd w:w="1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3"/>
        <w:gridCol w:w="1904"/>
        <w:gridCol w:w="2890"/>
        <w:gridCol w:w="1238"/>
      </w:tblGrid>
      <w:tr>
        <w:trPr>
          <w:trHeight w:val="523" w:hRule="atLeast"/>
        </w:trPr>
        <w:tc>
          <w:tcPr>
            <w:tcW w:w="2223" w:type="dxa"/>
          </w:tcPr>
          <w:p>
            <w:pPr>
              <w:pStyle w:val="TableParagraph"/>
              <w:spacing w:line="290" w:lineRule="exact"/>
              <w:ind w:left="50"/>
              <w:rPr>
                <w:sz w:val="26"/>
              </w:rPr>
            </w:pPr>
            <w:r>
              <w:rPr>
                <w:spacing w:val="-2"/>
                <w:sz w:val="26"/>
              </w:rPr>
              <w:t>Slope</w:t>
            </w:r>
          </w:p>
        </w:tc>
        <w:tc>
          <w:tcPr>
            <w:tcW w:w="1904" w:type="dxa"/>
          </w:tcPr>
          <w:p>
            <w:pPr>
              <w:pStyle w:val="TableParagraph"/>
              <w:spacing w:line="290" w:lineRule="exact"/>
              <w:ind w:left="219"/>
              <w:rPr>
                <w:sz w:val="26"/>
              </w:rPr>
            </w:pPr>
            <w:r>
              <w:rPr>
                <w:spacing w:val="-2"/>
                <w:sz w:val="26"/>
              </w:rPr>
              <w:t>0.06565</w:t>
            </w:r>
          </w:p>
        </w:tc>
        <w:tc>
          <w:tcPr>
            <w:tcW w:w="2890" w:type="dxa"/>
          </w:tcPr>
          <w:p>
            <w:pPr>
              <w:pStyle w:val="TableParagraph"/>
              <w:spacing w:line="290" w:lineRule="exact"/>
              <w:ind w:left="711"/>
              <w:rPr>
                <w:sz w:val="26"/>
              </w:rPr>
            </w:pPr>
            <w:r>
              <w:rPr>
                <w:spacing w:val="-2"/>
                <w:sz w:val="26"/>
              </w:rPr>
              <w:t>Intercept</w:t>
            </w:r>
          </w:p>
        </w:tc>
        <w:tc>
          <w:tcPr>
            <w:tcW w:w="1238" w:type="dxa"/>
          </w:tcPr>
          <w:p>
            <w:pPr>
              <w:pStyle w:val="TableParagraph"/>
              <w:spacing w:line="287" w:lineRule="exact"/>
              <w:ind w:left="120"/>
              <w:jc w:val="center"/>
              <w:rPr>
                <w:sz w:val="26"/>
              </w:rPr>
            </w:pPr>
            <w:r>
              <w:rPr>
                <w:spacing w:val="-2"/>
                <w:sz w:val="26"/>
              </w:rPr>
              <w:t>-0.02885</w:t>
            </w:r>
          </w:p>
        </w:tc>
      </w:tr>
      <w:tr>
        <w:trPr>
          <w:trHeight w:val="1256" w:hRule="atLeast"/>
        </w:trPr>
        <w:tc>
          <w:tcPr>
            <w:tcW w:w="2223" w:type="dxa"/>
          </w:tcPr>
          <w:p>
            <w:pPr>
              <w:pStyle w:val="TableParagraph"/>
              <w:spacing w:line="240" w:lineRule="auto" w:before="225"/>
              <w:ind w:left="50"/>
              <w:rPr>
                <w:sz w:val="26"/>
              </w:rPr>
            </w:pPr>
            <w:r>
              <w:rPr>
                <w:sz w:val="26"/>
              </w:rPr>
              <w:t>Standard</w:t>
            </w:r>
            <w:r>
              <w:rPr>
                <w:spacing w:val="-11"/>
                <w:sz w:val="26"/>
              </w:rPr>
              <w:t> </w:t>
            </w:r>
            <w:r>
              <w:rPr>
                <w:spacing w:val="-2"/>
                <w:sz w:val="26"/>
              </w:rPr>
              <w:t>deviation</w:t>
            </w:r>
          </w:p>
          <w:p>
            <w:pPr>
              <w:pStyle w:val="TableParagraph"/>
              <w:spacing w:line="240" w:lineRule="auto" w:before="298"/>
              <w:ind w:left="50"/>
              <w:rPr>
                <w:sz w:val="26"/>
              </w:rPr>
            </w:pPr>
            <w:r>
              <w:rPr>
                <w:sz w:val="26"/>
              </w:rPr>
              <w:t>of</w:t>
            </w:r>
            <w:r>
              <w:rPr>
                <w:spacing w:val="-1"/>
                <w:sz w:val="26"/>
              </w:rPr>
              <w:t> </w:t>
            </w:r>
            <w:r>
              <w:rPr>
                <w:spacing w:val="-2"/>
                <w:sz w:val="26"/>
              </w:rPr>
              <w:t>slope</w:t>
            </w:r>
          </w:p>
        </w:tc>
        <w:tc>
          <w:tcPr>
            <w:tcW w:w="1904" w:type="dxa"/>
          </w:tcPr>
          <w:p>
            <w:pPr>
              <w:pStyle w:val="TableParagraph"/>
              <w:spacing w:line="240" w:lineRule="auto" w:before="225"/>
              <w:ind w:left="219"/>
              <w:rPr>
                <w:sz w:val="26"/>
              </w:rPr>
            </w:pPr>
            <w:r>
              <w:rPr>
                <w:spacing w:val="-2"/>
                <w:sz w:val="26"/>
              </w:rPr>
              <w:t>0.000391</w:t>
            </w:r>
          </w:p>
        </w:tc>
        <w:tc>
          <w:tcPr>
            <w:tcW w:w="2890" w:type="dxa"/>
          </w:tcPr>
          <w:p>
            <w:pPr>
              <w:pStyle w:val="TableParagraph"/>
              <w:spacing w:line="240" w:lineRule="auto" w:before="225"/>
              <w:ind w:left="711"/>
              <w:rPr>
                <w:sz w:val="26"/>
              </w:rPr>
            </w:pPr>
            <w:r>
              <w:rPr>
                <w:sz w:val="26"/>
              </w:rPr>
              <w:t>Standard</w:t>
            </w:r>
            <w:r>
              <w:rPr>
                <w:spacing w:val="-11"/>
                <w:sz w:val="26"/>
              </w:rPr>
              <w:t> </w:t>
            </w:r>
            <w:r>
              <w:rPr>
                <w:spacing w:val="-2"/>
                <w:sz w:val="26"/>
              </w:rPr>
              <w:t>deviation</w:t>
            </w:r>
          </w:p>
          <w:p>
            <w:pPr>
              <w:pStyle w:val="TableParagraph"/>
              <w:spacing w:line="240" w:lineRule="auto" w:before="298"/>
              <w:ind w:left="711"/>
              <w:rPr>
                <w:sz w:val="26"/>
              </w:rPr>
            </w:pPr>
            <w:r>
              <w:rPr>
                <w:sz w:val="26"/>
              </w:rPr>
              <w:t>of</w:t>
            </w:r>
            <w:r>
              <w:rPr>
                <w:spacing w:val="-1"/>
                <w:sz w:val="26"/>
              </w:rPr>
              <w:t> </w:t>
            </w:r>
            <w:r>
              <w:rPr>
                <w:spacing w:val="-2"/>
                <w:sz w:val="26"/>
              </w:rPr>
              <w:t>intercept</w:t>
            </w:r>
          </w:p>
        </w:tc>
        <w:tc>
          <w:tcPr>
            <w:tcW w:w="1238" w:type="dxa"/>
          </w:tcPr>
          <w:p>
            <w:pPr>
              <w:pStyle w:val="TableParagraph"/>
              <w:spacing w:line="240" w:lineRule="auto" w:before="222"/>
              <w:ind w:left="163"/>
              <w:jc w:val="center"/>
              <w:rPr>
                <w:sz w:val="26"/>
              </w:rPr>
            </w:pPr>
            <w:r>
              <w:rPr>
                <w:spacing w:val="-2"/>
                <w:sz w:val="26"/>
              </w:rPr>
              <w:t>0.002243</w:t>
            </w:r>
          </w:p>
        </w:tc>
      </w:tr>
      <w:tr>
        <w:trPr>
          <w:trHeight w:val="462" w:hRule="atLeast"/>
        </w:trPr>
        <w:tc>
          <w:tcPr>
            <w:tcW w:w="2223" w:type="dxa"/>
          </w:tcPr>
          <w:p>
            <w:pPr>
              <w:pStyle w:val="TableParagraph"/>
              <w:spacing w:line="156" w:lineRule="auto" w:before="171"/>
              <w:ind w:left="50"/>
              <w:rPr>
                <w:sz w:val="17"/>
              </w:rPr>
            </w:pPr>
            <w:r>
              <w:rPr>
                <w:spacing w:val="-5"/>
                <w:position w:val="-11"/>
                <w:sz w:val="26"/>
              </w:rPr>
              <w:t>R</w:t>
            </w:r>
            <w:r>
              <w:rPr>
                <w:spacing w:val="-5"/>
                <w:sz w:val="17"/>
              </w:rPr>
              <w:t>2</w:t>
            </w:r>
          </w:p>
        </w:tc>
        <w:tc>
          <w:tcPr>
            <w:tcW w:w="1904" w:type="dxa"/>
          </w:tcPr>
          <w:p>
            <w:pPr>
              <w:pStyle w:val="TableParagraph"/>
              <w:spacing w:line="279" w:lineRule="exact" w:before="164"/>
              <w:ind w:left="219"/>
              <w:rPr>
                <w:sz w:val="26"/>
              </w:rPr>
            </w:pPr>
            <w:r>
              <w:rPr>
                <w:spacing w:val="-2"/>
                <w:sz w:val="26"/>
              </w:rPr>
              <w:t>0.999894</w:t>
            </w:r>
          </w:p>
        </w:tc>
        <w:tc>
          <w:tcPr>
            <w:tcW w:w="2890" w:type="dxa"/>
          </w:tcPr>
          <w:p>
            <w:pPr>
              <w:pStyle w:val="TableParagraph"/>
              <w:spacing w:line="279" w:lineRule="exact" w:before="164"/>
              <w:ind w:left="711"/>
              <w:rPr>
                <w:sz w:val="26"/>
              </w:rPr>
            </w:pPr>
            <w:r>
              <w:rPr>
                <w:sz w:val="26"/>
              </w:rPr>
              <w:t>Degree</w:t>
            </w:r>
            <w:r>
              <w:rPr>
                <w:spacing w:val="-6"/>
                <w:sz w:val="26"/>
              </w:rPr>
              <w:t> </w:t>
            </w:r>
            <w:r>
              <w:rPr>
                <w:sz w:val="26"/>
              </w:rPr>
              <w:t>of</w:t>
            </w:r>
            <w:r>
              <w:rPr>
                <w:spacing w:val="-4"/>
                <w:sz w:val="26"/>
              </w:rPr>
              <w:t> </w:t>
            </w:r>
            <w:r>
              <w:rPr>
                <w:spacing w:val="-2"/>
                <w:sz w:val="26"/>
              </w:rPr>
              <w:t>freedom</w:t>
            </w:r>
          </w:p>
        </w:tc>
        <w:tc>
          <w:tcPr>
            <w:tcW w:w="1238" w:type="dxa"/>
          </w:tcPr>
          <w:p>
            <w:pPr>
              <w:pStyle w:val="TableParagraph"/>
              <w:spacing w:line="281" w:lineRule="exact" w:before="161"/>
              <w:ind w:left="33"/>
              <w:jc w:val="center"/>
              <w:rPr>
                <w:sz w:val="26"/>
              </w:rPr>
            </w:pPr>
            <w:r>
              <w:rPr>
                <w:spacing w:val="-2"/>
                <w:sz w:val="26"/>
              </w:rPr>
              <w:t>0.00247</w:t>
            </w:r>
          </w:p>
        </w:tc>
      </w:tr>
    </w:tbl>
    <w:p>
      <w:pPr>
        <w:pStyle w:val="BodyText"/>
        <w:spacing w:before="215"/>
        <w:rPr>
          <w:b/>
          <w:sz w:val="20"/>
        </w:rPr>
      </w:pPr>
      <w:r>
        <w:rPr/>
        <mc:AlternateContent>
          <mc:Choice Requires="wps">
            <w:drawing>
              <wp:anchor distT="0" distB="0" distL="0" distR="0" allowOverlap="1" layoutInCell="1" locked="0" behindDoc="1" simplePos="0" relativeHeight="487626752">
                <wp:simplePos x="0" y="0"/>
                <wp:positionH relativeFrom="page">
                  <wp:posOffset>836980</wp:posOffset>
                </wp:positionH>
                <wp:positionV relativeFrom="paragraph">
                  <wp:posOffset>297926</wp:posOffset>
                </wp:positionV>
                <wp:extent cx="6090920" cy="12700"/>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6090920" cy="12700"/>
                        </a:xfrm>
                        <a:custGeom>
                          <a:avLst/>
                          <a:gdLst/>
                          <a:ahLst/>
                          <a:cxnLst/>
                          <a:rect l="l" t="t" r="r" b="b"/>
                          <a:pathLst>
                            <a:path w="6090920" h="12700">
                              <a:moveTo>
                                <a:pt x="3052889" y="0"/>
                              </a:moveTo>
                              <a:lnTo>
                                <a:pt x="3052889" y="0"/>
                              </a:lnTo>
                              <a:lnTo>
                                <a:pt x="0" y="0"/>
                              </a:lnTo>
                              <a:lnTo>
                                <a:pt x="0" y="12192"/>
                              </a:lnTo>
                              <a:lnTo>
                                <a:pt x="3052889" y="12192"/>
                              </a:lnTo>
                              <a:lnTo>
                                <a:pt x="3052889" y="0"/>
                              </a:lnTo>
                              <a:close/>
                            </a:path>
                            <a:path w="6090920" h="12700">
                              <a:moveTo>
                                <a:pt x="4574095" y="0"/>
                              </a:moveTo>
                              <a:lnTo>
                                <a:pt x="4571060" y="0"/>
                              </a:lnTo>
                              <a:lnTo>
                                <a:pt x="4561916" y="0"/>
                              </a:lnTo>
                              <a:lnTo>
                                <a:pt x="3052902" y="0"/>
                              </a:lnTo>
                              <a:lnTo>
                                <a:pt x="3052902" y="12192"/>
                              </a:lnTo>
                              <a:lnTo>
                                <a:pt x="4561916" y="12192"/>
                              </a:lnTo>
                              <a:lnTo>
                                <a:pt x="4571060" y="12192"/>
                              </a:lnTo>
                              <a:lnTo>
                                <a:pt x="4574095" y="12192"/>
                              </a:lnTo>
                              <a:lnTo>
                                <a:pt x="4574095" y="0"/>
                              </a:lnTo>
                              <a:close/>
                            </a:path>
                            <a:path w="6090920" h="12700">
                              <a:moveTo>
                                <a:pt x="6090742" y="0"/>
                              </a:moveTo>
                              <a:lnTo>
                                <a:pt x="4574108" y="0"/>
                              </a:lnTo>
                              <a:lnTo>
                                <a:pt x="4574108" y="12192"/>
                              </a:lnTo>
                              <a:lnTo>
                                <a:pt x="6090742" y="12192"/>
                              </a:lnTo>
                              <a:lnTo>
                                <a:pt x="60907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5.903999pt;margin-top:23.458801pt;width:479.6pt;height:1pt;mso-position-horizontal-relative:page;mso-position-vertical-relative:paragraph;z-index:-15689728;mso-wrap-distance-left:0;mso-wrap-distance-right:0" id="docshape156" coordorigin="1318,469" coordsize="9592,20" path="m6126,469l6121,469,6107,469,3732,469,3728,469,3713,469,1318,469,1318,488,3713,488,3728,488,3732,488,6107,488,6121,488,6126,488,6126,469xm8521,469l8517,469,8502,469,6126,469,6126,488,8502,488,8517,488,8521,488,8521,469xm10910,469l8521,469,8521,488,10910,488,10910,469xe" filled="true" fillcolor="#000000" stroked="false">
                <v:path arrowok="t"/>
                <v:fill type="solid"/>
                <w10:wrap type="topAndBottom"/>
              </v:shape>
            </w:pict>
          </mc:Fallback>
        </mc:AlternateContent>
      </w:r>
    </w:p>
    <w:p>
      <w:pPr>
        <w:spacing w:line="482" w:lineRule="auto" w:before="0"/>
        <w:ind w:left="1980" w:right="3425" w:firstLine="660"/>
        <w:jc w:val="left"/>
        <w:rPr>
          <w:sz w:val="26"/>
        </w:rPr>
      </w:pPr>
      <w:r>
        <w:rPr>
          <w:sz w:val="26"/>
        </w:rPr>
        <w:t>LOD</w:t>
      </w:r>
      <w:r>
        <w:rPr>
          <w:spacing w:val="-7"/>
          <w:sz w:val="26"/>
        </w:rPr>
        <w:t> </w:t>
      </w:r>
      <w:r>
        <w:rPr>
          <w:sz w:val="26"/>
        </w:rPr>
        <w:t>=</w:t>
      </w:r>
      <w:r>
        <w:rPr>
          <w:spacing w:val="-7"/>
          <w:sz w:val="26"/>
        </w:rPr>
        <w:t> </w:t>
      </w:r>
      <w:r>
        <w:rPr>
          <w:sz w:val="26"/>
        </w:rPr>
        <w:t>3.3σ/S</w:t>
      </w:r>
      <w:r>
        <w:rPr>
          <w:spacing w:val="-7"/>
          <w:sz w:val="26"/>
        </w:rPr>
        <w:t> </w:t>
      </w:r>
      <w:r>
        <w:rPr>
          <w:sz w:val="26"/>
        </w:rPr>
        <w:t>=</w:t>
      </w:r>
      <w:r>
        <w:rPr>
          <w:spacing w:val="-5"/>
          <w:sz w:val="26"/>
        </w:rPr>
        <w:t> </w:t>
      </w:r>
      <w:r>
        <w:rPr>
          <w:sz w:val="26"/>
        </w:rPr>
        <w:t>3.3</w:t>
      </w:r>
      <w:r>
        <w:rPr>
          <w:spacing w:val="-7"/>
          <w:sz w:val="26"/>
        </w:rPr>
        <w:t> </w:t>
      </w:r>
      <w:r>
        <w:rPr>
          <w:sz w:val="26"/>
        </w:rPr>
        <w:t>X0.002243/0.06565</w:t>
      </w:r>
      <w:r>
        <w:rPr>
          <w:spacing w:val="-5"/>
          <w:sz w:val="26"/>
        </w:rPr>
        <w:t> </w:t>
      </w:r>
      <w:r>
        <w:rPr>
          <w:sz w:val="26"/>
        </w:rPr>
        <w:t>=</w:t>
      </w:r>
      <w:r>
        <w:rPr>
          <w:spacing w:val="-7"/>
          <w:sz w:val="26"/>
        </w:rPr>
        <w:t> </w:t>
      </w:r>
      <w:r>
        <w:rPr>
          <w:sz w:val="26"/>
        </w:rPr>
        <w:t>0.1127479 LOQ = 10σ/S = 10 X 0.002243/0.06565 = 0.341660</w:t>
      </w:r>
    </w:p>
    <w:p>
      <w:pPr>
        <w:pStyle w:val="BodyText"/>
        <w:spacing w:line="272" w:lineRule="exact"/>
        <w:ind w:left="1200"/>
      </w:pPr>
      <w:r>
        <w:rPr/>
        <w:t>This</w:t>
      </w:r>
      <w:r>
        <w:rPr>
          <w:spacing w:val="-1"/>
        </w:rPr>
        <w:t> </w:t>
      </w:r>
      <w:r>
        <w:rPr/>
        <w:t>was repeated</w:t>
      </w:r>
      <w:r>
        <w:rPr>
          <w:spacing w:val="-1"/>
        </w:rPr>
        <w:t> </w:t>
      </w:r>
      <w:r>
        <w:rPr/>
        <w:t>for methods</w:t>
      </w:r>
      <w:r>
        <w:rPr>
          <w:spacing w:val="-1"/>
        </w:rPr>
        <w:t> </w:t>
      </w:r>
      <w:r>
        <w:rPr/>
        <w:t>2, 3</w:t>
      </w:r>
      <w:r>
        <w:rPr>
          <w:spacing w:val="-1"/>
        </w:rPr>
        <w:t> </w:t>
      </w:r>
      <w:r>
        <w:rPr/>
        <w:t>and </w:t>
      </w:r>
      <w:r>
        <w:rPr>
          <w:spacing w:val="-10"/>
        </w:rPr>
        <w:t>4</w:t>
      </w:r>
    </w:p>
    <w:sectPr>
      <w:pgSz w:w="12240" w:h="15840"/>
      <w:pgMar w:header="0" w:footer="1015" w:top="1380" w:bottom="1200" w:left="2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987392">
              <wp:simplePos x="0" y="0"/>
              <wp:positionH relativeFrom="page">
                <wp:posOffset>3739007</wp:posOffset>
              </wp:positionH>
              <wp:positionV relativeFrom="page">
                <wp:posOffset>9274250</wp:posOffset>
              </wp:positionV>
              <wp:extent cx="31051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10515" cy="165735"/>
                      </a:xfrm>
                      <a:prstGeom prst="rect">
                        <a:avLst/>
                      </a:prstGeom>
                    </wps:spPr>
                    <wps:txbx>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410004pt;margin-top:730.255981pt;width:24.45pt;height:13.05pt;mso-position-horizontal-relative:page;mso-position-vertical-relative:page;z-index:-18329088" type="#_x0000_t202" id="docshape1" filled="false" stroked="false">
              <v:textbox inset="0,0,0,0">
                <w:txbxContent>
                  <w:p>
                    <w:pPr>
                      <w:spacing w:line="245" w:lineRule="exact" w:before="0"/>
                      <w:ind w:left="60" w:right="0" w:firstLine="0"/>
                      <w:jc w:val="left"/>
                      <w:rPr>
                        <w:rFonts w:ascii="Calibri"/>
                        <w:sz w:val="22"/>
                      </w:rPr>
                    </w:pP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xviii</w:t>
                    </w:r>
                    <w:r>
                      <w:rPr>
                        <w:rFonts w:ascii="Calibri"/>
                        <w:spacing w:val="-2"/>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987904">
              <wp:simplePos x="0" y="0"/>
              <wp:positionH relativeFrom="page">
                <wp:posOffset>3777107</wp:posOffset>
              </wp:positionH>
              <wp:positionV relativeFrom="page">
                <wp:posOffset>9274250</wp:posOffset>
              </wp:positionV>
              <wp:extent cx="23241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7.410004pt;margin-top:730.255981pt;width:18.3pt;height:13.05pt;mso-position-horizontal-relative:page;mso-position-vertical-relative:page;z-index:-18328576"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6"/>
      <w:numFmt w:val="decimal"/>
      <w:lvlText w:val="%1"/>
      <w:lvlJc w:val="left"/>
      <w:pPr>
        <w:ind w:left="3571" w:hanging="360"/>
        <w:jc w:val="left"/>
      </w:pPr>
      <w:rPr>
        <w:rFonts w:hint="default"/>
        <w:lang w:val="en-US" w:eastAsia="en-US" w:bidi="ar-SA"/>
      </w:rPr>
    </w:lvl>
    <w:lvl w:ilvl="1">
      <w:start w:val="0"/>
      <w:numFmt w:val="decimal"/>
      <w:lvlText w:val="%1.%2"/>
      <w:lvlJc w:val="left"/>
      <w:pPr>
        <w:ind w:left="3571"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264" w:hanging="360"/>
      </w:pPr>
      <w:rPr>
        <w:rFonts w:hint="default"/>
        <w:lang w:val="en-US" w:eastAsia="en-US" w:bidi="ar-SA"/>
      </w:rPr>
    </w:lvl>
    <w:lvl w:ilvl="3">
      <w:start w:val="0"/>
      <w:numFmt w:val="bullet"/>
      <w:lvlText w:val="•"/>
      <w:lvlJc w:val="left"/>
      <w:pPr>
        <w:ind w:left="6106" w:hanging="360"/>
      </w:pPr>
      <w:rPr>
        <w:rFonts w:hint="default"/>
        <w:lang w:val="en-US" w:eastAsia="en-US" w:bidi="ar-SA"/>
      </w:rPr>
    </w:lvl>
    <w:lvl w:ilvl="4">
      <w:start w:val="0"/>
      <w:numFmt w:val="bullet"/>
      <w:lvlText w:val="•"/>
      <w:lvlJc w:val="left"/>
      <w:pPr>
        <w:ind w:left="6948" w:hanging="360"/>
      </w:pPr>
      <w:rPr>
        <w:rFonts w:hint="default"/>
        <w:lang w:val="en-US" w:eastAsia="en-US" w:bidi="ar-SA"/>
      </w:rPr>
    </w:lvl>
    <w:lvl w:ilvl="5">
      <w:start w:val="0"/>
      <w:numFmt w:val="bullet"/>
      <w:lvlText w:val="•"/>
      <w:lvlJc w:val="left"/>
      <w:pPr>
        <w:ind w:left="7790" w:hanging="360"/>
      </w:pPr>
      <w:rPr>
        <w:rFonts w:hint="default"/>
        <w:lang w:val="en-US" w:eastAsia="en-US" w:bidi="ar-SA"/>
      </w:rPr>
    </w:lvl>
    <w:lvl w:ilvl="6">
      <w:start w:val="0"/>
      <w:numFmt w:val="bullet"/>
      <w:lvlText w:val="•"/>
      <w:lvlJc w:val="left"/>
      <w:pPr>
        <w:ind w:left="8632" w:hanging="360"/>
      </w:pPr>
      <w:rPr>
        <w:rFonts w:hint="default"/>
        <w:lang w:val="en-US" w:eastAsia="en-US" w:bidi="ar-SA"/>
      </w:rPr>
    </w:lvl>
    <w:lvl w:ilvl="7">
      <w:start w:val="0"/>
      <w:numFmt w:val="bullet"/>
      <w:lvlText w:val="•"/>
      <w:lvlJc w:val="left"/>
      <w:pPr>
        <w:ind w:left="9474" w:hanging="360"/>
      </w:pPr>
      <w:rPr>
        <w:rFonts w:hint="default"/>
        <w:lang w:val="en-US" w:eastAsia="en-US" w:bidi="ar-SA"/>
      </w:rPr>
    </w:lvl>
    <w:lvl w:ilvl="8">
      <w:start w:val="0"/>
      <w:numFmt w:val="bullet"/>
      <w:lvlText w:val="•"/>
      <w:lvlJc w:val="left"/>
      <w:pPr>
        <w:ind w:left="10316" w:hanging="360"/>
      </w:pPr>
      <w:rPr>
        <w:rFonts w:hint="default"/>
        <w:lang w:val="en-US" w:eastAsia="en-US" w:bidi="ar-SA"/>
      </w:rPr>
    </w:lvl>
  </w:abstractNum>
  <w:abstractNum w:abstractNumId="13">
    <w:multiLevelType w:val="hybridMultilevel"/>
    <w:lvl w:ilvl="0">
      <w:start w:val="4"/>
      <w:numFmt w:val="decimal"/>
      <w:lvlText w:val="%1"/>
      <w:lvlJc w:val="left"/>
      <w:pPr>
        <w:ind w:left="5513" w:hanging="360"/>
        <w:jc w:val="left"/>
      </w:pPr>
      <w:rPr>
        <w:rFonts w:hint="default"/>
        <w:lang w:val="en-US" w:eastAsia="en-US" w:bidi="ar-SA"/>
      </w:rPr>
    </w:lvl>
    <w:lvl w:ilvl="1">
      <w:start w:val="0"/>
      <w:numFmt w:val="decimal"/>
      <w:lvlText w:val="%1.%2"/>
      <w:lvlJc w:val="left"/>
      <w:pPr>
        <w:ind w:left="5513"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00" w:hanging="481"/>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0"/>
      <w:numFmt w:val="bullet"/>
      <w:lvlText w:val="•"/>
      <w:lvlJc w:val="left"/>
      <w:pPr>
        <w:ind w:left="6330" w:hanging="481"/>
      </w:pPr>
      <w:rPr>
        <w:rFonts w:hint="default"/>
        <w:lang w:val="en-US" w:eastAsia="en-US" w:bidi="ar-SA"/>
      </w:rPr>
    </w:lvl>
    <w:lvl w:ilvl="4">
      <w:start w:val="0"/>
      <w:numFmt w:val="bullet"/>
      <w:lvlText w:val="•"/>
      <w:lvlJc w:val="left"/>
      <w:pPr>
        <w:ind w:left="7140" w:hanging="481"/>
      </w:pPr>
      <w:rPr>
        <w:rFonts w:hint="default"/>
        <w:lang w:val="en-US" w:eastAsia="en-US" w:bidi="ar-SA"/>
      </w:rPr>
    </w:lvl>
    <w:lvl w:ilvl="5">
      <w:start w:val="0"/>
      <w:numFmt w:val="bullet"/>
      <w:lvlText w:val="•"/>
      <w:lvlJc w:val="left"/>
      <w:pPr>
        <w:ind w:left="7950" w:hanging="481"/>
      </w:pPr>
      <w:rPr>
        <w:rFonts w:hint="default"/>
        <w:lang w:val="en-US" w:eastAsia="en-US" w:bidi="ar-SA"/>
      </w:rPr>
    </w:lvl>
    <w:lvl w:ilvl="6">
      <w:start w:val="0"/>
      <w:numFmt w:val="bullet"/>
      <w:lvlText w:val="•"/>
      <w:lvlJc w:val="left"/>
      <w:pPr>
        <w:ind w:left="8760" w:hanging="481"/>
      </w:pPr>
      <w:rPr>
        <w:rFonts w:hint="default"/>
        <w:lang w:val="en-US" w:eastAsia="en-US" w:bidi="ar-SA"/>
      </w:rPr>
    </w:lvl>
    <w:lvl w:ilvl="7">
      <w:start w:val="0"/>
      <w:numFmt w:val="bullet"/>
      <w:lvlText w:val="•"/>
      <w:lvlJc w:val="left"/>
      <w:pPr>
        <w:ind w:left="9570" w:hanging="481"/>
      </w:pPr>
      <w:rPr>
        <w:rFonts w:hint="default"/>
        <w:lang w:val="en-US" w:eastAsia="en-US" w:bidi="ar-SA"/>
      </w:rPr>
    </w:lvl>
    <w:lvl w:ilvl="8">
      <w:start w:val="0"/>
      <w:numFmt w:val="bullet"/>
      <w:lvlText w:val="•"/>
      <w:lvlJc w:val="left"/>
      <w:pPr>
        <w:ind w:left="10380" w:hanging="481"/>
      </w:pPr>
      <w:rPr>
        <w:rFonts w:hint="default"/>
        <w:lang w:val="en-US" w:eastAsia="en-US" w:bidi="ar-SA"/>
      </w:rPr>
    </w:lvl>
  </w:abstractNum>
  <w:abstractNum w:abstractNumId="12">
    <w:multiLevelType w:val="hybridMultilevel"/>
    <w:lvl w:ilvl="0">
      <w:start w:val="3"/>
      <w:numFmt w:val="decimal"/>
      <w:lvlText w:val="%1"/>
      <w:lvlJc w:val="left"/>
      <w:pPr>
        <w:ind w:left="1741" w:hanging="541"/>
        <w:jc w:val="left"/>
      </w:pPr>
      <w:rPr>
        <w:rFonts w:hint="default"/>
        <w:lang w:val="en-US" w:eastAsia="en-US" w:bidi="ar-SA"/>
      </w:rPr>
    </w:lvl>
    <w:lvl w:ilvl="1">
      <w:start w:val="2"/>
      <w:numFmt w:val="decimal"/>
      <w:lvlText w:val="%1.%2"/>
      <w:lvlJc w:val="left"/>
      <w:pPr>
        <w:ind w:left="1741" w:hanging="541"/>
        <w:jc w:val="left"/>
      </w:pPr>
      <w:rPr>
        <w:rFonts w:hint="default"/>
        <w:lang w:val="en-US" w:eastAsia="en-US" w:bidi="ar-SA"/>
      </w:rPr>
    </w:lvl>
    <w:lvl w:ilvl="2">
      <w:start w:val="8"/>
      <w:numFmt w:val="decimal"/>
      <w:lvlText w:val="%1.%2.%3."/>
      <w:lvlJc w:val="left"/>
      <w:pPr>
        <w:ind w:left="1741" w:hanging="541"/>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1"/>
      <w:numFmt w:val="decimal"/>
      <w:lvlText w:val="%1.%2.%3.%4"/>
      <w:lvlJc w:val="left"/>
      <w:pPr>
        <w:ind w:left="1920" w:hanging="720"/>
        <w:jc w:val="left"/>
      </w:pPr>
      <w:rPr>
        <w:rFonts w:hint="default" w:ascii="Times New Roman" w:hAnsi="Times New Roman" w:eastAsia="Times New Roman" w:cs="Times New Roman"/>
        <w:b w:val="0"/>
        <w:bCs w:val="0"/>
        <w:i/>
        <w:iCs/>
        <w:spacing w:val="0"/>
        <w:w w:val="96"/>
        <w:sz w:val="24"/>
        <w:szCs w:val="24"/>
        <w:lang w:val="en-US" w:eastAsia="en-US" w:bidi="ar-SA"/>
      </w:rPr>
    </w:lvl>
    <w:lvl w:ilvl="4">
      <w:start w:val="0"/>
      <w:numFmt w:val="bullet"/>
      <w:lvlText w:val="•"/>
      <w:lvlJc w:val="left"/>
      <w:pPr>
        <w:ind w:left="5280" w:hanging="720"/>
      </w:pPr>
      <w:rPr>
        <w:rFonts w:hint="default"/>
        <w:lang w:val="en-US" w:eastAsia="en-US" w:bidi="ar-SA"/>
      </w:rPr>
    </w:lvl>
    <w:lvl w:ilvl="5">
      <w:start w:val="0"/>
      <w:numFmt w:val="bullet"/>
      <w:lvlText w:val="•"/>
      <w:lvlJc w:val="left"/>
      <w:pPr>
        <w:ind w:left="6400" w:hanging="720"/>
      </w:pPr>
      <w:rPr>
        <w:rFonts w:hint="default"/>
        <w:lang w:val="en-US" w:eastAsia="en-US" w:bidi="ar-SA"/>
      </w:rPr>
    </w:lvl>
    <w:lvl w:ilvl="6">
      <w:start w:val="0"/>
      <w:numFmt w:val="bullet"/>
      <w:lvlText w:val="•"/>
      <w:lvlJc w:val="left"/>
      <w:pPr>
        <w:ind w:left="7520" w:hanging="720"/>
      </w:pPr>
      <w:rPr>
        <w:rFonts w:hint="default"/>
        <w:lang w:val="en-US" w:eastAsia="en-US" w:bidi="ar-SA"/>
      </w:rPr>
    </w:lvl>
    <w:lvl w:ilvl="7">
      <w:start w:val="0"/>
      <w:numFmt w:val="bullet"/>
      <w:lvlText w:val="•"/>
      <w:lvlJc w:val="left"/>
      <w:pPr>
        <w:ind w:left="8640" w:hanging="720"/>
      </w:pPr>
      <w:rPr>
        <w:rFonts w:hint="default"/>
        <w:lang w:val="en-US" w:eastAsia="en-US" w:bidi="ar-SA"/>
      </w:rPr>
    </w:lvl>
    <w:lvl w:ilvl="8">
      <w:start w:val="0"/>
      <w:numFmt w:val="bullet"/>
      <w:lvlText w:val="•"/>
      <w:lvlJc w:val="left"/>
      <w:pPr>
        <w:ind w:left="9760" w:hanging="720"/>
      </w:pPr>
      <w:rPr>
        <w:rFonts w:hint="default"/>
        <w:lang w:val="en-US" w:eastAsia="en-US" w:bidi="ar-SA"/>
      </w:rPr>
    </w:lvl>
  </w:abstractNum>
  <w:abstractNum w:abstractNumId="11">
    <w:multiLevelType w:val="hybridMultilevel"/>
    <w:lvl w:ilvl="0">
      <w:start w:val="3"/>
      <w:numFmt w:val="decimal"/>
      <w:lvlText w:val="%1"/>
      <w:lvlJc w:val="left"/>
      <w:pPr>
        <w:ind w:left="4400" w:hanging="360"/>
        <w:jc w:val="left"/>
      </w:pPr>
      <w:rPr>
        <w:rFonts w:hint="default"/>
        <w:lang w:val="en-US" w:eastAsia="en-US" w:bidi="ar-SA"/>
      </w:rPr>
    </w:lvl>
    <w:lvl w:ilvl="1">
      <w:start w:val="0"/>
      <w:numFmt w:val="decimal"/>
      <w:lvlText w:val="%1.%2"/>
      <w:lvlJc w:val="left"/>
      <w:pPr>
        <w:ind w:left="4400" w:hanging="360"/>
        <w:jc w:val="right"/>
      </w:pPr>
      <w:rPr>
        <w:rFonts w:hint="default" w:ascii="Times New Roman" w:hAnsi="Times New Roman" w:eastAsia="Times New Roman" w:cs="Times New Roman"/>
        <w:b/>
        <w:bCs/>
        <w:i w:val="0"/>
        <w:iCs w:val="0"/>
        <w:spacing w:val="0"/>
        <w:w w:val="93"/>
        <w:sz w:val="24"/>
        <w:szCs w:val="24"/>
        <w:lang w:val="en-US" w:eastAsia="en-US" w:bidi="ar-SA"/>
      </w:rPr>
    </w:lvl>
    <w:lvl w:ilvl="2">
      <w:start w:val="1"/>
      <w:numFmt w:val="decimal"/>
      <w:lvlText w:val="%1.%2.%3"/>
      <w:lvlJc w:val="left"/>
      <w:pPr>
        <w:ind w:left="1681" w:hanging="481"/>
        <w:jc w:val="left"/>
      </w:pPr>
      <w:rPr>
        <w:rFonts w:hint="default"/>
        <w:spacing w:val="0"/>
        <w:w w:val="95"/>
        <w:lang w:val="en-US" w:eastAsia="en-US" w:bidi="ar-SA"/>
      </w:rPr>
    </w:lvl>
    <w:lvl w:ilvl="3">
      <w:start w:val="1"/>
      <w:numFmt w:val="decimal"/>
      <w:lvlText w:val="%1.%2.%3.%4"/>
      <w:lvlJc w:val="left"/>
      <w:pPr>
        <w:ind w:left="1200" w:hanging="661"/>
        <w:jc w:val="left"/>
      </w:pPr>
      <w:rPr>
        <w:rFonts w:hint="default" w:ascii="Times New Roman" w:hAnsi="Times New Roman" w:eastAsia="Times New Roman" w:cs="Times New Roman"/>
        <w:b w:val="0"/>
        <w:bCs w:val="0"/>
        <w:i/>
        <w:iCs/>
        <w:spacing w:val="-1"/>
        <w:w w:val="100"/>
        <w:sz w:val="22"/>
        <w:szCs w:val="22"/>
        <w:lang w:val="en-US" w:eastAsia="en-US" w:bidi="ar-SA"/>
      </w:rPr>
    </w:lvl>
    <w:lvl w:ilvl="4">
      <w:start w:val="0"/>
      <w:numFmt w:val="bullet"/>
      <w:lvlText w:val="•"/>
      <w:lvlJc w:val="left"/>
      <w:pPr>
        <w:ind w:left="1920" w:hanging="661"/>
      </w:pPr>
      <w:rPr>
        <w:rFonts w:hint="default"/>
        <w:lang w:val="en-US" w:eastAsia="en-US" w:bidi="ar-SA"/>
      </w:rPr>
    </w:lvl>
    <w:lvl w:ilvl="5">
      <w:start w:val="0"/>
      <w:numFmt w:val="bullet"/>
      <w:lvlText w:val="•"/>
      <w:lvlJc w:val="left"/>
      <w:pPr>
        <w:ind w:left="4400" w:hanging="661"/>
      </w:pPr>
      <w:rPr>
        <w:rFonts w:hint="default"/>
        <w:lang w:val="en-US" w:eastAsia="en-US" w:bidi="ar-SA"/>
      </w:rPr>
    </w:lvl>
    <w:lvl w:ilvl="6">
      <w:start w:val="0"/>
      <w:numFmt w:val="bullet"/>
      <w:lvlText w:val="•"/>
      <w:lvlJc w:val="left"/>
      <w:pPr>
        <w:ind w:left="5920" w:hanging="661"/>
      </w:pPr>
      <w:rPr>
        <w:rFonts w:hint="default"/>
        <w:lang w:val="en-US" w:eastAsia="en-US" w:bidi="ar-SA"/>
      </w:rPr>
    </w:lvl>
    <w:lvl w:ilvl="7">
      <w:start w:val="0"/>
      <w:numFmt w:val="bullet"/>
      <w:lvlText w:val="•"/>
      <w:lvlJc w:val="left"/>
      <w:pPr>
        <w:ind w:left="7440" w:hanging="661"/>
      </w:pPr>
      <w:rPr>
        <w:rFonts w:hint="default"/>
        <w:lang w:val="en-US" w:eastAsia="en-US" w:bidi="ar-SA"/>
      </w:rPr>
    </w:lvl>
    <w:lvl w:ilvl="8">
      <w:start w:val="0"/>
      <w:numFmt w:val="bullet"/>
      <w:lvlText w:val="•"/>
      <w:lvlJc w:val="left"/>
      <w:pPr>
        <w:ind w:left="8960" w:hanging="661"/>
      </w:pPr>
      <w:rPr>
        <w:rFonts w:hint="default"/>
        <w:lang w:val="en-US" w:eastAsia="en-US" w:bidi="ar-SA"/>
      </w:rPr>
    </w:lvl>
  </w:abstractNum>
  <w:abstractNum w:abstractNumId="10">
    <w:multiLevelType w:val="hybridMultilevel"/>
    <w:lvl w:ilvl="0">
      <w:start w:val="2"/>
      <w:numFmt w:val="decimal"/>
      <w:lvlText w:val="%1"/>
      <w:lvlJc w:val="left"/>
      <w:pPr>
        <w:ind w:left="1741" w:hanging="481"/>
        <w:jc w:val="left"/>
      </w:pPr>
      <w:rPr>
        <w:rFonts w:hint="default"/>
        <w:lang w:val="en-US" w:eastAsia="en-US" w:bidi="ar-SA"/>
      </w:rPr>
    </w:lvl>
    <w:lvl w:ilvl="1">
      <w:start w:val="4"/>
      <w:numFmt w:val="decimal"/>
      <w:lvlText w:val="%1.%2"/>
      <w:lvlJc w:val="left"/>
      <w:pPr>
        <w:ind w:left="1741" w:hanging="481"/>
        <w:jc w:val="left"/>
      </w:pPr>
      <w:rPr>
        <w:rFonts w:hint="default"/>
        <w:lang w:val="en-US" w:eastAsia="en-US" w:bidi="ar-SA"/>
      </w:rPr>
    </w:lvl>
    <w:lvl w:ilvl="2">
      <w:start w:val="2"/>
      <w:numFmt w:val="decimal"/>
      <w:lvlText w:val="%1.%2.%3"/>
      <w:lvlJc w:val="left"/>
      <w:pPr>
        <w:ind w:left="1741" w:hanging="481"/>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0"/>
      <w:numFmt w:val="bullet"/>
      <w:lvlText w:val="•"/>
      <w:lvlJc w:val="left"/>
      <w:pPr>
        <w:ind w:left="4818" w:hanging="481"/>
      </w:pPr>
      <w:rPr>
        <w:rFonts w:hint="default"/>
        <w:lang w:val="en-US" w:eastAsia="en-US" w:bidi="ar-SA"/>
      </w:rPr>
    </w:lvl>
    <w:lvl w:ilvl="4">
      <w:start w:val="0"/>
      <w:numFmt w:val="bullet"/>
      <w:lvlText w:val="•"/>
      <w:lvlJc w:val="left"/>
      <w:pPr>
        <w:ind w:left="5844" w:hanging="481"/>
      </w:pPr>
      <w:rPr>
        <w:rFonts w:hint="default"/>
        <w:lang w:val="en-US" w:eastAsia="en-US" w:bidi="ar-SA"/>
      </w:rPr>
    </w:lvl>
    <w:lvl w:ilvl="5">
      <w:start w:val="0"/>
      <w:numFmt w:val="bullet"/>
      <w:lvlText w:val="•"/>
      <w:lvlJc w:val="left"/>
      <w:pPr>
        <w:ind w:left="6870" w:hanging="481"/>
      </w:pPr>
      <w:rPr>
        <w:rFonts w:hint="default"/>
        <w:lang w:val="en-US" w:eastAsia="en-US" w:bidi="ar-SA"/>
      </w:rPr>
    </w:lvl>
    <w:lvl w:ilvl="6">
      <w:start w:val="0"/>
      <w:numFmt w:val="bullet"/>
      <w:lvlText w:val="•"/>
      <w:lvlJc w:val="left"/>
      <w:pPr>
        <w:ind w:left="7896" w:hanging="481"/>
      </w:pPr>
      <w:rPr>
        <w:rFonts w:hint="default"/>
        <w:lang w:val="en-US" w:eastAsia="en-US" w:bidi="ar-SA"/>
      </w:rPr>
    </w:lvl>
    <w:lvl w:ilvl="7">
      <w:start w:val="0"/>
      <w:numFmt w:val="bullet"/>
      <w:lvlText w:val="•"/>
      <w:lvlJc w:val="left"/>
      <w:pPr>
        <w:ind w:left="8922" w:hanging="481"/>
      </w:pPr>
      <w:rPr>
        <w:rFonts w:hint="default"/>
        <w:lang w:val="en-US" w:eastAsia="en-US" w:bidi="ar-SA"/>
      </w:rPr>
    </w:lvl>
    <w:lvl w:ilvl="8">
      <w:start w:val="0"/>
      <w:numFmt w:val="bullet"/>
      <w:lvlText w:val="•"/>
      <w:lvlJc w:val="left"/>
      <w:pPr>
        <w:ind w:left="9948" w:hanging="481"/>
      </w:pPr>
      <w:rPr>
        <w:rFonts w:hint="default"/>
        <w:lang w:val="en-US" w:eastAsia="en-US" w:bidi="ar-SA"/>
      </w:rPr>
    </w:lvl>
  </w:abstractNum>
  <w:abstractNum w:abstractNumId="9">
    <w:multiLevelType w:val="hybridMultilevel"/>
    <w:lvl w:ilvl="0">
      <w:start w:val="2"/>
      <w:numFmt w:val="decimal"/>
      <w:lvlText w:val="%1"/>
      <w:lvlJc w:val="left"/>
      <w:pPr>
        <w:ind w:left="4856" w:hanging="360"/>
        <w:jc w:val="left"/>
      </w:pPr>
      <w:rPr>
        <w:rFonts w:hint="default"/>
        <w:lang w:val="en-US" w:eastAsia="en-US" w:bidi="ar-SA"/>
      </w:rPr>
    </w:lvl>
    <w:lvl w:ilvl="1">
      <w:start w:val="3"/>
      <w:numFmt w:val="decimal"/>
      <w:lvlText w:val="%1.%2"/>
      <w:lvlJc w:val="left"/>
      <w:pPr>
        <w:ind w:left="4856"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4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920"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6645" w:hanging="720"/>
      </w:pPr>
      <w:rPr>
        <w:rFonts w:hint="default"/>
        <w:lang w:val="en-US" w:eastAsia="en-US" w:bidi="ar-SA"/>
      </w:rPr>
    </w:lvl>
    <w:lvl w:ilvl="5">
      <w:start w:val="0"/>
      <w:numFmt w:val="bullet"/>
      <w:lvlText w:val="•"/>
      <w:lvlJc w:val="left"/>
      <w:pPr>
        <w:ind w:left="7537" w:hanging="720"/>
      </w:pPr>
      <w:rPr>
        <w:rFonts w:hint="default"/>
        <w:lang w:val="en-US" w:eastAsia="en-US" w:bidi="ar-SA"/>
      </w:rPr>
    </w:lvl>
    <w:lvl w:ilvl="6">
      <w:start w:val="0"/>
      <w:numFmt w:val="bullet"/>
      <w:lvlText w:val="•"/>
      <w:lvlJc w:val="left"/>
      <w:pPr>
        <w:ind w:left="8430" w:hanging="720"/>
      </w:pPr>
      <w:rPr>
        <w:rFonts w:hint="default"/>
        <w:lang w:val="en-US" w:eastAsia="en-US" w:bidi="ar-SA"/>
      </w:rPr>
    </w:lvl>
    <w:lvl w:ilvl="7">
      <w:start w:val="0"/>
      <w:numFmt w:val="bullet"/>
      <w:lvlText w:val="•"/>
      <w:lvlJc w:val="left"/>
      <w:pPr>
        <w:ind w:left="9322" w:hanging="720"/>
      </w:pPr>
      <w:rPr>
        <w:rFonts w:hint="default"/>
        <w:lang w:val="en-US" w:eastAsia="en-US" w:bidi="ar-SA"/>
      </w:rPr>
    </w:lvl>
    <w:lvl w:ilvl="8">
      <w:start w:val="0"/>
      <w:numFmt w:val="bullet"/>
      <w:lvlText w:val="•"/>
      <w:lvlJc w:val="left"/>
      <w:pPr>
        <w:ind w:left="10215" w:hanging="720"/>
      </w:pPr>
      <w:rPr>
        <w:rFonts w:hint="default"/>
        <w:lang w:val="en-US" w:eastAsia="en-US" w:bidi="ar-SA"/>
      </w:rPr>
    </w:lvl>
  </w:abstractNum>
  <w:abstractNum w:abstractNumId="8">
    <w:multiLevelType w:val="hybridMultilevel"/>
    <w:lvl w:ilvl="0">
      <w:start w:val="2"/>
      <w:numFmt w:val="decimal"/>
      <w:lvlText w:val="%1"/>
      <w:lvlJc w:val="left"/>
      <w:pPr>
        <w:ind w:left="4736" w:hanging="360"/>
        <w:jc w:val="left"/>
      </w:pPr>
      <w:rPr>
        <w:rFonts w:hint="default"/>
        <w:lang w:val="en-US" w:eastAsia="en-US" w:bidi="ar-SA"/>
      </w:rPr>
    </w:lvl>
    <w:lvl w:ilvl="1">
      <w:start w:val="0"/>
      <w:numFmt w:val="decimal"/>
      <w:lvlText w:val="%1.%2"/>
      <w:lvlJc w:val="left"/>
      <w:pPr>
        <w:ind w:left="4736"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4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6353" w:hanging="540"/>
      </w:pPr>
      <w:rPr>
        <w:rFonts w:hint="default"/>
        <w:lang w:val="en-US" w:eastAsia="en-US" w:bidi="ar-SA"/>
      </w:rPr>
    </w:lvl>
    <w:lvl w:ilvl="4">
      <w:start w:val="0"/>
      <w:numFmt w:val="bullet"/>
      <w:lvlText w:val="•"/>
      <w:lvlJc w:val="left"/>
      <w:pPr>
        <w:ind w:left="7160" w:hanging="540"/>
      </w:pPr>
      <w:rPr>
        <w:rFonts w:hint="default"/>
        <w:lang w:val="en-US" w:eastAsia="en-US" w:bidi="ar-SA"/>
      </w:rPr>
    </w:lvl>
    <w:lvl w:ilvl="5">
      <w:start w:val="0"/>
      <w:numFmt w:val="bullet"/>
      <w:lvlText w:val="•"/>
      <w:lvlJc w:val="left"/>
      <w:pPr>
        <w:ind w:left="7966" w:hanging="540"/>
      </w:pPr>
      <w:rPr>
        <w:rFonts w:hint="default"/>
        <w:lang w:val="en-US" w:eastAsia="en-US" w:bidi="ar-SA"/>
      </w:rPr>
    </w:lvl>
    <w:lvl w:ilvl="6">
      <w:start w:val="0"/>
      <w:numFmt w:val="bullet"/>
      <w:lvlText w:val="•"/>
      <w:lvlJc w:val="left"/>
      <w:pPr>
        <w:ind w:left="8773" w:hanging="540"/>
      </w:pPr>
      <w:rPr>
        <w:rFonts w:hint="default"/>
        <w:lang w:val="en-US" w:eastAsia="en-US" w:bidi="ar-SA"/>
      </w:rPr>
    </w:lvl>
    <w:lvl w:ilvl="7">
      <w:start w:val="0"/>
      <w:numFmt w:val="bullet"/>
      <w:lvlText w:val="•"/>
      <w:lvlJc w:val="left"/>
      <w:pPr>
        <w:ind w:left="9580" w:hanging="540"/>
      </w:pPr>
      <w:rPr>
        <w:rFonts w:hint="default"/>
        <w:lang w:val="en-US" w:eastAsia="en-US" w:bidi="ar-SA"/>
      </w:rPr>
    </w:lvl>
    <w:lvl w:ilvl="8">
      <w:start w:val="0"/>
      <w:numFmt w:val="bullet"/>
      <w:lvlText w:val="•"/>
      <w:lvlJc w:val="left"/>
      <w:pPr>
        <w:ind w:left="10386" w:hanging="540"/>
      </w:pPr>
      <w:rPr>
        <w:rFonts w:hint="default"/>
        <w:lang w:val="en-US" w:eastAsia="en-US" w:bidi="ar-SA"/>
      </w:rPr>
    </w:lvl>
  </w:abstractNum>
  <w:abstractNum w:abstractNumId="7">
    <w:multiLevelType w:val="hybridMultilevel"/>
    <w:lvl w:ilvl="0">
      <w:start w:val="1"/>
      <w:numFmt w:val="decimal"/>
      <w:lvlText w:val="(%1)"/>
      <w:lvlJc w:val="left"/>
      <w:pPr>
        <w:ind w:left="1538" w:hanging="33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86" w:hanging="339"/>
      </w:pPr>
      <w:rPr>
        <w:rFonts w:hint="default"/>
        <w:lang w:val="en-US" w:eastAsia="en-US" w:bidi="ar-SA"/>
      </w:rPr>
    </w:lvl>
    <w:lvl w:ilvl="2">
      <w:start w:val="0"/>
      <w:numFmt w:val="bullet"/>
      <w:lvlText w:val="•"/>
      <w:lvlJc w:val="left"/>
      <w:pPr>
        <w:ind w:left="3632" w:hanging="339"/>
      </w:pPr>
      <w:rPr>
        <w:rFonts w:hint="default"/>
        <w:lang w:val="en-US" w:eastAsia="en-US" w:bidi="ar-SA"/>
      </w:rPr>
    </w:lvl>
    <w:lvl w:ilvl="3">
      <w:start w:val="0"/>
      <w:numFmt w:val="bullet"/>
      <w:lvlText w:val="•"/>
      <w:lvlJc w:val="left"/>
      <w:pPr>
        <w:ind w:left="4678" w:hanging="339"/>
      </w:pPr>
      <w:rPr>
        <w:rFonts w:hint="default"/>
        <w:lang w:val="en-US" w:eastAsia="en-US" w:bidi="ar-SA"/>
      </w:rPr>
    </w:lvl>
    <w:lvl w:ilvl="4">
      <w:start w:val="0"/>
      <w:numFmt w:val="bullet"/>
      <w:lvlText w:val="•"/>
      <w:lvlJc w:val="left"/>
      <w:pPr>
        <w:ind w:left="5724" w:hanging="339"/>
      </w:pPr>
      <w:rPr>
        <w:rFonts w:hint="default"/>
        <w:lang w:val="en-US" w:eastAsia="en-US" w:bidi="ar-SA"/>
      </w:rPr>
    </w:lvl>
    <w:lvl w:ilvl="5">
      <w:start w:val="0"/>
      <w:numFmt w:val="bullet"/>
      <w:lvlText w:val="•"/>
      <w:lvlJc w:val="left"/>
      <w:pPr>
        <w:ind w:left="6770" w:hanging="339"/>
      </w:pPr>
      <w:rPr>
        <w:rFonts w:hint="default"/>
        <w:lang w:val="en-US" w:eastAsia="en-US" w:bidi="ar-SA"/>
      </w:rPr>
    </w:lvl>
    <w:lvl w:ilvl="6">
      <w:start w:val="0"/>
      <w:numFmt w:val="bullet"/>
      <w:lvlText w:val="•"/>
      <w:lvlJc w:val="left"/>
      <w:pPr>
        <w:ind w:left="7816" w:hanging="339"/>
      </w:pPr>
      <w:rPr>
        <w:rFonts w:hint="default"/>
        <w:lang w:val="en-US" w:eastAsia="en-US" w:bidi="ar-SA"/>
      </w:rPr>
    </w:lvl>
    <w:lvl w:ilvl="7">
      <w:start w:val="0"/>
      <w:numFmt w:val="bullet"/>
      <w:lvlText w:val="•"/>
      <w:lvlJc w:val="left"/>
      <w:pPr>
        <w:ind w:left="8862" w:hanging="339"/>
      </w:pPr>
      <w:rPr>
        <w:rFonts w:hint="default"/>
        <w:lang w:val="en-US" w:eastAsia="en-US" w:bidi="ar-SA"/>
      </w:rPr>
    </w:lvl>
    <w:lvl w:ilvl="8">
      <w:start w:val="0"/>
      <w:numFmt w:val="bullet"/>
      <w:lvlText w:val="•"/>
      <w:lvlJc w:val="left"/>
      <w:pPr>
        <w:ind w:left="9908" w:hanging="339"/>
      </w:pPr>
      <w:rPr>
        <w:rFonts w:hint="default"/>
        <w:lang w:val="en-US" w:eastAsia="en-US" w:bidi="ar-SA"/>
      </w:rPr>
    </w:lvl>
  </w:abstractNum>
  <w:abstractNum w:abstractNumId="6">
    <w:multiLevelType w:val="hybridMultilevel"/>
    <w:lvl w:ilvl="0">
      <w:start w:val="1"/>
      <w:numFmt w:val="decimal"/>
      <w:lvlText w:val="%1"/>
      <w:lvlJc w:val="left"/>
      <w:pPr>
        <w:ind w:left="4604" w:hanging="360"/>
        <w:jc w:val="left"/>
      </w:pPr>
      <w:rPr>
        <w:rFonts w:hint="default"/>
        <w:lang w:val="en-US" w:eastAsia="en-US" w:bidi="ar-SA"/>
      </w:rPr>
    </w:lvl>
    <w:lvl w:ilvl="1">
      <w:start w:val="3"/>
      <w:numFmt w:val="decimal"/>
      <w:lvlText w:val="%1.%2"/>
      <w:lvlJc w:val="left"/>
      <w:pPr>
        <w:ind w:left="4604"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4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6244" w:hanging="540"/>
      </w:pPr>
      <w:rPr>
        <w:rFonts w:hint="default"/>
        <w:lang w:val="en-US" w:eastAsia="en-US" w:bidi="ar-SA"/>
      </w:rPr>
    </w:lvl>
    <w:lvl w:ilvl="4">
      <w:start w:val="0"/>
      <w:numFmt w:val="bullet"/>
      <w:lvlText w:val="•"/>
      <w:lvlJc w:val="left"/>
      <w:pPr>
        <w:ind w:left="7066" w:hanging="540"/>
      </w:pPr>
      <w:rPr>
        <w:rFonts w:hint="default"/>
        <w:lang w:val="en-US" w:eastAsia="en-US" w:bidi="ar-SA"/>
      </w:rPr>
    </w:lvl>
    <w:lvl w:ilvl="5">
      <w:start w:val="0"/>
      <w:numFmt w:val="bullet"/>
      <w:lvlText w:val="•"/>
      <w:lvlJc w:val="left"/>
      <w:pPr>
        <w:ind w:left="7888" w:hanging="540"/>
      </w:pPr>
      <w:rPr>
        <w:rFonts w:hint="default"/>
        <w:lang w:val="en-US" w:eastAsia="en-US" w:bidi="ar-SA"/>
      </w:rPr>
    </w:lvl>
    <w:lvl w:ilvl="6">
      <w:start w:val="0"/>
      <w:numFmt w:val="bullet"/>
      <w:lvlText w:val="•"/>
      <w:lvlJc w:val="left"/>
      <w:pPr>
        <w:ind w:left="8711" w:hanging="540"/>
      </w:pPr>
      <w:rPr>
        <w:rFonts w:hint="default"/>
        <w:lang w:val="en-US" w:eastAsia="en-US" w:bidi="ar-SA"/>
      </w:rPr>
    </w:lvl>
    <w:lvl w:ilvl="7">
      <w:start w:val="0"/>
      <w:numFmt w:val="bullet"/>
      <w:lvlText w:val="•"/>
      <w:lvlJc w:val="left"/>
      <w:pPr>
        <w:ind w:left="9533" w:hanging="540"/>
      </w:pPr>
      <w:rPr>
        <w:rFonts w:hint="default"/>
        <w:lang w:val="en-US" w:eastAsia="en-US" w:bidi="ar-SA"/>
      </w:rPr>
    </w:lvl>
    <w:lvl w:ilvl="8">
      <w:start w:val="0"/>
      <w:numFmt w:val="bullet"/>
      <w:lvlText w:val="•"/>
      <w:lvlJc w:val="left"/>
      <w:pPr>
        <w:ind w:left="10355" w:hanging="540"/>
      </w:pPr>
      <w:rPr>
        <w:rFonts w:hint="default"/>
        <w:lang w:val="en-US" w:eastAsia="en-US" w:bidi="ar-SA"/>
      </w:rPr>
    </w:lvl>
  </w:abstractNum>
  <w:abstractNum w:abstractNumId="5">
    <w:multiLevelType w:val="hybridMultilevel"/>
    <w:lvl w:ilvl="0">
      <w:start w:val="1"/>
      <w:numFmt w:val="decimal"/>
      <w:lvlText w:val="%1"/>
      <w:lvlJc w:val="left"/>
      <w:pPr>
        <w:ind w:left="5101" w:hanging="360"/>
        <w:jc w:val="left"/>
      </w:pPr>
      <w:rPr>
        <w:rFonts w:hint="default"/>
        <w:lang w:val="en-US" w:eastAsia="en-US" w:bidi="ar-SA"/>
      </w:rPr>
    </w:lvl>
    <w:lvl w:ilvl="1">
      <w:start w:val="0"/>
      <w:numFmt w:val="decimal"/>
      <w:lvlText w:val="%1.%2"/>
      <w:lvlJc w:val="left"/>
      <w:pPr>
        <w:ind w:left="5101" w:hanging="360"/>
        <w:jc w:val="right"/>
      </w:pPr>
      <w:rPr>
        <w:rFonts w:hint="default" w:ascii="Times New Roman" w:hAnsi="Times New Roman" w:eastAsia="Times New Roman" w:cs="Times New Roman"/>
        <w:b/>
        <w:bCs/>
        <w:i w:val="0"/>
        <w:iCs w:val="0"/>
        <w:spacing w:val="0"/>
        <w:w w:val="93"/>
        <w:sz w:val="24"/>
        <w:szCs w:val="24"/>
        <w:lang w:val="en-US" w:eastAsia="en-US" w:bidi="ar-SA"/>
      </w:rPr>
    </w:lvl>
    <w:lvl w:ilvl="2">
      <w:start w:val="0"/>
      <w:numFmt w:val="bullet"/>
      <w:lvlText w:val="•"/>
      <w:lvlJc w:val="left"/>
      <w:pPr>
        <w:ind w:left="6480" w:hanging="360"/>
      </w:pPr>
      <w:rPr>
        <w:rFonts w:hint="default"/>
        <w:lang w:val="en-US" w:eastAsia="en-US" w:bidi="ar-SA"/>
      </w:rPr>
    </w:lvl>
    <w:lvl w:ilvl="3">
      <w:start w:val="0"/>
      <w:numFmt w:val="bullet"/>
      <w:lvlText w:val="•"/>
      <w:lvlJc w:val="left"/>
      <w:pPr>
        <w:ind w:left="7170" w:hanging="360"/>
      </w:pPr>
      <w:rPr>
        <w:rFonts w:hint="default"/>
        <w:lang w:val="en-US" w:eastAsia="en-US" w:bidi="ar-SA"/>
      </w:rPr>
    </w:lvl>
    <w:lvl w:ilvl="4">
      <w:start w:val="0"/>
      <w:numFmt w:val="bullet"/>
      <w:lvlText w:val="•"/>
      <w:lvlJc w:val="left"/>
      <w:pPr>
        <w:ind w:left="7860" w:hanging="360"/>
      </w:pPr>
      <w:rPr>
        <w:rFonts w:hint="default"/>
        <w:lang w:val="en-US" w:eastAsia="en-US" w:bidi="ar-SA"/>
      </w:rPr>
    </w:lvl>
    <w:lvl w:ilvl="5">
      <w:start w:val="0"/>
      <w:numFmt w:val="bullet"/>
      <w:lvlText w:val="•"/>
      <w:lvlJc w:val="left"/>
      <w:pPr>
        <w:ind w:left="8550" w:hanging="360"/>
      </w:pPr>
      <w:rPr>
        <w:rFonts w:hint="default"/>
        <w:lang w:val="en-US" w:eastAsia="en-US" w:bidi="ar-SA"/>
      </w:rPr>
    </w:lvl>
    <w:lvl w:ilvl="6">
      <w:start w:val="0"/>
      <w:numFmt w:val="bullet"/>
      <w:lvlText w:val="•"/>
      <w:lvlJc w:val="left"/>
      <w:pPr>
        <w:ind w:left="9240" w:hanging="360"/>
      </w:pPr>
      <w:rPr>
        <w:rFonts w:hint="default"/>
        <w:lang w:val="en-US" w:eastAsia="en-US" w:bidi="ar-SA"/>
      </w:rPr>
    </w:lvl>
    <w:lvl w:ilvl="7">
      <w:start w:val="0"/>
      <w:numFmt w:val="bullet"/>
      <w:lvlText w:val="•"/>
      <w:lvlJc w:val="left"/>
      <w:pPr>
        <w:ind w:left="9930" w:hanging="360"/>
      </w:pPr>
      <w:rPr>
        <w:rFonts w:hint="default"/>
        <w:lang w:val="en-US" w:eastAsia="en-US" w:bidi="ar-SA"/>
      </w:rPr>
    </w:lvl>
    <w:lvl w:ilvl="8">
      <w:start w:val="0"/>
      <w:numFmt w:val="bullet"/>
      <w:lvlText w:val="•"/>
      <w:lvlJc w:val="left"/>
      <w:pPr>
        <w:ind w:left="10620" w:hanging="360"/>
      </w:pPr>
      <w:rPr>
        <w:rFonts w:hint="default"/>
        <w:lang w:val="en-US" w:eastAsia="en-US" w:bidi="ar-SA"/>
      </w:rPr>
    </w:lvl>
  </w:abstractNum>
  <w:abstractNum w:abstractNumId="4">
    <w:multiLevelType w:val="hybridMultilevel"/>
    <w:lvl w:ilvl="0">
      <w:start w:val="6"/>
      <w:numFmt w:val="decimal"/>
      <w:lvlText w:val="%1"/>
      <w:lvlJc w:val="left"/>
      <w:pPr>
        <w:ind w:left="1560" w:hanging="360"/>
        <w:jc w:val="left"/>
      </w:pPr>
      <w:rPr>
        <w:rFonts w:hint="default"/>
        <w:lang w:val="en-US" w:eastAsia="en-US" w:bidi="ar-SA"/>
      </w:rPr>
    </w:lvl>
    <w:lvl w:ilvl="1">
      <w:start w:val="0"/>
      <w:numFmt w:val="decimal"/>
      <w:lvlText w:val="%1.%2"/>
      <w:lvlJc w:val="left"/>
      <w:pPr>
        <w:ind w:left="15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48" w:hanging="360"/>
      </w:pPr>
      <w:rPr>
        <w:rFonts w:hint="default"/>
        <w:lang w:val="en-US" w:eastAsia="en-US" w:bidi="ar-SA"/>
      </w:rPr>
    </w:lvl>
    <w:lvl w:ilvl="3">
      <w:start w:val="0"/>
      <w:numFmt w:val="bullet"/>
      <w:lvlText w:val="•"/>
      <w:lvlJc w:val="left"/>
      <w:pPr>
        <w:ind w:left="4692" w:hanging="360"/>
      </w:pPr>
      <w:rPr>
        <w:rFonts w:hint="default"/>
        <w:lang w:val="en-US" w:eastAsia="en-US" w:bidi="ar-SA"/>
      </w:rPr>
    </w:lvl>
    <w:lvl w:ilvl="4">
      <w:start w:val="0"/>
      <w:numFmt w:val="bullet"/>
      <w:lvlText w:val="•"/>
      <w:lvlJc w:val="left"/>
      <w:pPr>
        <w:ind w:left="5736" w:hanging="360"/>
      </w:pPr>
      <w:rPr>
        <w:rFonts w:hint="default"/>
        <w:lang w:val="en-US" w:eastAsia="en-US" w:bidi="ar-SA"/>
      </w:rPr>
    </w:lvl>
    <w:lvl w:ilvl="5">
      <w:start w:val="0"/>
      <w:numFmt w:val="bullet"/>
      <w:lvlText w:val="•"/>
      <w:lvlJc w:val="left"/>
      <w:pPr>
        <w:ind w:left="6780" w:hanging="360"/>
      </w:pPr>
      <w:rPr>
        <w:rFonts w:hint="default"/>
        <w:lang w:val="en-US" w:eastAsia="en-US" w:bidi="ar-SA"/>
      </w:rPr>
    </w:lvl>
    <w:lvl w:ilvl="6">
      <w:start w:val="0"/>
      <w:numFmt w:val="bullet"/>
      <w:lvlText w:val="•"/>
      <w:lvlJc w:val="left"/>
      <w:pPr>
        <w:ind w:left="7824" w:hanging="360"/>
      </w:pPr>
      <w:rPr>
        <w:rFonts w:hint="default"/>
        <w:lang w:val="en-US" w:eastAsia="en-US" w:bidi="ar-SA"/>
      </w:rPr>
    </w:lvl>
    <w:lvl w:ilvl="7">
      <w:start w:val="0"/>
      <w:numFmt w:val="bullet"/>
      <w:lvlText w:val="•"/>
      <w:lvlJc w:val="left"/>
      <w:pPr>
        <w:ind w:left="8868" w:hanging="360"/>
      </w:pPr>
      <w:rPr>
        <w:rFonts w:hint="default"/>
        <w:lang w:val="en-US" w:eastAsia="en-US" w:bidi="ar-SA"/>
      </w:rPr>
    </w:lvl>
    <w:lvl w:ilvl="8">
      <w:start w:val="0"/>
      <w:numFmt w:val="bullet"/>
      <w:lvlText w:val="•"/>
      <w:lvlJc w:val="left"/>
      <w:pPr>
        <w:ind w:left="9912" w:hanging="360"/>
      </w:pPr>
      <w:rPr>
        <w:rFonts w:hint="default"/>
        <w:lang w:val="en-US" w:eastAsia="en-US" w:bidi="ar-SA"/>
      </w:rPr>
    </w:lvl>
  </w:abstractNum>
  <w:abstractNum w:abstractNumId="3">
    <w:multiLevelType w:val="hybridMultilevel"/>
    <w:lvl w:ilvl="0">
      <w:start w:val="4"/>
      <w:numFmt w:val="decimal"/>
      <w:lvlText w:val="%1"/>
      <w:lvlJc w:val="left"/>
      <w:pPr>
        <w:ind w:left="1560" w:hanging="360"/>
        <w:jc w:val="left"/>
      </w:pPr>
      <w:rPr>
        <w:rFonts w:hint="default"/>
        <w:lang w:val="en-US" w:eastAsia="en-US" w:bidi="ar-SA"/>
      </w:rPr>
    </w:lvl>
    <w:lvl w:ilvl="1">
      <w:start w:val="0"/>
      <w:numFmt w:val="decimal"/>
      <w:lvlText w:val="%1.%2"/>
      <w:lvlJc w:val="left"/>
      <w:pPr>
        <w:ind w:left="1560" w:hanging="360"/>
        <w:jc w:val="left"/>
      </w:pPr>
      <w:rPr>
        <w:rFonts w:hint="default" w:ascii="Times New Roman" w:hAnsi="Times New Roman" w:eastAsia="Times New Roman" w:cs="Times New Roman"/>
        <w:b/>
        <w:bCs/>
        <w:i w:val="0"/>
        <w:iCs w:val="0"/>
        <w:spacing w:val="0"/>
        <w:w w:val="93"/>
        <w:sz w:val="24"/>
        <w:szCs w:val="24"/>
        <w:lang w:val="en-US" w:eastAsia="en-US" w:bidi="ar-SA"/>
      </w:rPr>
    </w:lvl>
    <w:lvl w:ilvl="2">
      <w:start w:val="1"/>
      <w:numFmt w:val="decimal"/>
      <w:lvlText w:val="%1.%2.%3"/>
      <w:lvlJc w:val="left"/>
      <w:pPr>
        <w:ind w:left="180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066" w:hanging="600"/>
      </w:pPr>
      <w:rPr>
        <w:rFonts w:hint="default"/>
        <w:lang w:val="en-US" w:eastAsia="en-US" w:bidi="ar-SA"/>
      </w:rPr>
    </w:lvl>
    <w:lvl w:ilvl="4">
      <w:start w:val="0"/>
      <w:numFmt w:val="bullet"/>
      <w:lvlText w:val="•"/>
      <w:lvlJc w:val="left"/>
      <w:pPr>
        <w:ind w:left="5200" w:hanging="600"/>
      </w:pPr>
      <w:rPr>
        <w:rFonts w:hint="default"/>
        <w:lang w:val="en-US" w:eastAsia="en-US" w:bidi="ar-SA"/>
      </w:rPr>
    </w:lvl>
    <w:lvl w:ilvl="5">
      <w:start w:val="0"/>
      <w:numFmt w:val="bullet"/>
      <w:lvlText w:val="•"/>
      <w:lvlJc w:val="left"/>
      <w:pPr>
        <w:ind w:left="6333" w:hanging="600"/>
      </w:pPr>
      <w:rPr>
        <w:rFonts w:hint="default"/>
        <w:lang w:val="en-US" w:eastAsia="en-US" w:bidi="ar-SA"/>
      </w:rPr>
    </w:lvl>
    <w:lvl w:ilvl="6">
      <w:start w:val="0"/>
      <w:numFmt w:val="bullet"/>
      <w:lvlText w:val="•"/>
      <w:lvlJc w:val="left"/>
      <w:pPr>
        <w:ind w:left="7466" w:hanging="600"/>
      </w:pPr>
      <w:rPr>
        <w:rFonts w:hint="default"/>
        <w:lang w:val="en-US" w:eastAsia="en-US" w:bidi="ar-SA"/>
      </w:rPr>
    </w:lvl>
    <w:lvl w:ilvl="7">
      <w:start w:val="0"/>
      <w:numFmt w:val="bullet"/>
      <w:lvlText w:val="•"/>
      <w:lvlJc w:val="left"/>
      <w:pPr>
        <w:ind w:left="8600" w:hanging="600"/>
      </w:pPr>
      <w:rPr>
        <w:rFonts w:hint="default"/>
        <w:lang w:val="en-US" w:eastAsia="en-US" w:bidi="ar-SA"/>
      </w:rPr>
    </w:lvl>
    <w:lvl w:ilvl="8">
      <w:start w:val="0"/>
      <w:numFmt w:val="bullet"/>
      <w:lvlText w:val="•"/>
      <w:lvlJc w:val="left"/>
      <w:pPr>
        <w:ind w:left="9733" w:hanging="600"/>
      </w:pPr>
      <w:rPr>
        <w:rFonts w:hint="default"/>
        <w:lang w:val="en-US" w:eastAsia="en-US" w:bidi="ar-SA"/>
      </w:rPr>
    </w:lvl>
  </w:abstractNum>
  <w:abstractNum w:abstractNumId="2">
    <w:multiLevelType w:val="hybridMultilevel"/>
    <w:lvl w:ilvl="0">
      <w:start w:val="3"/>
      <w:numFmt w:val="decimal"/>
      <w:lvlText w:val="%1"/>
      <w:lvlJc w:val="left"/>
      <w:pPr>
        <w:ind w:left="1560" w:hanging="360"/>
        <w:jc w:val="left"/>
      </w:pPr>
      <w:rPr>
        <w:rFonts w:hint="default"/>
        <w:lang w:val="en-US" w:eastAsia="en-US" w:bidi="ar-SA"/>
      </w:rPr>
    </w:lvl>
    <w:lvl w:ilvl="1">
      <w:start w:val="0"/>
      <w:numFmt w:val="decimal"/>
      <w:lvlText w:val="%1.%2"/>
      <w:lvlJc w:val="left"/>
      <w:pPr>
        <w:ind w:left="1560" w:hanging="360"/>
        <w:jc w:val="left"/>
      </w:pPr>
      <w:rPr>
        <w:rFonts w:hint="default"/>
        <w:spacing w:val="0"/>
        <w:w w:val="100"/>
        <w:lang w:val="en-US" w:eastAsia="en-US" w:bidi="ar-SA"/>
      </w:rPr>
    </w:lvl>
    <w:lvl w:ilvl="2">
      <w:start w:val="1"/>
      <w:numFmt w:val="decimal"/>
      <w:lvlText w:val="%1.%2.%3"/>
      <w:lvlJc w:val="left"/>
      <w:pPr>
        <w:ind w:left="1742" w:hanging="543"/>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3">
      <w:start w:val="0"/>
      <w:numFmt w:val="bullet"/>
      <w:lvlText w:val="•"/>
      <w:lvlJc w:val="left"/>
      <w:pPr>
        <w:ind w:left="4020" w:hanging="543"/>
      </w:pPr>
      <w:rPr>
        <w:rFonts w:hint="default"/>
        <w:lang w:val="en-US" w:eastAsia="en-US" w:bidi="ar-SA"/>
      </w:rPr>
    </w:lvl>
    <w:lvl w:ilvl="4">
      <w:start w:val="0"/>
      <w:numFmt w:val="bullet"/>
      <w:lvlText w:val="•"/>
      <w:lvlJc w:val="left"/>
      <w:pPr>
        <w:ind w:left="5160" w:hanging="543"/>
      </w:pPr>
      <w:rPr>
        <w:rFonts w:hint="default"/>
        <w:lang w:val="en-US" w:eastAsia="en-US" w:bidi="ar-SA"/>
      </w:rPr>
    </w:lvl>
    <w:lvl w:ilvl="5">
      <w:start w:val="0"/>
      <w:numFmt w:val="bullet"/>
      <w:lvlText w:val="•"/>
      <w:lvlJc w:val="left"/>
      <w:pPr>
        <w:ind w:left="6300" w:hanging="543"/>
      </w:pPr>
      <w:rPr>
        <w:rFonts w:hint="default"/>
        <w:lang w:val="en-US" w:eastAsia="en-US" w:bidi="ar-SA"/>
      </w:rPr>
    </w:lvl>
    <w:lvl w:ilvl="6">
      <w:start w:val="0"/>
      <w:numFmt w:val="bullet"/>
      <w:lvlText w:val="•"/>
      <w:lvlJc w:val="left"/>
      <w:pPr>
        <w:ind w:left="7440" w:hanging="543"/>
      </w:pPr>
      <w:rPr>
        <w:rFonts w:hint="default"/>
        <w:lang w:val="en-US" w:eastAsia="en-US" w:bidi="ar-SA"/>
      </w:rPr>
    </w:lvl>
    <w:lvl w:ilvl="7">
      <w:start w:val="0"/>
      <w:numFmt w:val="bullet"/>
      <w:lvlText w:val="•"/>
      <w:lvlJc w:val="left"/>
      <w:pPr>
        <w:ind w:left="8580" w:hanging="543"/>
      </w:pPr>
      <w:rPr>
        <w:rFonts w:hint="default"/>
        <w:lang w:val="en-US" w:eastAsia="en-US" w:bidi="ar-SA"/>
      </w:rPr>
    </w:lvl>
    <w:lvl w:ilvl="8">
      <w:start w:val="0"/>
      <w:numFmt w:val="bullet"/>
      <w:lvlText w:val="•"/>
      <w:lvlJc w:val="left"/>
      <w:pPr>
        <w:ind w:left="9720" w:hanging="543"/>
      </w:pPr>
      <w:rPr>
        <w:rFonts w:hint="default"/>
        <w:lang w:val="en-US" w:eastAsia="en-US" w:bidi="ar-SA"/>
      </w:rPr>
    </w:lvl>
  </w:abstractNum>
  <w:abstractNum w:abstractNumId="1">
    <w:multiLevelType w:val="hybridMultilevel"/>
    <w:lvl w:ilvl="0">
      <w:start w:val="2"/>
      <w:numFmt w:val="decimal"/>
      <w:lvlText w:val="%1"/>
      <w:lvlJc w:val="left"/>
      <w:pPr>
        <w:ind w:left="1560" w:hanging="360"/>
        <w:jc w:val="left"/>
      </w:pPr>
      <w:rPr>
        <w:rFonts w:hint="default"/>
        <w:lang w:val="en-US" w:eastAsia="en-US" w:bidi="ar-SA"/>
      </w:rPr>
    </w:lvl>
    <w:lvl w:ilvl="1">
      <w:start w:val="0"/>
      <w:numFmt w:val="decimal"/>
      <w:lvlText w:val="%1.%2"/>
      <w:lvlJc w:val="left"/>
      <w:pPr>
        <w:ind w:left="1560" w:hanging="360"/>
        <w:jc w:val="left"/>
      </w:pPr>
      <w:rPr>
        <w:rFonts w:hint="default" w:ascii="Times New Roman" w:hAnsi="Times New Roman" w:eastAsia="Times New Roman" w:cs="Times New Roman"/>
        <w:b/>
        <w:bCs/>
        <w:i w:val="0"/>
        <w:iCs w:val="0"/>
        <w:spacing w:val="0"/>
        <w:w w:val="93"/>
        <w:sz w:val="24"/>
        <w:szCs w:val="24"/>
        <w:lang w:val="en-US" w:eastAsia="en-US" w:bidi="ar-SA"/>
      </w:rPr>
    </w:lvl>
    <w:lvl w:ilvl="2">
      <w:start w:val="1"/>
      <w:numFmt w:val="decimal"/>
      <w:lvlText w:val="%1.%2.%3"/>
      <w:lvlJc w:val="left"/>
      <w:pPr>
        <w:ind w:left="1740" w:hanging="540"/>
        <w:jc w:val="left"/>
      </w:pPr>
      <w:rPr>
        <w:rFonts w:hint="default" w:ascii="Times New Roman" w:hAnsi="Times New Roman" w:eastAsia="Times New Roman" w:cs="Times New Roman"/>
        <w:b w:val="0"/>
        <w:bCs w:val="0"/>
        <w:i w:val="0"/>
        <w:iCs w:val="0"/>
        <w:spacing w:val="0"/>
        <w:w w:val="95"/>
        <w:sz w:val="24"/>
        <w:szCs w:val="24"/>
        <w:lang w:val="en-US" w:eastAsia="en-US" w:bidi="ar-SA"/>
      </w:rPr>
    </w:lvl>
    <w:lvl w:ilvl="3">
      <w:start w:val="0"/>
      <w:numFmt w:val="bullet"/>
      <w:lvlText w:val="•"/>
      <w:lvlJc w:val="left"/>
      <w:pPr>
        <w:ind w:left="4020" w:hanging="540"/>
      </w:pPr>
      <w:rPr>
        <w:rFonts w:hint="default"/>
        <w:lang w:val="en-US" w:eastAsia="en-US" w:bidi="ar-SA"/>
      </w:rPr>
    </w:lvl>
    <w:lvl w:ilvl="4">
      <w:start w:val="0"/>
      <w:numFmt w:val="bullet"/>
      <w:lvlText w:val="•"/>
      <w:lvlJc w:val="left"/>
      <w:pPr>
        <w:ind w:left="5160" w:hanging="540"/>
      </w:pPr>
      <w:rPr>
        <w:rFonts w:hint="default"/>
        <w:lang w:val="en-US" w:eastAsia="en-US" w:bidi="ar-SA"/>
      </w:rPr>
    </w:lvl>
    <w:lvl w:ilvl="5">
      <w:start w:val="0"/>
      <w:numFmt w:val="bullet"/>
      <w:lvlText w:val="•"/>
      <w:lvlJc w:val="left"/>
      <w:pPr>
        <w:ind w:left="6300" w:hanging="540"/>
      </w:pPr>
      <w:rPr>
        <w:rFonts w:hint="default"/>
        <w:lang w:val="en-US" w:eastAsia="en-US" w:bidi="ar-SA"/>
      </w:rPr>
    </w:lvl>
    <w:lvl w:ilvl="6">
      <w:start w:val="0"/>
      <w:numFmt w:val="bullet"/>
      <w:lvlText w:val="•"/>
      <w:lvlJc w:val="left"/>
      <w:pPr>
        <w:ind w:left="7440" w:hanging="540"/>
      </w:pPr>
      <w:rPr>
        <w:rFonts w:hint="default"/>
        <w:lang w:val="en-US" w:eastAsia="en-US" w:bidi="ar-SA"/>
      </w:rPr>
    </w:lvl>
    <w:lvl w:ilvl="7">
      <w:start w:val="0"/>
      <w:numFmt w:val="bullet"/>
      <w:lvlText w:val="•"/>
      <w:lvlJc w:val="left"/>
      <w:pPr>
        <w:ind w:left="8580" w:hanging="540"/>
      </w:pPr>
      <w:rPr>
        <w:rFonts w:hint="default"/>
        <w:lang w:val="en-US" w:eastAsia="en-US" w:bidi="ar-SA"/>
      </w:rPr>
    </w:lvl>
    <w:lvl w:ilvl="8">
      <w:start w:val="0"/>
      <w:numFmt w:val="bullet"/>
      <w:lvlText w:val="•"/>
      <w:lvlJc w:val="left"/>
      <w:pPr>
        <w:ind w:left="9720" w:hanging="540"/>
      </w:pPr>
      <w:rPr>
        <w:rFonts w:hint="default"/>
        <w:lang w:val="en-US" w:eastAsia="en-US" w:bidi="ar-SA"/>
      </w:rPr>
    </w:lvl>
  </w:abstractNum>
  <w:abstractNum w:abstractNumId="0">
    <w:multiLevelType w:val="hybridMultilevel"/>
    <w:lvl w:ilvl="0">
      <w:start w:val="1"/>
      <w:numFmt w:val="decimal"/>
      <w:lvlText w:val="%1"/>
      <w:lvlJc w:val="left"/>
      <w:pPr>
        <w:ind w:left="1501" w:hanging="301"/>
        <w:jc w:val="left"/>
      </w:pPr>
      <w:rPr>
        <w:rFonts w:hint="default"/>
        <w:lang w:val="en-US" w:eastAsia="en-US" w:bidi="ar-SA"/>
      </w:rPr>
    </w:lvl>
    <w:lvl w:ilvl="1">
      <w:start w:val="1"/>
      <w:numFmt w:val="decimal"/>
      <w:lvlText w:val="%1.%2"/>
      <w:lvlJc w:val="left"/>
      <w:pPr>
        <w:ind w:left="1501" w:hanging="301"/>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decimal"/>
      <w:lvlText w:val="%1.%2.%3"/>
      <w:lvlJc w:val="left"/>
      <w:pPr>
        <w:ind w:left="174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020" w:hanging="540"/>
      </w:pPr>
      <w:rPr>
        <w:rFonts w:hint="default"/>
        <w:lang w:val="en-US" w:eastAsia="en-US" w:bidi="ar-SA"/>
      </w:rPr>
    </w:lvl>
    <w:lvl w:ilvl="4">
      <w:start w:val="0"/>
      <w:numFmt w:val="bullet"/>
      <w:lvlText w:val="•"/>
      <w:lvlJc w:val="left"/>
      <w:pPr>
        <w:ind w:left="5160" w:hanging="540"/>
      </w:pPr>
      <w:rPr>
        <w:rFonts w:hint="default"/>
        <w:lang w:val="en-US" w:eastAsia="en-US" w:bidi="ar-SA"/>
      </w:rPr>
    </w:lvl>
    <w:lvl w:ilvl="5">
      <w:start w:val="0"/>
      <w:numFmt w:val="bullet"/>
      <w:lvlText w:val="•"/>
      <w:lvlJc w:val="left"/>
      <w:pPr>
        <w:ind w:left="6300" w:hanging="540"/>
      </w:pPr>
      <w:rPr>
        <w:rFonts w:hint="default"/>
        <w:lang w:val="en-US" w:eastAsia="en-US" w:bidi="ar-SA"/>
      </w:rPr>
    </w:lvl>
    <w:lvl w:ilvl="6">
      <w:start w:val="0"/>
      <w:numFmt w:val="bullet"/>
      <w:lvlText w:val="•"/>
      <w:lvlJc w:val="left"/>
      <w:pPr>
        <w:ind w:left="7440" w:hanging="540"/>
      </w:pPr>
      <w:rPr>
        <w:rFonts w:hint="default"/>
        <w:lang w:val="en-US" w:eastAsia="en-US" w:bidi="ar-SA"/>
      </w:rPr>
    </w:lvl>
    <w:lvl w:ilvl="7">
      <w:start w:val="0"/>
      <w:numFmt w:val="bullet"/>
      <w:lvlText w:val="•"/>
      <w:lvlJc w:val="left"/>
      <w:pPr>
        <w:ind w:left="8580" w:hanging="540"/>
      </w:pPr>
      <w:rPr>
        <w:rFonts w:hint="default"/>
        <w:lang w:val="en-US" w:eastAsia="en-US" w:bidi="ar-SA"/>
      </w:rPr>
    </w:lvl>
    <w:lvl w:ilvl="8">
      <w:start w:val="0"/>
      <w:numFmt w:val="bullet"/>
      <w:lvlText w:val="•"/>
      <w:lvlJc w:val="left"/>
      <w:pPr>
        <w:ind w:left="9720" w:hanging="540"/>
      </w:pPr>
      <w:rPr>
        <w:rFonts w:hint="default"/>
        <w:lang w:val="en-U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437"/>
      <w:ind w:left="120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437"/>
      <w:ind w:left="1560" w:hanging="36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437"/>
      <w:ind w:left="1740" w:hanging="54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437"/>
      <w:ind w:left="1560" w:hanging="360"/>
    </w:pPr>
    <w:rPr>
      <w:rFonts w:ascii="Times New Roman" w:hAnsi="Times New Roman" w:eastAsia="Times New Roman" w:cs="Times New Roman"/>
      <w:b/>
      <w:bCs/>
      <w:i/>
      <w:iCs/>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0"/>
      <w:ind w:left="1200"/>
      <w:outlineLvl w:val="1"/>
    </w:pPr>
    <w:rPr>
      <w:rFonts w:ascii="Times New Roman" w:hAnsi="Times New Roman" w:eastAsia="Times New Roman" w:cs="Times New Roman"/>
      <w:b/>
      <w:bCs/>
      <w:sz w:val="26"/>
      <w:szCs w:val="26"/>
      <w:lang w:val="en-US" w:eastAsia="en-US" w:bidi="ar-SA"/>
    </w:rPr>
  </w:style>
  <w:style w:styleId="Heading2" w:type="paragraph">
    <w:name w:val="Heading 2"/>
    <w:basedOn w:val="Normal"/>
    <w:uiPriority w:val="1"/>
    <w:qFormat/>
    <w:pPr>
      <w:ind w:left="1254" w:right="1491"/>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76"/>
      <w:ind w:left="1200"/>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74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186" w:lineRule="exac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hyperlink" Target="http://www.who.int/medicines/services/expertcommittees/pharmprep/QAS04_109Rev" TargetMode="External"/><Relationship Id="rId31" Type="http://schemas.openxmlformats.org/officeDocument/2006/relationships/hyperlink" Target="http://apps.who.int/prequal/" TargetMode="External"/><Relationship Id="rId32" Type="http://schemas.openxmlformats.org/officeDocument/2006/relationships/hyperlink" Target="http://www.who.int/mediacentre/factsheets/fs325/en/" TargetMode="Externa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dcterms:created xsi:type="dcterms:W3CDTF">2023-11-06T15:51:12Z</dcterms:created>
  <dcterms:modified xsi:type="dcterms:W3CDTF">2023-11-06T15:51:12Z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2019-09-26T00:00:00Z</vt:filetime>
  </property>
  <property fmtid="{D5CDD505-2E9C-101B-9397-08002B2CF9AE}" pid="3" name="Creator">
    <vt:lpwstr>Microsoft® Office Word 2007</vt:lpwstr>
  </property>
  <property fmtid="{D5CDD505-2E9C-101B-9397-08002B2CF9AE}" pid="4" name="LastSaved">
    <vt:filetime>2023-11-06T00:00:00Z</vt:filetime>
  </property>
  <property fmtid="{D5CDD505-2E9C-101B-9397-08002B2CF9AE}" pid="5" name="Producer">
    <vt:lpwstr>Microsoft® Office Word 2007</vt:lpwstr>
  </property>
</Properties>
</file>