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3" w:lineRule="auto" w:before="58"/>
        <w:ind w:left="444" w:right="750" w:hanging="2"/>
        <w:jc w:val="center"/>
        <w:rPr>
          <w:b/>
          <w:sz w:val="28"/>
        </w:rPr>
      </w:pPr>
      <w:r>
        <w:rPr>
          <w:b/>
          <w:sz w:val="28"/>
        </w:rPr>
        <w:t>DETERMINATION OF SOME HEAVY METALS IN FISH AND LIVESTOCK</w:t>
      </w:r>
      <w:r>
        <w:rPr>
          <w:b/>
          <w:spacing w:val="-6"/>
          <w:sz w:val="28"/>
        </w:rPr>
        <w:t> </w:t>
      </w:r>
      <w:r>
        <w:rPr>
          <w:b/>
          <w:sz w:val="28"/>
        </w:rPr>
        <w:t>FEEDS,</w:t>
      </w:r>
      <w:r>
        <w:rPr>
          <w:b/>
          <w:spacing w:val="-4"/>
          <w:sz w:val="28"/>
        </w:rPr>
        <w:t> </w:t>
      </w:r>
      <w:r>
        <w:rPr>
          <w:b/>
          <w:sz w:val="28"/>
        </w:rPr>
        <w:t>MANURE</w:t>
      </w:r>
      <w:r>
        <w:rPr>
          <w:b/>
          <w:spacing w:val="-5"/>
          <w:sz w:val="28"/>
        </w:rPr>
        <w:t> </w:t>
      </w:r>
      <w:r>
        <w:rPr>
          <w:b/>
          <w:sz w:val="28"/>
        </w:rPr>
        <w:t>AND</w:t>
      </w:r>
      <w:r>
        <w:rPr>
          <w:b/>
          <w:spacing w:val="-14"/>
          <w:sz w:val="28"/>
        </w:rPr>
        <w:t> </w:t>
      </w:r>
      <w:r>
        <w:rPr>
          <w:b/>
          <w:sz w:val="28"/>
        </w:rPr>
        <w:t>RIVERS</w:t>
      </w:r>
      <w:r>
        <w:rPr>
          <w:b/>
          <w:spacing w:val="-6"/>
          <w:sz w:val="28"/>
        </w:rPr>
        <w:t> </w:t>
      </w:r>
      <w:r>
        <w:rPr>
          <w:b/>
          <w:sz w:val="28"/>
        </w:rPr>
        <w:t>IN</w:t>
      </w:r>
      <w:r>
        <w:rPr>
          <w:b/>
          <w:spacing w:val="-5"/>
          <w:sz w:val="28"/>
        </w:rPr>
        <w:t> </w:t>
      </w:r>
      <w:r>
        <w:rPr>
          <w:b/>
          <w:sz w:val="28"/>
        </w:rPr>
        <w:t>SELECTED</w:t>
      </w:r>
      <w:r>
        <w:rPr>
          <w:b/>
          <w:spacing w:val="-5"/>
          <w:sz w:val="28"/>
        </w:rPr>
        <w:t> </w:t>
      </w:r>
      <w:r>
        <w:rPr>
          <w:b/>
          <w:sz w:val="28"/>
        </w:rPr>
        <w:t>STATES</w:t>
      </w:r>
      <w:r>
        <w:rPr>
          <w:b/>
          <w:spacing w:val="-7"/>
          <w:sz w:val="28"/>
        </w:rPr>
        <w:t> </w:t>
      </w:r>
      <w:r>
        <w:rPr>
          <w:b/>
          <w:sz w:val="28"/>
        </w:rPr>
        <w:t>IN NORTHERN NIGERIA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28"/>
        </w:rPr>
      </w:pPr>
    </w:p>
    <w:p>
      <w:pPr>
        <w:spacing w:before="0"/>
        <w:ind w:left="0" w:right="624" w:firstLine="0"/>
        <w:jc w:val="center"/>
        <w:rPr>
          <w:b/>
          <w:sz w:val="28"/>
        </w:rPr>
      </w:pPr>
      <w:r>
        <w:rPr>
          <w:b/>
          <w:spacing w:val="-5"/>
          <w:sz w:val="28"/>
        </w:rPr>
        <w:t>BY</w:t>
      </w:r>
    </w:p>
    <w:p>
      <w:pPr>
        <w:pStyle w:val="BodyText"/>
        <w:rPr>
          <w:b/>
          <w:sz w:val="28"/>
        </w:rPr>
      </w:pPr>
    </w:p>
    <w:p>
      <w:pPr>
        <w:pStyle w:val="BodyText"/>
        <w:rPr>
          <w:b/>
          <w:sz w:val="28"/>
        </w:rPr>
      </w:pPr>
    </w:p>
    <w:p>
      <w:pPr>
        <w:pStyle w:val="BodyText"/>
        <w:rPr>
          <w:b/>
          <w:sz w:val="28"/>
        </w:rPr>
      </w:pPr>
    </w:p>
    <w:p>
      <w:pPr>
        <w:pStyle w:val="BodyText"/>
        <w:spacing w:before="147"/>
        <w:rPr>
          <w:b/>
          <w:sz w:val="28"/>
        </w:rPr>
      </w:pPr>
    </w:p>
    <w:p>
      <w:pPr>
        <w:spacing w:before="0"/>
        <w:ind w:left="4094" w:right="0" w:firstLine="0"/>
        <w:jc w:val="left"/>
        <w:rPr>
          <w:b/>
          <w:sz w:val="28"/>
        </w:rPr>
      </w:pPr>
      <w:r>
        <w:rPr>
          <w:b/>
          <w:sz w:val="28"/>
        </w:rPr>
        <w:t>YAHAYA</w:t>
      </w:r>
      <w:r>
        <w:rPr>
          <w:b/>
          <w:spacing w:val="-11"/>
          <w:sz w:val="28"/>
        </w:rPr>
        <w:t> </w:t>
      </w:r>
      <w:r>
        <w:rPr>
          <w:b/>
          <w:spacing w:val="-2"/>
          <w:sz w:val="28"/>
        </w:rPr>
        <w:t>SALAWU</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05"/>
        <w:rPr>
          <w:b/>
          <w:sz w:val="28"/>
        </w:rPr>
      </w:pPr>
    </w:p>
    <w:p>
      <w:pPr>
        <w:spacing w:line="271" w:lineRule="auto" w:before="0"/>
        <w:ind w:left="955" w:right="1256" w:firstLine="0"/>
        <w:jc w:val="center"/>
        <w:rPr>
          <w:b/>
          <w:sz w:val="28"/>
        </w:rPr>
      </w:pPr>
      <w:r>
        <w:rPr>
          <w:b/>
          <w:sz w:val="28"/>
        </w:rPr>
        <w:t>DEPARTMENT</w:t>
      </w:r>
      <w:r>
        <w:rPr>
          <w:b/>
          <w:spacing w:val="-12"/>
          <w:sz w:val="28"/>
        </w:rPr>
        <w:t> </w:t>
      </w:r>
      <w:r>
        <w:rPr>
          <w:b/>
          <w:sz w:val="28"/>
        </w:rPr>
        <w:t>OF</w:t>
      </w:r>
      <w:r>
        <w:rPr>
          <w:b/>
          <w:spacing w:val="-10"/>
          <w:sz w:val="28"/>
        </w:rPr>
        <w:t> </w:t>
      </w:r>
      <w:r>
        <w:rPr>
          <w:b/>
          <w:sz w:val="28"/>
        </w:rPr>
        <w:t>PHARMACEUTICAL</w:t>
      </w:r>
      <w:r>
        <w:rPr>
          <w:b/>
          <w:spacing w:val="-10"/>
          <w:sz w:val="28"/>
        </w:rPr>
        <w:t> </w:t>
      </w:r>
      <w:r>
        <w:rPr>
          <w:b/>
          <w:sz w:val="28"/>
        </w:rPr>
        <w:t>AND</w:t>
      </w:r>
      <w:r>
        <w:rPr>
          <w:b/>
          <w:spacing w:val="-11"/>
          <w:sz w:val="28"/>
        </w:rPr>
        <w:t> </w:t>
      </w:r>
      <w:r>
        <w:rPr>
          <w:b/>
          <w:sz w:val="28"/>
        </w:rPr>
        <w:t>MEDICINAL </w:t>
      </w:r>
      <w:r>
        <w:rPr>
          <w:b/>
          <w:spacing w:val="-2"/>
          <w:sz w:val="28"/>
        </w:rPr>
        <w:t>CHEMISTRY</w:t>
      </w:r>
    </w:p>
    <w:p>
      <w:pPr>
        <w:pStyle w:val="BodyText"/>
        <w:rPr>
          <w:b/>
          <w:sz w:val="28"/>
        </w:rPr>
      </w:pPr>
    </w:p>
    <w:p>
      <w:pPr>
        <w:pStyle w:val="BodyText"/>
        <w:spacing w:before="136"/>
        <w:rPr>
          <w:b/>
          <w:sz w:val="28"/>
        </w:rPr>
      </w:pPr>
    </w:p>
    <w:p>
      <w:pPr>
        <w:spacing w:line="424" w:lineRule="auto" w:before="1"/>
        <w:ind w:left="4094" w:right="1612" w:hanging="1513"/>
        <w:jc w:val="left"/>
        <w:rPr>
          <w:b/>
          <w:sz w:val="28"/>
        </w:rPr>
      </w:pPr>
      <w:r>
        <w:rPr>
          <w:b/>
          <w:sz w:val="28"/>
        </w:rPr>
        <w:t>AHMADU</w:t>
      </w:r>
      <w:r>
        <w:rPr>
          <w:b/>
          <w:spacing w:val="-13"/>
          <w:sz w:val="28"/>
        </w:rPr>
        <w:t> </w:t>
      </w:r>
      <w:r>
        <w:rPr>
          <w:b/>
          <w:sz w:val="28"/>
        </w:rPr>
        <w:t>BELLO</w:t>
      </w:r>
      <w:r>
        <w:rPr>
          <w:b/>
          <w:spacing w:val="-14"/>
          <w:sz w:val="28"/>
        </w:rPr>
        <w:t> </w:t>
      </w:r>
      <w:r>
        <w:rPr>
          <w:b/>
          <w:sz w:val="28"/>
        </w:rPr>
        <w:t>UNIVERSITY,</w:t>
      </w:r>
      <w:r>
        <w:rPr>
          <w:b/>
          <w:spacing w:val="-14"/>
          <w:sz w:val="28"/>
        </w:rPr>
        <w:t> </w:t>
      </w:r>
      <w:r>
        <w:rPr>
          <w:b/>
          <w:sz w:val="28"/>
        </w:rPr>
        <w:t>ZARIA </w:t>
      </w:r>
      <w:r>
        <w:rPr>
          <w:b/>
          <w:spacing w:val="-2"/>
          <w:sz w:val="28"/>
        </w:rPr>
        <w:t>NIGERIA</w:t>
      </w:r>
    </w:p>
    <w:p>
      <w:pPr>
        <w:pStyle w:val="BodyText"/>
        <w:spacing w:before="247"/>
        <w:rPr>
          <w:b/>
          <w:sz w:val="28"/>
        </w:rPr>
      </w:pPr>
    </w:p>
    <w:p>
      <w:pPr>
        <w:spacing w:before="0"/>
        <w:ind w:left="4022" w:right="0" w:firstLine="0"/>
        <w:jc w:val="left"/>
        <w:rPr>
          <w:b/>
          <w:sz w:val="28"/>
        </w:rPr>
      </w:pPr>
      <w:r>
        <w:rPr>
          <w:b/>
          <w:sz w:val="28"/>
        </w:rPr>
        <w:t>FEBUARY</w:t>
      </w:r>
      <w:r>
        <w:rPr>
          <w:b/>
          <w:spacing w:val="-8"/>
          <w:sz w:val="28"/>
        </w:rPr>
        <w:t> </w:t>
      </w:r>
      <w:r>
        <w:rPr>
          <w:b/>
          <w:spacing w:val="-4"/>
          <w:sz w:val="28"/>
        </w:rPr>
        <w:t>2018</w:t>
      </w:r>
    </w:p>
    <w:p>
      <w:pPr>
        <w:spacing w:after="0"/>
        <w:jc w:val="left"/>
        <w:rPr>
          <w:sz w:val="28"/>
        </w:rPr>
        <w:sectPr>
          <w:footerReference w:type="default" r:id="rId5"/>
          <w:type w:val="continuous"/>
          <w:pgSz w:w="12240" w:h="15840"/>
          <w:pgMar w:header="0" w:footer="1012" w:top="1380" w:bottom="1200" w:left="1020" w:right="720"/>
          <w:pgNumType w:start="1"/>
        </w:sectPr>
      </w:pPr>
    </w:p>
    <w:p>
      <w:pPr>
        <w:pStyle w:val="Heading1"/>
        <w:spacing w:line="271" w:lineRule="auto" w:before="77"/>
        <w:ind w:left="420"/>
      </w:pPr>
      <w:r>
        <w:rPr/>
        <w:t>DETERMINATION</w:t>
      </w:r>
      <w:r>
        <w:rPr>
          <w:spacing w:val="-4"/>
        </w:rPr>
        <w:t> </w:t>
      </w:r>
      <w:r>
        <w:rPr/>
        <w:t>OF</w:t>
      </w:r>
      <w:r>
        <w:rPr>
          <w:spacing w:val="-6"/>
        </w:rPr>
        <w:t> </w:t>
      </w:r>
      <w:r>
        <w:rPr/>
        <w:t>SOME</w:t>
      </w:r>
      <w:r>
        <w:rPr>
          <w:spacing w:val="-6"/>
        </w:rPr>
        <w:t> </w:t>
      </w:r>
      <w:r>
        <w:rPr/>
        <w:t>HEAVY</w:t>
      </w:r>
      <w:r>
        <w:rPr>
          <w:spacing w:val="-9"/>
        </w:rPr>
        <w:t> </w:t>
      </w:r>
      <w:r>
        <w:rPr/>
        <w:t>METALS</w:t>
      </w:r>
      <w:r>
        <w:rPr>
          <w:spacing w:val="-4"/>
        </w:rPr>
        <w:t> </w:t>
      </w:r>
      <w:r>
        <w:rPr/>
        <w:t>IN</w:t>
      </w:r>
      <w:r>
        <w:rPr>
          <w:spacing w:val="-5"/>
        </w:rPr>
        <w:t> </w:t>
      </w:r>
      <w:r>
        <w:rPr/>
        <w:t>FISH</w:t>
      </w:r>
      <w:r>
        <w:rPr>
          <w:spacing w:val="-4"/>
        </w:rPr>
        <w:t> </w:t>
      </w:r>
      <w:r>
        <w:rPr/>
        <w:t>AND</w:t>
      </w:r>
      <w:r>
        <w:rPr>
          <w:spacing w:val="-5"/>
        </w:rPr>
        <w:t> </w:t>
      </w:r>
      <w:r>
        <w:rPr/>
        <w:t>LIVESTOCK FEEDS, MANURE AND RIVERS IN SELECTED STATES IN NORTHERN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5"/>
        <w:rPr>
          <w:b/>
        </w:rPr>
      </w:pPr>
    </w:p>
    <w:p>
      <w:pPr>
        <w:spacing w:before="0"/>
        <w:ind w:left="0" w:right="674"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214"/>
        <w:rPr>
          <w:b/>
        </w:rPr>
      </w:pPr>
    </w:p>
    <w:p>
      <w:pPr>
        <w:spacing w:line="451" w:lineRule="auto" w:before="1"/>
        <w:ind w:left="961" w:right="1256" w:firstLine="0"/>
        <w:jc w:val="center"/>
        <w:rPr>
          <w:b/>
          <w:sz w:val="24"/>
        </w:rPr>
      </w:pPr>
      <w:r>
        <w:rPr>
          <w:b/>
          <w:sz w:val="24"/>
        </w:rPr>
        <w:t>Yahaya</w:t>
      </w:r>
      <w:r>
        <w:rPr>
          <w:b/>
          <w:spacing w:val="-2"/>
          <w:sz w:val="24"/>
        </w:rPr>
        <w:t> </w:t>
      </w:r>
      <w:r>
        <w:rPr>
          <w:b/>
          <w:sz w:val="24"/>
        </w:rPr>
        <w:t>SALAWU</w:t>
      </w:r>
      <w:r>
        <w:rPr>
          <w:b/>
          <w:spacing w:val="40"/>
          <w:sz w:val="24"/>
        </w:rPr>
        <w:t> </w:t>
      </w:r>
      <w:r>
        <w:rPr>
          <w:b/>
          <w:sz w:val="24"/>
        </w:rPr>
        <w:t>B.</w:t>
      </w:r>
      <w:r>
        <w:rPr>
          <w:b/>
          <w:spacing w:val="-4"/>
          <w:sz w:val="24"/>
        </w:rPr>
        <w:t> </w:t>
      </w:r>
      <w:r>
        <w:rPr>
          <w:b/>
          <w:sz w:val="24"/>
        </w:rPr>
        <w:t>Pharm</w:t>
      </w:r>
      <w:r>
        <w:rPr>
          <w:b/>
          <w:spacing w:val="-4"/>
          <w:sz w:val="24"/>
        </w:rPr>
        <w:t> </w:t>
      </w:r>
      <w:r>
        <w:rPr>
          <w:b/>
          <w:sz w:val="24"/>
        </w:rPr>
        <w:t>1998</w:t>
      </w:r>
      <w:r>
        <w:rPr>
          <w:b/>
          <w:spacing w:val="-2"/>
          <w:sz w:val="24"/>
        </w:rPr>
        <w:t> </w:t>
      </w:r>
      <w:r>
        <w:rPr>
          <w:b/>
          <w:sz w:val="24"/>
        </w:rPr>
        <w:t>(ABU);</w:t>
      </w:r>
      <w:r>
        <w:rPr>
          <w:b/>
          <w:spacing w:val="-9"/>
          <w:sz w:val="24"/>
        </w:rPr>
        <w:t> </w:t>
      </w:r>
      <w:r>
        <w:rPr>
          <w:b/>
          <w:sz w:val="24"/>
        </w:rPr>
        <w:t>M.Sc</w:t>
      </w:r>
      <w:r>
        <w:rPr>
          <w:b/>
          <w:spacing w:val="-3"/>
          <w:sz w:val="24"/>
        </w:rPr>
        <w:t> </w:t>
      </w:r>
      <w:r>
        <w:rPr>
          <w:b/>
          <w:sz w:val="24"/>
        </w:rPr>
        <w:t>Pharm. Chemistry</w:t>
      </w:r>
      <w:r>
        <w:rPr>
          <w:b/>
          <w:spacing w:val="-1"/>
          <w:sz w:val="24"/>
        </w:rPr>
        <w:t> </w:t>
      </w:r>
      <w:r>
        <w:rPr>
          <w:b/>
          <w:sz w:val="24"/>
        </w:rPr>
        <w:t>2010</w:t>
      </w:r>
      <w:r>
        <w:rPr>
          <w:b/>
          <w:spacing w:val="-2"/>
          <w:sz w:val="24"/>
        </w:rPr>
        <w:t> </w:t>
      </w:r>
      <w:r>
        <w:rPr>
          <w:b/>
          <w:sz w:val="24"/>
        </w:rPr>
        <w:t>(ABU) Ph. D/Pharm. Sci/20913/2012-2013</w:t>
      </w:r>
    </w:p>
    <w:p>
      <w:pPr>
        <w:pStyle w:val="BodyText"/>
        <w:spacing w:before="237"/>
        <w:rPr>
          <w:b/>
        </w:rPr>
      </w:pPr>
    </w:p>
    <w:p>
      <w:pPr>
        <w:spacing w:line="451" w:lineRule="auto" w:before="0"/>
        <w:ind w:left="2346" w:right="416" w:hanging="1504"/>
        <w:jc w:val="left"/>
        <w:rPr>
          <w:b/>
          <w:sz w:val="24"/>
        </w:rPr>
      </w:pPr>
      <w:r>
        <w:rPr>
          <w:b/>
          <w:sz w:val="24"/>
        </w:rPr>
        <w:t>A</w:t>
      </w:r>
      <w:r>
        <w:rPr>
          <w:b/>
          <w:spacing w:val="-6"/>
          <w:sz w:val="24"/>
        </w:rPr>
        <w:t> </w:t>
      </w:r>
      <w:r>
        <w:rPr>
          <w:b/>
          <w:sz w:val="24"/>
        </w:rPr>
        <w:t>THESIS</w:t>
      </w:r>
      <w:r>
        <w:rPr>
          <w:b/>
          <w:spacing w:val="-5"/>
          <w:sz w:val="24"/>
        </w:rPr>
        <w:t> </w:t>
      </w:r>
      <w:r>
        <w:rPr>
          <w:b/>
          <w:sz w:val="24"/>
        </w:rPr>
        <w:t>SUBMITTED</w:t>
      </w:r>
      <w:r>
        <w:rPr>
          <w:b/>
          <w:spacing w:val="-6"/>
          <w:sz w:val="24"/>
        </w:rPr>
        <w:t> </w:t>
      </w:r>
      <w:r>
        <w:rPr>
          <w:b/>
          <w:sz w:val="24"/>
        </w:rPr>
        <w:t>TO</w:t>
      </w:r>
      <w:r>
        <w:rPr>
          <w:b/>
          <w:spacing w:val="-5"/>
          <w:sz w:val="24"/>
        </w:rPr>
        <w:t> </w:t>
      </w:r>
      <w:r>
        <w:rPr>
          <w:b/>
          <w:sz w:val="24"/>
        </w:rPr>
        <w:t>THE</w:t>
      </w:r>
      <w:r>
        <w:rPr>
          <w:b/>
          <w:spacing w:val="-7"/>
          <w:sz w:val="24"/>
        </w:rPr>
        <w:t> </w:t>
      </w:r>
      <w:r>
        <w:rPr>
          <w:b/>
          <w:sz w:val="24"/>
        </w:rPr>
        <w:t>SCHOOL</w:t>
      </w:r>
      <w:r>
        <w:rPr>
          <w:b/>
          <w:spacing w:val="-7"/>
          <w:sz w:val="24"/>
        </w:rPr>
        <w:t> </w:t>
      </w:r>
      <w:r>
        <w:rPr>
          <w:b/>
          <w:sz w:val="24"/>
        </w:rPr>
        <w:t>OF</w:t>
      </w:r>
      <w:r>
        <w:rPr>
          <w:b/>
          <w:spacing w:val="-4"/>
          <w:sz w:val="24"/>
        </w:rPr>
        <w:t> </w:t>
      </w:r>
      <w:r>
        <w:rPr>
          <w:b/>
          <w:sz w:val="24"/>
        </w:rPr>
        <w:t>POSTGRADUATE</w:t>
      </w:r>
      <w:r>
        <w:rPr>
          <w:b/>
          <w:spacing w:val="-7"/>
          <w:sz w:val="24"/>
        </w:rPr>
        <w:t> </w:t>
      </w:r>
      <w:r>
        <w:rPr>
          <w:b/>
          <w:sz w:val="24"/>
        </w:rPr>
        <w:t>STUDIES AHMADU BELLO UNIVERSITY, ZARIA</w:t>
      </w:r>
    </w:p>
    <w:p>
      <w:pPr>
        <w:spacing w:line="275" w:lineRule="exact" w:before="0"/>
        <w:ind w:left="1265" w:right="0" w:firstLine="0"/>
        <w:jc w:val="left"/>
        <w:rPr>
          <w:b/>
          <w:sz w:val="24"/>
        </w:rPr>
      </w:pPr>
      <w:r>
        <w:rPr>
          <w:b/>
          <w:sz w:val="24"/>
        </w:rPr>
        <w:t>IN</w:t>
      </w:r>
      <w:r>
        <w:rPr>
          <w:b/>
          <w:spacing w:val="-4"/>
          <w:sz w:val="24"/>
        </w:rPr>
        <w:t> </w:t>
      </w:r>
      <w:r>
        <w:rPr>
          <w:b/>
          <w:sz w:val="24"/>
        </w:rPr>
        <w:t>PATTIAL</w:t>
      </w:r>
      <w:r>
        <w:rPr>
          <w:b/>
          <w:spacing w:val="-4"/>
          <w:sz w:val="24"/>
        </w:rPr>
        <w:t> </w:t>
      </w:r>
      <w:r>
        <w:rPr>
          <w:b/>
          <w:sz w:val="24"/>
        </w:rPr>
        <w:t>FULFILMENT</w:t>
      </w:r>
      <w:r>
        <w:rPr>
          <w:b/>
          <w:spacing w:val="-4"/>
          <w:sz w:val="24"/>
        </w:rPr>
        <w:t> </w:t>
      </w:r>
      <w:r>
        <w:rPr>
          <w:b/>
          <w:sz w:val="24"/>
        </w:rPr>
        <w:t>OF</w:t>
      </w:r>
      <w:r>
        <w:rPr>
          <w:b/>
          <w:spacing w:val="-5"/>
          <w:sz w:val="24"/>
        </w:rPr>
        <w:t> </w:t>
      </w:r>
      <w:r>
        <w:rPr>
          <w:b/>
          <w:sz w:val="24"/>
        </w:rPr>
        <w:t>THE</w:t>
      </w:r>
      <w:r>
        <w:rPr>
          <w:b/>
          <w:spacing w:val="1"/>
          <w:sz w:val="24"/>
        </w:rPr>
        <w:t> </w:t>
      </w:r>
      <w:r>
        <w:rPr>
          <w:b/>
          <w:sz w:val="24"/>
        </w:rPr>
        <w:t>REQUIREMENT</w:t>
      </w:r>
      <w:r>
        <w:rPr>
          <w:b/>
          <w:spacing w:val="-5"/>
          <w:sz w:val="24"/>
        </w:rPr>
        <w:t> </w:t>
      </w:r>
      <w:r>
        <w:rPr>
          <w:b/>
          <w:sz w:val="24"/>
        </w:rPr>
        <w:t>FOR</w:t>
      </w:r>
      <w:r>
        <w:rPr>
          <w:b/>
          <w:spacing w:val="3"/>
          <w:sz w:val="24"/>
        </w:rPr>
        <w:t> </w:t>
      </w:r>
      <w:r>
        <w:rPr>
          <w:b/>
          <w:spacing w:val="-5"/>
          <w:sz w:val="24"/>
        </w:rPr>
        <w:t>THE</w:t>
      </w:r>
    </w:p>
    <w:p>
      <w:pPr>
        <w:spacing w:before="243"/>
        <w:ind w:left="0" w:right="262" w:firstLine="0"/>
        <w:jc w:val="center"/>
        <w:rPr>
          <w:b/>
          <w:sz w:val="24"/>
        </w:rPr>
      </w:pPr>
      <w:r>
        <w:rPr>
          <w:b/>
          <w:sz w:val="24"/>
        </w:rPr>
        <w:t>AWARD</w:t>
      </w:r>
      <w:r>
        <w:rPr>
          <w:b/>
          <w:spacing w:val="-4"/>
          <w:sz w:val="24"/>
        </w:rPr>
        <w:t> </w:t>
      </w:r>
      <w:r>
        <w:rPr>
          <w:b/>
          <w:sz w:val="24"/>
        </w:rPr>
        <w:t>OF</w:t>
      </w:r>
      <w:r>
        <w:rPr>
          <w:b/>
          <w:spacing w:val="-2"/>
          <w:sz w:val="24"/>
        </w:rPr>
        <w:t> </w:t>
      </w:r>
      <w:r>
        <w:rPr>
          <w:b/>
          <w:sz w:val="24"/>
        </w:rPr>
        <w:t>A</w:t>
      </w:r>
      <w:r>
        <w:rPr>
          <w:b/>
          <w:spacing w:val="-6"/>
          <w:sz w:val="24"/>
        </w:rPr>
        <w:t> </w:t>
      </w:r>
      <w:r>
        <w:rPr>
          <w:b/>
          <w:sz w:val="24"/>
        </w:rPr>
        <w:t>DOCTORATE</w:t>
      </w:r>
      <w:r>
        <w:rPr>
          <w:b/>
          <w:spacing w:val="-2"/>
          <w:sz w:val="24"/>
        </w:rPr>
        <w:t> </w:t>
      </w:r>
      <w:r>
        <w:rPr>
          <w:b/>
          <w:sz w:val="24"/>
        </w:rPr>
        <w:t>DEGREEE</w:t>
      </w:r>
      <w:r>
        <w:rPr>
          <w:b/>
          <w:spacing w:val="-2"/>
          <w:sz w:val="24"/>
        </w:rPr>
        <w:t> </w:t>
      </w:r>
      <w:r>
        <w:rPr>
          <w:b/>
          <w:sz w:val="24"/>
        </w:rPr>
        <w:t>IN</w:t>
      </w:r>
      <w:r>
        <w:rPr>
          <w:b/>
          <w:spacing w:val="-1"/>
          <w:sz w:val="24"/>
        </w:rPr>
        <w:t> </w:t>
      </w:r>
      <w:r>
        <w:rPr>
          <w:b/>
          <w:sz w:val="24"/>
        </w:rPr>
        <w:t>PHARMACEUTICAL</w:t>
      </w:r>
      <w:r>
        <w:rPr>
          <w:b/>
          <w:spacing w:val="-2"/>
          <w:sz w:val="24"/>
        </w:rPr>
        <w:t> CHEMISTRY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5"/>
        <w:rPr>
          <w:b/>
        </w:rPr>
      </w:pPr>
    </w:p>
    <w:p>
      <w:pPr>
        <w:spacing w:line="448" w:lineRule="auto" w:before="1"/>
        <w:ind w:left="2581" w:right="1612" w:hanging="2161"/>
        <w:jc w:val="left"/>
        <w:rPr>
          <w:b/>
          <w:sz w:val="24"/>
        </w:rPr>
      </w:pPr>
      <w:r>
        <w:rPr>
          <w:b/>
          <w:sz w:val="24"/>
        </w:rPr>
        <w:t>DEPARTMENT</w:t>
      </w:r>
      <w:r>
        <w:rPr>
          <w:b/>
          <w:spacing w:val="-10"/>
          <w:sz w:val="24"/>
        </w:rPr>
        <w:t> </w:t>
      </w:r>
      <w:r>
        <w:rPr>
          <w:b/>
          <w:sz w:val="24"/>
        </w:rPr>
        <w:t>OF</w:t>
      </w:r>
      <w:r>
        <w:rPr>
          <w:b/>
          <w:spacing w:val="-10"/>
          <w:sz w:val="24"/>
        </w:rPr>
        <w:t> </w:t>
      </w:r>
      <w:r>
        <w:rPr>
          <w:b/>
          <w:sz w:val="24"/>
        </w:rPr>
        <w:t>PHARMACEUTICAL</w:t>
      </w:r>
      <w:r>
        <w:rPr>
          <w:b/>
          <w:spacing w:val="-10"/>
          <w:sz w:val="24"/>
        </w:rPr>
        <w:t> </w:t>
      </w:r>
      <w:r>
        <w:rPr>
          <w:b/>
          <w:sz w:val="24"/>
        </w:rPr>
        <w:t>AND</w:t>
      </w:r>
      <w:r>
        <w:rPr>
          <w:b/>
          <w:spacing w:val="-9"/>
          <w:sz w:val="24"/>
        </w:rPr>
        <w:t> </w:t>
      </w:r>
      <w:r>
        <w:rPr>
          <w:b/>
          <w:sz w:val="24"/>
        </w:rPr>
        <w:t>MEDICINAL</w:t>
      </w:r>
      <w:r>
        <w:rPr>
          <w:b/>
          <w:spacing w:val="-10"/>
          <w:sz w:val="24"/>
        </w:rPr>
        <w:t> </w:t>
      </w:r>
      <w:r>
        <w:rPr>
          <w:b/>
          <w:sz w:val="24"/>
        </w:rPr>
        <w:t>CHEMISTRY FACULTY OF PHARMACEUTICAL SCIENCES AHMADU BELLO UNIVERSITY, ZARIA</w:t>
      </w:r>
    </w:p>
    <w:p>
      <w:pPr>
        <w:spacing w:before="2"/>
        <w:ind w:left="4084" w:right="0" w:firstLine="0"/>
        <w:jc w:val="left"/>
        <w:rPr>
          <w:b/>
          <w:sz w:val="24"/>
        </w:rPr>
      </w:pPr>
      <w:r>
        <w:rPr>
          <w:b/>
          <w:spacing w:val="-2"/>
          <w:sz w:val="24"/>
        </w:rPr>
        <w:t>NIGERIA</w:t>
      </w:r>
    </w:p>
    <w:p>
      <w:pPr>
        <w:pStyle w:val="BodyText"/>
        <w:rPr>
          <w:b/>
        </w:rPr>
      </w:pPr>
    </w:p>
    <w:p>
      <w:pPr>
        <w:pStyle w:val="BodyText"/>
        <w:spacing w:before="209"/>
        <w:rPr>
          <w:b/>
        </w:rPr>
      </w:pPr>
    </w:p>
    <w:p>
      <w:pPr>
        <w:spacing w:before="0"/>
        <w:ind w:left="4022" w:right="0" w:firstLine="0"/>
        <w:jc w:val="left"/>
        <w:rPr>
          <w:b/>
          <w:sz w:val="24"/>
        </w:rPr>
      </w:pPr>
      <w:r>
        <w:rPr>
          <w:b/>
          <w:sz w:val="24"/>
        </w:rPr>
        <w:t>FEBUARY,</w:t>
      </w:r>
      <w:r>
        <w:rPr>
          <w:b/>
          <w:spacing w:val="-1"/>
          <w:sz w:val="24"/>
        </w:rPr>
        <w:t> </w:t>
      </w:r>
      <w:r>
        <w:rPr>
          <w:b/>
          <w:spacing w:val="-4"/>
          <w:sz w:val="24"/>
        </w:rPr>
        <w:t>2018</w:t>
      </w:r>
    </w:p>
    <w:p>
      <w:pPr>
        <w:spacing w:after="0"/>
        <w:jc w:val="left"/>
        <w:rPr>
          <w:sz w:val="24"/>
        </w:rPr>
        <w:sectPr>
          <w:pgSz w:w="12240" w:h="15840"/>
          <w:pgMar w:header="0" w:footer="1012" w:top="1360" w:bottom="1200" w:left="1020" w:right="720"/>
        </w:sectPr>
      </w:pPr>
    </w:p>
    <w:p>
      <w:pPr>
        <w:pStyle w:val="Heading2"/>
        <w:spacing w:before="72"/>
        <w:ind w:left="0" w:right="1256"/>
        <w:jc w:val="center"/>
      </w:pPr>
      <w:bookmarkStart w:name="_TOC_250028" w:id="1"/>
      <w:bookmarkEnd w:id="1"/>
      <w:r>
        <w:rPr>
          <w:spacing w:val="-2"/>
        </w:rPr>
        <w:t>Declaration</w:t>
      </w:r>
    </w:p>
    <w:p>
      <w:pPr>
        <w:spacing w:line="484" w:lineRule="auto" w:before="242"/>
        <w:ind w:left="420" w:right="719" w:firstLine="0"/>
        <w:jc w:val="both"/>
        <w:rPr>
          <w:b/>
          <w:sz w:val="24"/>
        </w:rPr>
      </w:pPr>
      <w:r>
        <w:rPr>
          <w:sz w:val="24"/>
        </w:rPr>
        <w:t>I declare that the work in the project report entitled </w:t>
      </w:r>
      <w:r>
        <w:rPr>
          <w:b/>
          <w:sz w:val="24"/>
        </w:rPr>
        <w:t>DETERMINATION OF SOME HEAVY METALS</w:t>
      </w:r>
      <w:r>
        <w:rPr>
          <w:b/>
          <w:spacing w:val="2"/>
          <w:sz w:val="24"/>
        </w:rPr>
        <w:t> </w:t>
      </w:r>
      <w:r>
        <w:rPr>
          <w:b/>
          <w:sz w:val="24"/>
        </w:rPr>
        <w:t>IN</w:t>
      </w:r>
      <w:r>
        <w:rPr>
          <w:b/>
          <w:spacing w:val="8"/>
          <w:sz w:val="24"/>
        </w:rPr>
        <w:t> </w:t>
      </w:r>
      <w:r>
        <w:rPr>
          <w:b/>
          <w:sz w:val="24"/>
        </w:rPr>
        <w:t>FISH</w:t>
      </w:r>
      <w:r>
        <w:rPr>
          <w:b/>
          <w:spacing w:val="6"/>
          <w:sz w:val="24"/>
        </w:rPr>
        <w:t> </w:t>
      </w:r>
      <w:r>
        <w:rPr>
          <w:b/>
          <w:sz w:val="24"/>
        </w:rPr>
        <w:t>AND</w:t>
      </w:r>
      <w:r>
        <w:rPr>
          <w:b/>
          <w:spacing w:val="8"/>
          <w:sz w:val="24"/>
        </w:rPr>
        <w:t> </w:t>
      </w:r>
      <w:r>
        <w:rPr>
          <w:b/>
          <w:sz w:val="24"/>
        </w:rPr>
        <w:t>LIVESTOCK</w:t>
      </w:r>
      <w:r>
        <w:rPr>
          <w:b/>
          <w:spacing w:val="9"/>
          <w:sz w:val="24"/>
        </w:rPr>
        <w:t> </w:t>
      </w:r>
      <w:r>
        <w:rPr>
          <w:b/>
          <w:sz w:val="24"/>
        </w:rPr>
        <w:t>FEEDS,</w:t>
      </w:r>
      <w:r>
        <w:rPr>
          <w:b/>
          <w:spacing w:val="7"/>
          <w:sz w:val="24"/>
        </w:rPr>
        <w:t> </w:t>
      </w:r>
      <w:r>
        <w:rPr>
          <w:b/>
          <w:sz w:val="24"/>
        </w:rPr>
        <w:t>MANURE</w:t>
      </w:r>
      <w:r>
        <w:rPr>
          <w:b/>
          <w:spacing w:val="2"/>
          <w:sz w:val="24"/>
        </w:rPr>
        <w:t> </w:t>
      </w:r>
      <w:r>
        <w:rPr>
          <w:b/>
          <w:sz w:val="24"/>
        </w:rPr>
        <w:t>AND</w:t>
      </w:r>
      <w:r>
        <w:rPr>
          <w:b/>
          <w:spacing w:val="8"/>
          <w:sz w:val="24"/>
        </w:rPr>
        <w:t> </w:t>
      </w:r>
      <w:r>
        <w:rPr>
          <w:b/>
          <w:sz w:val="24"/>
        </w:rPr>
        <w:t>RIVERS</w:t>
      </w:r>
      <w:r>
        <w:rPr>
          <w:b/>
          <w:spacing w:val="4"/>
          <w:sz w:val="24"/>
        </w:rPr>
        <w:t> </w:t>
      </w:r>
      <w:r>
        <w:rPr>
          <w:b/>
          <w:sz w:val="24"/>
        </w:rPr>
        <w:t>IN</w:t>
      </w:r>
      <w:r>
        <w:rPr>
          <w:b/>
          <w:spacing w:val="10"/>
          <w:sz w:val="24"/>
        </w:rPr>
        <w:t> </w:t>
      </w:r>
      <w:r>
        <w:rPr>
          <w:b/>
          <w:spacing w:val="-2"/>
          <w:sz w:val="24"/>
        </w:rPr>
        <w:t>SELECTED</w:t>
      </w:r>
    </w:p>
    <w:p>
      <w:pPr>
        <w:pStyle w:val="BodyText"/>
        <w:spacing w:line="480" w:lineRule="auto"/>
        <w:ind w:left="420" w:right="708"/>
        <w:jc w:val="both"/>
      </w:pPr>
      <w:r>
        <w:rPr>
          <w:b/>
        </w:rPr>
        <w:t>STATES IN NORTHERN NIGERIA </w:t>
      </w:r>
      <w:r>
        <w:rPr/>
        <w:t>has been performed by me in the Department of Pharmaceutical and Medicinal Chemistry under the supervision of Prof. I. A. Yakasai, Prof. M. Garba and Dr. M. A. Usman of the Department of Pharmaceutical and Medicinal Chemistry, Faculty of Pharmaceutical Sciences, Ahmadu Bello University, Zaria. The information derived from the literature has been duly acknowledged in the text and a list of references provided. No part of this thesis was previously presented for another degree or diploma at any university.</w:t>
      </w:r>
    </w:p>
    <w:p>
      <w:pPr>
        <w:spacing w:before="193"/>
        <w:ind w:left="420" w:right="0" w:firstLine="0"/>
        <w:jc w:val="left"/>
        <w:rPr>
          <w:b/>
          <w:sz w:val="24"/>
        </w:rPr>
      </w:pPr>
      <w:r>
        <w:rPr>
          <w:b/>
          <w:spacing w:val="-2"/>
          <w:sz w:val="24"/>
        </w:rPr>
        <w:t>----------------------------------</w:t>
      </w:r>
      <w:r>
        <w:rPr>
          <w:b/>
          <w:spacing w:val="-10"/>
          <w:sz w:val="24"/>
        </w:rPr>
        <w:t>-</w:t>
      </w:r>
    </w:p>
    <w:p>
      <w:pPr>
        <w:pStyle w:val="Heading2"/>
        <w:spacing w:before="142"/>
      </w:pPr>
      <w:r>
        <w:rPr/>
        <w:t>Yahaya</w:t>
      </w:r>
      <w:r>
        <w:rPr>
          <w:spacing w:val="2"/>
        </w:rPr>
        <w:t> </w:t>
      </w:r>
      <w:r>
        <w:rPr>
          <w:spacing w:val="-2"/>
        </w:rPr>
        <w:t>Salawu</w:t>
      </w:r>
    </w:p>
    <w:p>
      <w:pPr>
        <w:pStyle w:val="BodyText"/>
        <w:spacing w:line="355" w:lineRule="auto" w:before="132"/>
        <w:ind w:left="420" w:right="4485"/>
      </w:pPr>
      <w:r>
        <w:rPr/>
        <w:t>Department</w:t>
      </w:r>
      <w:r>
        <w:rPr>
          <w:spacing w:val="-3"/>
        </w:rPr>
        <w:t> </w:t>
      </w:r>
      <w:r>
        <w:rPr/>
        <w:t>of</w:t>
      </w:r>
      <w:r>
        <w:rPr>
          <w:spacing w:val="-11"/>
        </w:rPr>
        <w:t> </w:t>
      </w:r>
      <w:r>
        <w:rPr/>
        <w:t>Pharmaceutical</w:t>
      </w:r>
      <w:r>
        <w:rPr>
          <w:spacing w:val="-12"/>
        </w:rPr>
        <w:t> </w:t>
      </w:r>
      <w:r>
        <w:rPr/>
        <w:t>and</w:t>
      </w:r>
      <w:r>
        <w:rPr>
          <w:spacing w:val="-3"/>
        </w:rPr>
        <w:t> </w:t>
      </w:r>
      <w:r>
        <w:rPr/>
        <w:t>Medicinal</w:t>
      </w:r>
      <w:r>
        <w:rPr>
          <w:spacing w:val="-12"/>
        </w:rPr>
        <w:t> </w:t>
      </w:r>
      <w:r>
        <w:rPr/>
        <w:t>Chemistry, Ahmadu Bello University, Zaria, Nigeria</w:t>
      </w:r>
    </w:p>
    <w:p>
      <w:pPr>
        <w:spacing w:after="0" w:line="355" w:lineRule="auto"/>
        <w:sectPr>
          <w:pgSz w:w="12240" w:h="15840"/>
          <w:pgMar w:header="0" w:footer="1012" w:top="1360" w:bottom="1200" w:left="1020" w:right="720"/>
        </w:sectPr>
      </w:pPr>
    </w:p>
    <w:p>
      <w:pPr>
        <w:pStyle w:val="Heading2"/>
        <w:spacing w:before="77"/>
        <w:ind w:left="0" w:right="1149"/>
        <w:jc w:val="center"/>
      </w:pPr>
      <w:bookmarkStart w:name="_TOC_250027" w:id="2"/>
      <w:bookmarkEnd w:id="2"/>
      <w:r>
        <w:rPr>
          <w:spacing w:val="-2"/>
        </w:rPr>
        <w:t>Certification</w:t>
      </w:r>
    </w:p>
    <w:p>
      <w:pPr>
        <w:tabs>
          <w:tab w:pos="2075" w:val="left" w:leader="none"/>
          <w:tab w:pos="3140" w:val="left" w:leader="none"/>
          <w:tab w:pos="4450" w:val="left" w:leader="none"/>
          <w:tab w:pos="5212" w:val="left" w:leader="none"/>
          <w:tab w:pos="6350" w:val="left" w:leader="none"/>
          <w:tab w:pos="6845" w:val="left" w:leader="none"/>
          <w:tab w:pos="8356" w:val="left" w:leader="none"/>
          <w:tab w:pos="9512" w:val="left" w:leader="none"/>
        </w:tabs>
        <w:spacing w:line="247" w:lineRule="auto" w:before="194"/>
        <w:ind w:left="420" w:right="721" w:firstLine="0"/>
        <w:jc w:val="left"/>
        <w:rPr>
          <w:b/>
          <w:sz w:val="24"/>
        </w:rPr>
      </w:pPr>
      <w:r>
        <w:rPr>
          <w:sz w:val="24"/>
        </w:rPr>
        <w:t>This</w:t>
      </w:r>
      <w:r>
        <w:rPr>
          <w:spacing w:val="40"/>
          <w:sz w:val="24"/>
        </w:rPr>
        <w:t> </w:t>
      </w:r>
      <w:r>
        <w:rPr>
          <w:sz w:val="24"/>
        </w:rPr>
        <w:t>thesis</w:t>
      </w:r>
      <w:r>
        <w:rPr>
          <w:spacing w:val="40"/>
          <w:sz w:val="24"/>
        </w:rPr>
        <w:t> </w:t>
      </w:r>
      <w:r>
        <w:rPr>
          <w:sz w:val="24"/>
        </w:rPr>
        <w:t>entitled</w:t>
      </w:r>
      <w:r>
        <w:rPr>
          <w:spacing w:val="40"/>
          <w:sz w:val="24"/>
        </w:rPr>
        <w:t> </w:t>
      </w:r>
      <w:r>
        <w:rPr>
          <w:b/>
          <w:sz w:val="24"/>
        </w:rPr>
        <w:t>DETERMINATION</w:t>
      </w:r>
      <w:r>
        <w:rPr>
          <w:b/>
          <w:spacing w:val="40"/>
          <w:sz w:val="24"/>
        </w:rPr>
        <w:t> </w:t>
      </w:r>
      <w:r>
        <w:rPr>
          <w:b/>
          <w:sz w:val="24"/>
        </w:rPr>
        <w:t>OF</w:t>
      </w:r>
      <w:r>
        <w:rPr>
          <w:b/>
          <w:spacing w:val="40"/>
          <w:sz w:val="24"/>
        </w:rPr>
        <w:t> </w:t>
      </w:r>
      <w:r>
        <w:rPr>
          <w:b/>
          <w:sz w:val="24"/>
        </w:rPr>
        <w:t>SOME</w:t>
      </w:r>
      <w:r>
        <w:rPr>
          <w:b/>
          <w:spacing w:val="40"/>
          <w:sz w:val="24"/>
        </w:rPr>
        <w:t> </w:t>
      </w:r>
      <w:r>
        <w:rPr>
          <w:b/>
          <w:sz w:val="24"/>
        </w:rPr>
        <w:t>HEAVY</w:t>
      </w:r>
      <w:r>
        <w:rPr>
          <w:b/>
          <w:spacing w:val="40"/>
          <w:sz w:val="24"/>
        </w:rPr>
        <w:t> </w:t>
      </w:r>
      <w:r>
        <w:rPr>
          <w:b/>
          <w:sz w:val="24"/>
        </w:rPr>
        <w:t>METALS</w:t>
      </w:r>
      <w:r>
        <w:rPr>
          <w:b/>
          <w:spacing w:val="40"/>
          <w:sz w:val="24"/>
        </w:rPr>
        <w:t> </w:t>
      </w:r>
      <w:r>
        <w:rPr>
          <w:b/>
          <w:sz w:val="24"/>
        </w:rPr>
        <w:t>IN</w:t>
      </w:r>
      <w:r>
        <w:rPr>
          <w:b/>
          <w:spacing w:val="40"/>
          <w:sz w:val="24"/>
        </w:rPr>
        <w:t> </w:t>
      </w:r>
      <w:r>
        <w:rPr>
          <w:b/>
          <w:sz w:val="24"/>
        </w:rPr>
        <w:t>FISH</w:t>
      </w:r>
      <w:r>
        <w:rPr>
          <w:b/>
          <w:spacing w:val="40"/>
          <w:sz w:val="24"/>
        </w:rPr>
        <w:t> </w:t>
      </w:r>
      <w:r>
        <w:rPr>
          <w:b/>
          <w:sz w:val="24"/>
        </w:rPr>
        <w:t>AND</w:t>
      </w:r>
      <w:r>
        <w:rPr>
          <w:b/>
          <w:spacing w:val="80"/>
          <w:sz w:val="24"/>
        </w:rPr>
        <w:t> </w:t>
      </w:r>
      <w:r>
        <w:rPr>
          <w:b/>
          <w:spacing w:val="-2"/>
          <w:sz w:val="24"/>
        </w:rPr>
        <w:t>LIVESTOCK</w:t>
      </w:r>
      <w:r>
        <w:rPr>
          <w:b/>
          <w:sz w:val="24"/>
        </w:rPr>
        <w:tab/>
      </w:r>
      <w:r>
        <w:rPr>
          <w:b/>
          <w:spacing w:val="-2"/>
          <w:sz w:val="24"/>
        </w:rPr>
        <w:t>FEEDS,</w:t>
      </w:r>
      <w:r>
        <w:rPr>
          <w:b/>
          <w:sz w:val="24"/>
        </w:rPr>
        <w:tab/>
      </w:r>
      <w:r>
        <w:rPr>
          <w:b/>
          <w:spacing w:val="-2"/>
          <w:sz w:val="24"/>
        </w:rPr>
        <w:t>MANURE</w:t>
      </w:r>
      <w:r>
        <w:rPr>
          <w:b/>
          <w:sz w:val="24"/>
        </w:rPr>
        <w:tab/>
      </w:r>
      <w:r>
        <w:rPr>
          <w:b/>
          <w:spacing w:val="-5"/>
          <w:sz w:val="24"/>
        </w:rPr>
        <w:t>AND</w:t>
      </w:r>
      <w:r>
        <w:rPr>
          <w:b/>
          <w:sz w:val="24"/>
        </w:rPr>
        <w:tab/>
      </w:r>
      <w:r>
        <w:rPr>
          <w:b/>
          <w:spacing w:val="-2"/>
          <w:sz w:val="24"/>
        </w:rPr>
        <w:t>RIVERS</w:t>
      </w:r>
      <w:r>
        <w:rPr>
          <w:b/>
          <w:sz w:val="24"/>
        </w:rPr>
        <w:tab/>
      </w:r>
      <w:r>
        <w:rPr>
          <w:b/>
          <w:spacing w:val="-5"/>
          <w:sz w:val="24"/>
        </w:rPr>
        <w:t>IN</w:t>
      </w:r>
      <w:r>
        <w:rPr>
          <w:b/>
          <w:sz w:val="24"/>
        </w:rPr>
        <w:tab/>
      </w:r>
      <w:r>
        <w:rPr>
          <w:b/>
          <w:spacing w:val="-2"/>
          <w:sz w:val="24"/>
        </w:rPr>
        <w:t>SELECTED</w:t>
      </w:r>
      <w:r>
        <w:rPr>
          <w:b/>
          <w:sz w:val="24"/>
        </w:rPr>
        <w:tab/>
      </w:r>
      <w:r>
        <w:rPr>
          <w:b/>
          <w:spacing w:val="-2"/>
          <w:sz w:val="24"/>
        </w:rPr>
        <w:t>STATES</w:t>
      </w:r>
      <w:r>
        <w:rPr>
          <w:b/>
          <w:sz w:val="24"/>
        </w:rPr>
        <w:tab/>
      </w:r>
      <w:r>
        <w:rPr>
          <w:b/>
          <w:spacing w:val="-5"/>
          <w:sz w:val="24"/>
        </w:rPr>
        <w:t>IN</w:t>
      </w:r>
    </w:p>
    <w:p>
      <w:pPr>
        <w:spacing w:line="260" w:lineRule="exact" w:before="0"/>
        <w:ind w:left="420" w:right="0" w:firstLine="0"/>
        <w:jc w:val="left"/>
        <w:rPr>
          <w:sz w:val="24"/>
        </w:rPr>
      </w:pPr>
      <w:r>
        <w:rPr>
          <w:b/>
          <w:sz w:val="24"/>
        </w:rPr>
        <w:t>NORTHERN</w:t>
      </w:r>
      <w:r>
        <w:rPr>
          <w:b/>
          <w:spacing w:val="10"/>
          <w:sz w:val="24"/>
        </w:rPr>
        <w:t> </w:t>
      </w:r>
      <w:r>
        <w:rPr>
          <w:b/>
          <w:sz w:val="24"/>
        </w:rPr>
        <w:t>NIGERIA</w:t>
      </w:r>
      <w:r>
        <w:rPr>
          <w:b/>
          <w:spacing w:val="14"/>
          <w:sz w:val="24"/>
        </w:rPr>
        <w:t> </w:t>
      </w:r>
      <w:r>
        <w:rPr>
          <w:sz w:val="24"/>
        </w:rPr>
        <w:t>by</w:t>
      </w:r>
      <w:r>
        <w:rPr>
          <w:spacing w:val="9"/>
          <w:sz w:val="24"/>
        </w:rPr>
        <w:t> </w:t>
      </w:r>
      <w:r>
        <w:rPr>
          <w:sz w:val="24"/>
        </w:rPr>
        <w:t>YAHAYA</w:t>
      </w:r>
      <w:r>
        <w:rPr>
          <w:spacing w:val="8"/>
          <w:sz w:val="24"/>
        </w:rPr>
        <w:t> </w:t>
      </w:r>
      <w:r>
        <w:rPr>
          <w:sz w:val="24"/>
        </w:rPr>
        <w:t>SALAWU</w:t>
      </w:r>
      <w:r>
        <w:rPr>
          <w:spacing w:val="20"/>
          <w:sz w:val="24"/>
        </w:rPr>
        <w:t> </w:t>
      </w:r>
      <w:r>
        <w:rPr>
          <w:sz w:val="24"/>
        </w:rPr>
        <w:t>meets</w:t>
      </w:r>
      <w:r>
        <w:rPr>
          <w:spacing w:val="12"/>
          <w:sz w:val="24"/>
        </w:rPr>
        <w:t> </w:t>
      </w:r>
      <w:r>
        <w:rPr>
          <w:sz w:val="24"/>
        </w:rPr>
        <w:t>the</w:t>
      </w:r>
      <w:r>
        <w:rPr>
          <w:spacing w:val="12"/>
          <w:sz w:val="24"/>
        </w:rPr>
        <w:t> </w:t>
      </w:r>
      <w:r>
        <w:rPr>
          <w:sz w:val="24"/>
        </w:rPr>
        <w:t>regulations</w:t>
      </w:r>
      <w:r>
        <w:rPr>
          <w:spacing w:val="12"/>
          <w:sz w:val="24"/>
        </w:rPr>
        <w:t> </w:t>
      </w:r>
      <w:r>
        <w:rPr>
          <w:sz w:val="24"/>
        </w:rPr>
        <w:t>governing</w:t>
      </w:r>
      <w:r>
        <w:rPr>
          <w:spacing w:val="13"/>
          <w:sz w:val="24"/>
        </w:rPr>
        <w:t> </w:t>
      </w:r>
      <w:r>
        <w:rPr>
          <w:sz w:val="24"/>
        </w:rPr>
        <w:t>the</w:t>
      </w:r>
      <w:r>
        <w:rPr>
          <w:spacing w:val="13"/>
          <w:sz w:val="24"/>
        </w:rPr>
        <w:t> </w:t>
      </w:r>
      <w:r>
        <w:rPr>
          <w:spacing w:val="-2"/>
          <w:sz w:val="24"/>
        </w:rPr>
        <w:t>awards</w:t>
      </w:r>
    </w:p>
    <w:p>
      <w:pPr>
        <w:pStyle w:val="BodyText"/>
        <w:spacing w:line="237" w:lineRule="auto" w:before="5"/>
        <w:ind w:left="420" w:right="765"/>
      </w:pPr>
      <w:r>
        <w:rPr/>
        <w:t>of</w:t>
      </w:r>
      <w:r>
        <w:rPr>
          <w:spacing w:val="40"/>
        </w:rPr>
        <w:t> </w:t>
      </w:r>
      <w:r>
        <w:rPr/>
        <w:t>the</w:t>
      </w:r>
      <w:r>
        <w:rPr>
          <w:spacing w:val="40"/>
        </w:rPr>
        <w:t> </w:t>
      </w:r>
      <w:r>
        <w:rPr/>
        <w:t>degree</w:t>
      </w:r>
      <w:r>
        <w:rPr>
          <w:spacing w:val="40"/>
        </w:rPr>
        <w:t> </w:t>
      </w:r>
      <w:r>
        <w:rPr/>
        <w:t>of</w:t>
      </w:r>
      <w:r>
        <w:rPr>
          <w:spacing w:val="40"/>
        </w:rPr>
        <w:t> </w:t>
      </w:r>
      <w:r>
        <w:rPr/>
        <w:t>Doctorate</w:t>
      </w:r>
      <w:r>
        <w:rPr>
          <w:spacing w:val="40"/>
        </w:rPr>
        <w:t> </w:t>
      </w:r>
      <w:r>
        <w:rPr/>
        <w:t>of</w:t>
      </w:r>
      <w:r>
        <w:rPr>
          <w:spacing w:val="40"/>
        </w:rPr>
        <w:t> </w:t>
      </w:r>
      <w:r>
        <w:rPr/>
        <w:t>science</w:t>
      </w:r>
      <w:r>
        <w:rPr>
          <w:spacing w:val="40"/>
        </w:rPr>
        <w:t> </w:t>
      </w:r>
      <w:r>
        <w:rPr/>
        <w:t>of</w:t>
      </w:r>
      <w:r>
        <w:rPr>
          <w:spacing w:val="40"/>
        </w:rPr>
        <w:t> </w:t>
      </w:r>
      <w:r>
        <w:rPr/>
        <w:t>Ahmadu</w:t>
      </w:r>
      <w:r>
        <w:rPr>
          <w:spacing w:val="40"/>
        </w:rPr>
        <w:t> </w:t>
      </w:r>
      <w:r>
        <w:rPr/>
        <w:t>Bello</w:t>
      </w:r>
      <w:r>
        <w:rPr>
          <w:spacing w:val="40"/>
        </w:rPr>
        <w:t> </w:t>
      </w:r>
      <w:r>
        <w:rPr/>
        <w:t>University</w:t>
      </w:r>
      <w:r>
        <w:rPr>
          <w:spacing w:val="40"/>
        </w:rPr>
        <w:t> </w:t>
      </w:r>
      <w:r>
        <w:rPr/>
        <w:t>Zaria,</w:t>
      </w:r>
      <w:r>
        <w:rPr>
          <w:spacing w:val="40"/>
        </w:rPr>
        <w:t> </w:t>
      </w:r>
      <w:r>
        <w:rPr/>
        <w:t>Nigeria</w:t>
      </w:r>
      <w:r>
        <w:rPr>
          <w:spacing w:val="40"/>
        </w:rPr>
        <w:t> </w:t>
      </w:r>
      <w:r>
        <w:rPr/>
        <w:t>and</w:t>
      </w:r>
      <w:r>
        <w:rPr>
          <w:spacing w:val="67"/>
        </w:rPr>
        <w:t> </w:t>
      </w:r>
      <w:r>
        <w:rPr/>
        <w:t>it‟s approved for its contribution to knowledge and literary presentation.</w:t>
      </w:r>
    </w:p>
    <w:p>
      <w:pPr>
        <w:pStyle w:val="BodyText"/>
        <w:spacing w:before="202"/>
      </w:pPr>
    </w:p>
    <w:p>
      <w:pPr>
        <w:pStyle w:val="BodyText"/>
        <w:tabs>
          <w:tab w:pos="6902" w:val="left" w:leader="none"/>
        </w:tabs>
        <w:spacing w:line="275" w:lineRule="exact"/>
        <w:ind w:left="420"/>
      </w:pPr>
      <w:r>
        <w:rPr>
          <w:spacing w:val="-2"/>
        </w:rPr>
        <w:t>-----------------------------</w:t>
      </w:r>
      <w:r>
        <w:rPr>
          <w:spacing w:val="-10"/>
        </w:rPr>
        <w:t>-</w:t>
      </w:r>
      <w:r>
        <w:rPr/>
        <w:tab/>
        <w:t>Date:</w:t>
      </w:r>
      <w:r>
        <w:rPr>
          <w:spacing w:val="-11"/>
        </w:rPr>
        <w:t> </w:t>
      </w:r>
      <w:r>
        <w:rPr/>
        <w:t>------------------</w:t>
      </w:r>
      <w:r>
        <w:rPr>
          <w:spacing w:val="-10"/>
        </w:rPr>
        <w:t>-</w:t>
      </w:r>
    </w:p>
    <w:p>
      <w:pPr>
        <w:pStyle w:val="BodyText"/>
        <w:spacing w:line="242" w:lineRule="auto"/>
        <w:ind w:left="420" w:right="6674"/>
      </w:pPr>
      <w:r>
        <w:rPr/>
        <w:t>Prof. Ibrahim A. Yakasai Chairman,</w:t>
      </w:r>
      <w:r>
        <w:rPr>
          <w:spacing w:val="-15"/>
        </w:rPr>
        <w:t> </w:t>
      </w:r>
      <w:r>
        <w:rPr/>
        <w:t>Supervisory</w:t>
      </w:r>
      <w:r>
        <w:rPr>
          <w:spacing w:val="-15"/>
        </w:rPr>
        <w:t> </w:t>
      </w:r>
      <w:r>
        <w:rPr/>
        <w:t>Committee</w:t>
      </w:r>
    </w:p>
    <w:p>
      <w:pPr>
        <w:pStyle w:val="BodyText"/>
        <w:tabs>
          <w:tab w:pos="6902" w:val="left" w:leader="none"/>
        </w:tabs>
        <w:spacing w:line="275" w:lineRule="exact" w:before="272"/>
        <w:ind w:left="420"/>
      </w:pPr>
      <w:r>
        <w:rPr>
          <w:spacing w:val="-2"/>
        </w:rPr>
        <w:t>-----------------------------</w:t>
      </w:r>
      <w:r>
        <w:rPr>
          <w:spacing w:val="-10"/>
        </w:rPr>
        <w:t>-</w:t>
      </w:r>
      <w:r>
        <w:rPr/>
        <w:tab/>
        <w:t>Date:</w:t>
      </w:r>
      <w:r>
        <w:rPr>
          <w:spacing w:val="-10"/>
        </w:rPr>
        <w:t> </w:t>
      </w:r>
      <w:r>
        <w:rPr/>
        <w:t>-------------------</w:t>
      </w:r>
      <w:r>
        <w:rPr>
          <w:spacing w:val="-10"/>
        </w:rPr>
        <w:t>-</w:t>
      </w:r>
    </w:p>
    <w:p>
      <w:pPr>
        <w:pStyle w:val="BodyText"/>
        <w:spacing w:line="275" w:lineRule="exact"/>
        <w:ind w:left="420"/>
      </w:pPr>
      <w:r>
        <w:rPr/>
        <w:t>Prof.</w:t>
      </w:r>
      <w:r>
        <w:rPr>
          <w:spacing w:val="-4"/>
        </w:rPr>
        <w:t> </w:t>
      </w:r>
      <w:r>
        <w:rPr/>
        <w:t>Garba</w:t>
      </w:r>
      <w:r>
        <w:rPr>
          <w:spacing w:val="-3"/>
        </w:rPr>
        <w:t> </w:t>
      </w:r>
      <w:r>
        <w:rPr>
          <w:spacing w:val="-2"/>
        </w:rPr>
        <w:t>Magaji</w:t>
      </w:r>
    </w:p>
    <w:p>
      <w:pPr>
        <w:pStyle w:val="BodyText"/>
        <w:spacing w:before="3"/>
        <w:ind w:left="420"/>
      </w:pPr>
      <w:r>
        <w:rPr/>
        <w:t>Member,</w:t>
      </w:r>
      <w:r>
        <w:rPr>
          <w:spacing w:val="-1"/>
        </w:rPr>
        <w:t> </w:t>
      </w:r>
      <w:r>
        <w:rPr/>
        <w:t>Supervisory</w:t>
      </w:r>
      <w:r>
        <w:rPr>
          <w:spacing w:val="-11"/>
        </w:rPr>
        <w:t> </w:t>
      </w:r>
      <w:r>
        <w:rPr>
          <w:spacing w:val="-2"/>
        </w:rPr>
        <w:t>Committee</w:t>
      </w:r>
    </w:p>
    <w:p>
      <w:pPr>
        <w:pStyle w:val="BodyText"/>
      </w:pPr>
    </w:p>
    <w:p>
      <w:pPr>
        <w:pStyle w:val="BodyText"/>
        <w:tabs>
          <w:tab w:pos="6902" w:val="left" w:leader="none"/>
        </w:tabs>
        <w:spacing w:line="275" w:lineRule="exact"/>
        <w:ind w:left="420"/>
      </w:pPr>
      <w:r>
        <w:rPr>
          <w:spacing w:val="-2"/>
        </w:rPr>
        <w:t>----------------------------</w:t>
      </w:r>
      <w:r>
        <w:rPr>
          <w:spacing w:val="-10"/>
        </w:rPr>
        <w:t>-</w:t>
      </w:r>
      <w:r>
        <w:rPr/>
        <w:tab/>
        <w:t>Date:</w:t>
      </w:r>
      <w:r>
        <w:rPr>
          <w:spacing w:val="-10"/>
        </w:rPr>
        <w:t> </w:t>
      </w:r>
      <w:r>
        <w:rPr/>
        <w:t>-------------------</w:t>
      </w:r>
      <w:r>
        <w:rPr>
          <w:spacing w:val="-10"/>
        </w:rPr>
        <w:t>-</w:t>
      </w:r>
    </w:p>
    <w:p>
      <w:pPr>
        <w:pStyle w:val="BodyText"/>
        <w:spacing w:line="275" w:lineRule="exact"/>
        <w:ind w:left="420"/>
      </w:pPr>
      <w:r>
        <w:rPr/>
        <w:t>Dr.</w:t>
      </w:r>
      <w:r>
        <w:rPr>
          <w:spacing w:val="-2"/>
        </w:rPr>
        <w:t> </w:t>
      </w:r>
      <w:r>
        <w:rPr/>
        <w:t>M.</w:t>
      </w:r>
      <w:r>
        <w:rPr>
          <w:spacing w:val="-1"/>
        </w:rPr>
        <w:t> </w:t>
      </w:r>
      <w:r>
        <w:rPr/>
        <w:t>A.</w:t>
      </w:r>
      <w:r>
        <w:rPr>
          <w:spacing w:val="1"/>
        </w:rPr>
        <w:t> </w:t>
      </w:r>
      <w:r>
        <w:rPr>
          <w:spacing w:val="-4"/>
        </w:rPr>
        <w:t>Usman</w:t>
      </w:r>
    </w:p>
    <w:p>
      <w:pPr>
        <w:pStyle w:val="BodyText"/>
        <w:spacing w:before="3"/>
        <w:ind w:left="420"/>
      </w:pPr>
      <w:r>
        <w:rPr/>
        <w:t>Member,</w:t>
      </w:r>
      <w:r>
        <w:rPr>
          <w:spacing w:val="-1"/>
        </w:rPr>
        <w:t> </w:t>
      </w:r>
      <w:r>
        <w:rPr/>
        <w:t>Supervisory</w:t>
      </w:r>
      <w:r>
        <w:rPr>
          <w:spacing w:val="-11"/>
        </w:rPr>
        <w:t> </w:t>
      </w:r>
      <w:r>
        <w:rPr>
          <w:spacing w:val="-2"/>
        </w:rPr>
        <w:t>Committee</w:t>
      </w:r>
    </w:p>
    <w:p>
      <w:pPr>
        <w:pStyle w:val="BodyText"/>
        <w:spacing w:before="134"/>
      </w:pPr>
    </w:p>
    <w:p>
      <w:pPr>
        <w:pStyle w:val="BodyText"/>
        <w:tabs>
          <w:tab w:pos="6902" w:val="left" w:leader="none"/>
        </w:tabs>
        <w:ind w:left="420"/>
      </w:pPr>
      <w:r>
        <w:rPr>
          <w:spacing w:val="-2"/>
        </w:rPr>
        <w:t>----------------------------</w:t>
      </w:r>
      <w:r>
        <w:rPr>
          <w:spacing w:val="-10"/>
        </w:rPr>
        <w:t>-</w:t>
      </w:r>
      <w:r>
        <w:rPr/>
        <w:tab/>
        <w:t>Date:</w:t>
      </w:r>
      <w:r>
        <w:rPr>
          <w:spacing w:val="-7"/>
        </w:rPr>
        <w:t> </w:t>
      </w:r>
      <w:r>
        <w:rPr/>
        <w:t>-------------------</w:t>
      </w:r>
      <w:r>
        <w:rPr>
          <w:spacing w:val="-10"/>
        </w:rPr>
        <w:t>-</w:t>
      </w:r>
    </w:p>
    <w:p>
      <w:pPr>
        <w:pStyle w:val="BodyText"/>
        <w:spacing w:line="237" w:lineRule="auto" w:before="145"/>
        <w:ind w:left="420" w:right="7993"/>
      </w:pPr>
      <w:r>
        <w:rPr/>
        <w:t>Prof. A. M. Musa Head</w:t>
      </w:r>
      <w:r>
        <w:rPr>
          <w:spacing w:val="-15"/>
        </w:rPr>
        <w:t> </w:t>
      </w:r>
      <w:r>
        <w:rPr/>
        <w:t>of</w:t>
      </w:r>
      <w:r>
        <w:rPr>
          <w:spacing w:val="-15"/>
        </w:rPr>
        <w:t> </w:t>
      </w:r>
      <w:r>
        <w:rPr/>
        <w:t>Department</w:t>
      </w:r>
    </w:p>
    <w:p>
      <w:pPr>
        <w:pStyle w:val="BodyText"/>
      </w:pPr>
    </w:p>
    <w:p>
      <w:pPr>
        <w:pStyle w:val="BodyText"/>
        <w:spacing w:before="3"/>
      </w:pPr>
    </w:p>
    <w:p>
      <w:pPr>
        <w:pStyle w:val="BodyText"/>
        <w:tabs>
          <w:tab w:pos="6902" w:val="left" w:leader="none"/>
        </w:tabs>
        <w:spacing w:line="275" w:lineRule="exact"/>
        <w:ind w:left="420"/>
      </w:pPr>
      <w:r>
        <w:rPr>
          <w:spacing w:val="-2"/>
        </w:rPr>
        <w:t>----------------------------</w:t>
      </w:r>
      <w:r>
        <w:rPr>
          <w:spacing w:val="-10"/>
        </w:rPr>
        <w:t>-</w:t>
      </w:r>
      <w:r>
        <w:rPr/>
        <w:tab/>
        <w:t>Date:</w:t>
      </w:r>
      <w:r>
        <w:rPr>
          <w:spacing w:val="-12"/>
        </w:rPr>
        <w:t> </w:t>
      </w:r>
      <w:r>
        <w:rPr/>
        <w:t>-----------------</w:t>
      </w:r>
      <w:r>
        <w:rPr>
          <w:spacing w:val="-10"/>
        </w:rPr>
        <w:t>-</w:t>
      </w:r>
    </w:p>
    <w:p>
      <w:pPr>
        <w:pStyle w:val="BodyText"/>
        <w:spacing w:line="242" w:lineRule="auto"/>
        <w:ind w:left="420" w:right="7483"/>
      </w:pPr>
      <w:r>
        <w:rPr/>
        <w:t>Prof. A. Z. Abubakar Dean,</w:t>
      </w:r>
      <w:r>
        <w:rPr>
          <w:spacing w:val="-15"/>
        </w:rPr>
        <w:t> </w:t>
      </w:r>
      <w:r>
        <w:rPr/>
        <w:t>Postgraduate</w:t>
      </w:r>
      <w:r>
        <w:rPr>
          <w:spacing w:val="-15"/>
        </w:rPr>
        <w:t> </w:t>
      </w:r>
      <w:r>
        <w:rPr/>
        <w:t>School</w:t>
      </w:r>
    </w:p>
    <w:p>
      <w:pPr>
        <w:pStyle w:val="BodyText"/>
        <w:spacing w:line="271" w:lineRule="exact"/>
        <w:ind w:left="420"/>
      </w:pPr>
      <w:r>
        <w:rPr/>
        <w:t>Ahmadu</w:t>
      </w:r>
      <w:r>
        <w:rPr>
          <w:spacing w:val="-6"/>
        </w:rPr>
        <w:t> </w:t>
      </w:r>
      <w:r>
        <w:rPr/>
        <w:t>Bello</w:t>
      </w:r>
      <w:r>
        <w:rPr>
          <w:spacing w:val="-2"/>
        </w:rPr>
        <w:t> </w:t>
      </w:r>
      <w:r>
        <w:rPr/>
        <w:t>University,</w:t>
      </w:r>
      <w:r>
        <w:rPr>
          <w:spacing w:val="-4"/>
        </w:rPr>
        <w:t> </w:t>
      </w:r>
      <w:r>
        <w:rPr>
          <w:spacing w:val="-2"/>
        </w:rPr>
        <w:t>Zaria.</w:t>
      </w:r>
    </w:p>
    <w:p>
      <w:pPr>
        <w:spacing w:after="0" w:line="271" w:lineRule="exact"/>
        <w:sectPr>
          <w:pgSz w:w="12240" w:h="15840"/>
          <w:pgMar w:header="0" w:footer="1012" w:top="1360" w:bottom="1200" w:left="1020" w:right="720"/>
        </w:sectPr>
      </w:pPr>
    </w:p>
    <w:p>
      <w:pPr>
        <w:pStyle w:val="Heading2"/>
        <w:spacing w:before="72"/>
        <w:ind w:left="0" w:right="565"/>
        <w:jc w:val="center"/>
      </w:pPr>
      <w:bookmarkStart w:name="_TOC_250026" w:id="3"/>
      <w:bookmarkEnd w:id="3"/>
      <w:r>
        <w:rPr>
          <w:spacing w:val="-2"/>
        </w:rPr>
        <w:t>Acknowledgement</w:t>
      </w:r>
    </w:p>
    <w:p>
      <w:pPr>
        <w:pStyle w:val="BodyText"/>
        <w:spacing w:before="62"/>
        <w:rPr>
          <w:b/>
        </w:rPr>
      </w:pPr>
    </w:p>
    <w:p>
      <w:pPr>
        <w:pStyle w:val="BodyText"/>
        <w:spacing w:line="355" w:lineRule="auto"/>
        <w:ind w:left="420" w:right="721"/>
        <w:jc w:val="both"/>
      </w:pPr>
      <w:r>
        <w:rPr/>
        <w:t>All praises be to Allah the Omnipotent. I am very grateful to Allah who in His infinite mercy allow me accomplish my studies successfully.</w:t>
      </w:r>
    </w:p>
    <w:p>
      <w:pPr>
        <w:pStyle w:val="BodyText"/>
        <w:spacing w:line="360" w:lineRule="auto" w:before="211"/>
        <w:ind w:left="420" w:right="717"/>
        <w:jc w:val="both"/>
      </w:pPr>
      <w:r>
        <w:rPr/>
        <w:t>I specially acknowledge and appreciate the relentless efforts made by my supervisors Prof. I. A. Yakasai Prof. Magaji Garba and Dr. M. A. Usman for their guidance, concern, experience, kindness, patience</w:t>
      </w:r>
      <w:r>
        <w:rPr>
          <w:spacing w:val="-2"/>
        </w:rPr>
        <w:t> </w:t>
      </w:r>
      <w:r>
        <w:rPr/>
        <w:t>and conspicuous</w:t>
      </w:r>
      <w:r>
        <w:rPr>
          <w:spacing w:val="-3"/>
        </w:rPr>
        <w:t> </w:t>
      </w:r>
      <w:r>
        <w:rPr/>
        <w:t>sacrifices in</w:t>
      </w:r>
      <w:r>
        <w:rPr>
          <w:spacing w:val="-1"/>
        </w:rPr>
        <w:t> </w:t>
      </w:r>
      <w:r>
        <w:rPr/>
        <w:t>the</w:t>
      </w:r>
      <w:r>
        <w:rPr>
          <w:spacing w:val="-2"/>
        </w:rPr>
        <w:t> </w:t>
      </w:r>
      <w:r>
        <w:rPr/>
        <w:t>course</w:t>
      </w:r>
      <w:r>
        <w:rPr>
          <w:spacing w:val="-7"/>
        </w:rPr>
        <w:t> </w:t>
      </w:r>
      <w:r>
        <w:rPr/>
        <w:t>of</w:t>
      </w:r>
      <w:r>
        <w:rPr>
          <w:spacing w:val="-9"/>
        </w:rPr>
        <w:t> </w:t>
      </w:r>
      <w:r>
        <w:rPr/>
        <w:t>this</w:t>
      </w:r>
      <w:r>
        <w:rPr>
          <w:spacing w:val="-3"/>
        </w:rPr>
        <w:t> </w:t>
      </w:r>
      <w:r>
        <w:rPr/>
        <w:t>study. They have been</w:t>
      </w:r>
      <w:r>
        <w:rPr>
          <w:spacing w:val="-4"/>
        </w:rPr>
        <w:t> </w:t>
      </w:r>
      <w:r>
        <w:rPr/>
        <w:t>a major contributor to the success of this work.</w:t>
      </w:r>
    </w:p>
    <w:p>
      <w:pPr>
        <w:pStyle w:val="BodyText"/>
        <w:spacing w:line="357" w:lineRule="auto" w:before="203"/>
        <w:ind w:left="420" w:right="717"/>
        <w:jc w:val="both"/>
      </w:pPr>
      <w:r>
        <w:rPr/>
        <w:t>Special thanks to Mallam Ilyasu Salisu and Musa Mohammed of the Pharmaceutical and Medicinal Chemistry department, Ahmadu Bello University, Zaria. I give thanks to Mr. Pius Ikokoh and other members of staff of the Chemistry department, Shetco-Sheda, Abuja for the great assistance rendered to the successful completion of this work.</w:t>
      </w:r>
    </w:p>
    <w:p>
      <w:pPr>
        <w:pStyle w:val="BodyText"/>
        <w:spacing w:line="360" w:lineRule="auto" w:before="208"/>
        <w:ind w:left="420" w:right="712"/>
        <w:jc w:val="both"/>
      </w:pPr>
      <w:r>
        <w:rPr/>
        <w:t>My sincere gratitude goes to the Head of department of Pharmaceutical and Medicinal Chemistry, Ahmadu Bello University, Zaria</w:t>
      </w:r>
      <w:r>
        <w:rPr>
          <w:spacing w:val="-2"/>
        </w:rPr>
        <w:t> </w:t>
      </w:r>
      <w:r>
        <w:rPr/>
        <w:t>and</w:t>
      </w:r>
      <w:r>
        <w:rPr>
          <w:spacing w:val="-1"/>
        </w:rPr>
        <w:t> </w:t>
      </w:r>
      <w:r>
        <w:rPr/>
        <w:t>the</w:t>
      </w:r>
      <w:r>
        <w:rPr>
          <w:spacing w:val="-2"/>
        </w:rPr>
        <w:t> </w:t>
      </w:r>
      <w:r>
        <w:rPr/>
        <w:t>entire staff</w:t>
      </w:r>
      <w:r>
        <w:rPr>
          <w:spacing w:val="-4"/>
        </w:rPr>
        <w:t> </w:t>
      </w:r>
      <w:r>
        <w:rPr/>
        <w:t>of</w:t>
      </w:r>
      <w:r>
        <w:rPr>
          <w:spacing w:val="-4"/>
        </w:rPr>
        <w:t> </w:t>
      </w:r>
      <w:r>
        <w:rPr/>
        <w:t>the</w:t>
      </w:r>
      <w:r>
        <w:rPr>
          <w:spacing w:val="-2"/>
        </w:rPr>
        <w:t> </w:t>
      </w:r>
      <w:r>
        <w:rPr/>
        <w:t>department for the</w:t>
      </w:r>
      <w:r>
        <w:rPr>
          <w:spacing w:val="-2"/>
        </w:rPr>
        <w:t> </w:t>
      </w:r>
      <w:r>
        <w:rPr/>
        <w:t>support and encouragement throughout the course of my study.</w:t>
      </w:r>
    </w:p>
    <w:p>
      <w:pPr>
        <w:pStyle w:val="BodyText"/>
        <w:spacing w:line="357" w:lineRule="auto" w:before="203"/>
        <w:ind w:left="420" w:right="717"/>
        <w:jc w:val="both"/>
      </w:pPr>
      <w:r>
        <w:rPr/>
        <w:t>I humbly dedicate this thesis to my late mother Fatima Abdullahi Salawu. I also express my profound gratitude to my family, colleagues and good friends especially Dr. U. Ejike and Abubakar Muhammad for their understanding, encouragement and moral support.</w:t>
      </w:r>
    </w:p>
    <w:p>
      <w:pPr>
        <w:pStyle w:val="BodyText"/>
        <w:spacing w:before="202"/>
        <w:ind w:left="545"/>
        <w:jc w:val="both"/>
      </w:pPr>
      <w:r>
        <w:rPr/>
        <w:t>Above</w:t>
      </w:r>
      <w:r>
        <w:rPr>
          <w:spacing w:val="-4"/>
        </w:rPr>
        <w:t> </w:t>
      </w:r>
      <w:r>
        <w:rPr/>
        <w:t>all,</w:t>
      </w:r>
      <w:r>
        <w:rPr>
          <w:spacing w:val="1"/>
        </w:rPr>
        <w:t> </w:t>
      </w:r>
      <w:r>
        <w:rPr/>
        <w:t>I</w:t>
      </w:r>
      <w:r>
        <w:rPr>
          <w:spacing w:val="1"/>
        </w:rPr>
        <w:t> </w:t>
      </w:r>
      <w:r>
        <w:rPr/>
        <w:t>remain</w:t>
      </w:r>
      <w:r>
        <w:rPr>
          <w:spacing w:val="-1"/>
        </w:rPr>
        <w:t> </w:t>
      </w:r>
      <w:r>
        <w:rPr/>
        <w:t>very</w:t>
      </w:r>
      <w:r>
        <w:rPr>
          <w:spacing w:val="-5"/>
        </w:rPr>
        <w:t> </w:t>
      </w:r>
      <w:r>
        <w:rPr/>
        <w:t>grateful</w:t>
      </w:r>
      <w:r>
        <w:rPr>
          <w:spacing w:val="-9"/>
        </w:rPr>
        <w:t> </w:t>
      </w:r>
      <w:r>
        <w:rPr/>
        <w:t>to</w:t>
      </w:r>
      <w:r>
        <w:rPr>
          <w:spacing w:val="5"/>
        </w:rPr>
        <w:t> </w:t>
      </w:r>
      <w:r>
        <w:rPr/>
        <w:t>the</w:t>
      </w:r>
      <w:r>
        <w:rPr>
          <w:spacing w:val="-1"/>
        </w:rPr>
        <w:t> </w:t>
      </w:r>
      <w:r>
        <w:rPr/>
        <w:t>Almighty</w:t>
      </w:r>
      <w:r>
        <w:rPr>
          <w:spacing w:val="-5"/>
        </w:rPr>
        <w:t> </w:t>
      </w:r>
      <w:r>
        <w:rPr>
          <w:spacing w:val="-2"/>
        </w:rPr>
        <w:t>Allah.</w:t>
      </w:r>
    </w:p>
    <w:p>
      <w:pPr>
        <w:spacing w:after="0"/>
        <w:jc w:val="both"/>
        <w:sectPr>
          <w:pgSz w:w="12240" w:h="15840"/>
          <w:pgMar w:header="0" w:footer="1012" w:top="1360" w:bottom="1200" w:left="1020" w:right="720"/>
        </w:sectPr>
      </w:pPr>
    </w:p>
    <w:p>
      <w:pPr>
        <w:pStyle w:val="Heading2"/>
        <w:spacing w:before="77"/>
        <w:ind w:left="0" w:right="127"/>
        <w:jc w:val="center"/>
      </w:pPr>
      <w:bookmarkStart w:name="_TOC_250025" w:id="4"/>
      <w:bookmarkEnd w:id="4"/>
      <w:r>
        <w:rPr>
          <w:spacing w:val="-2"/>
        </w:rPr>
        <w:t>Abstract</w:t>
      </w:r>
    </w:p>
    <w:p>
      <w:pPr>
        <w:pStyle w:val="BodyText"/>
        <w:spacing w:line="360" w:lineRule="auto" w:before="132"/>
        <w:ind w:left="420" w:right="711"/>
        <w:jc w:val="both"/>
      </w:pPr>
      <w:r>
        <w:rPr/>
        <w:t>The increasing levels of environmental pollution by toxic metals from various sources have generated a great concern on their impact on human health. Rapid developments, increase in mining activities, farming, insurgency, industrial activities and waste disposals have gradually redistributed many of the toxic metals from the earth crust to the environment, raising the chances of exposure through ingestion, inhalation or skin contact. This study is aimed at determining</w:t>
      </w:r>
      <w:r>
        <w:rPr>
          <w:spacing w:val="-1"/>
        </w:rPr>
        <w:t> </w:t>
      </w:r>
      <w:r>
        <w:rPr/>
        <w:t>the concentrations</w:t>
      </w:r>
      <w:r>
        <w:rPr>
          <w:spacing w:val="-3"/>
        </w:rPr>
        <w:t> </w:t>
      </w:r>
      <w:r>
        <w:rPr/>
        <w:t>of</w:t>
      </w:r>
      <w:r>
        <w:rPr>
          <w:spacing w:val="-4"/>
        </w:rPr>
        <w:t> </w:t>
      </w:r>
      <w:r>
        <w:rPr/>
        <w:t>zinc, copper, nickel, lead and</w:t>
      </w:r>
      <w:r>
        <w:rPr>
          <w:spacing w:val="-1"/>
        </w:rPr>
        <w:t> </w:t>
      </w:r>
      <w:r>
        <w:rPr/>
        <w:t>arsenic metals in four compound fish feeds [FA, FB, FC and FD] poultry feeds [PA, PB, PC and PD], forage grasses; animal manure and major rivers (Kaduna, Sokoto and Ngadda) obtained in northern Nigeria. Brands of compound fish and poultry feed samples were collected from five different distributors of the feeds. Forage grass and manure samples from five different grazing pasture stations in north central, north western and north eastern zones of Nigeria were collected. Water samples were also collected from the rivers Kaduna, Sokoto and Ngadda. The samples were digested with concentrated nitric acid (HNO</w:t>
      </w:r>
      <w:r>
        <w:rPr>
          <w:vertAlign w:val="subscript"/>
        </w:rPr>
        <w:t>3</w:t>
      </w:r>
      <w:r>
        <w:rPr>
          <w:vertAlign w:val="baseline"/>
        </w:rPr>
        <w:t>), concentrated sulphuric acid (H</w:t>
      </w:r>
      <w:r>
        <w:rPr>
          <w:vertAlign w:val="subscript"/>
        </w:rPr>
        <w:t>2</w:t>
      </w:r>
      <w:r>
        <w:rPr>
          <w:vertAlign w:val="baseline"/>
        </w:rPr>
        <w:t>SO</w:t>
      </w:r>
      <w:r>
        <w:rPr>
          <w:vertAlign w:val="subscript"/>
        </w:rPr>
        <w:t>4</w:t>
      </w:r>
      <w:r>
        <w:rPr>
          <w:vertAlign w:val="baseline"/>
        </w:rPr>
        <w:t>) and perchloric acid (HCIO</w:t>
      </w:r>
      <w:r>
        <w:rPr>
          <w:vertAlign w:val="subscript"/>
        </w:rPr>
        <w:t>4</w:t>
      </w:r>
      <w:r>
        <w:rPr>
          <w:vertAlign w:val="baseline"/>
        </w:rPr>
        <w:t>) in the ratio 1:2:1 (Uba </w:t>
      </w:r>
      <w:r>
        <w:rPr>
          <w:i/>
          <w:vertAlign w:val="baseline"/>
        </w:rPr>
        <w:t>et al.., </w:t>
      </w:r>
      <w:r>
        <w:rPr>
          <w:vertAlign w:val="baseline"/>
        </w:rPr>
        <w:t>2000). The Percentage recovery of the metals using the analytical method adopted gave range of 92.07 to 101.02% for feeds and 92.22 to 103.13% for manure was determined for the heavy metals by atomic absorption spectrophometry. The results obtained</w:t>
      </w:r>
      <w:r>
        <w:rPr>
          <w:spacing w:val="-4"/>
          <w:vertAlign w:val="baseline"/>
        </w:rPr>
        <w:t> </w:t>
      </w:r>
      <w:r>
        <w:rPr>
          <w:vertAlign w:val="baseline"/>
        </w:rPr>
        <w:t>expressed</w:t>
      </w:r>
      <w:r>
        <w:rPr>
          <w:spacing w:val="2"/>
          <w:vertAlign w:val="baseline"/>
        </w:rPr>
        <w:t> </w:t>
      </w:r>
      <w:r>
        <w:rPr>
          <w:vertAlign w:val="baseline"/>
        </w:rPr>
        <w:t>in</w:t>
      </w:r>
      <w:r>
        <w:rPr>
          <w:spacing w:val="-2"/>
          <w:vertAlign w:val="baseline"/>
        </w:rPr>
        <w:t> </w:t>
      </w:r>
      <w:r>
        <w:rPr>
          <w:vertAlign w:val="baseline"/>
        </w:rPr>
        <w:t>mg/kg</w:t>
      </w:r>
      <w:r>
        <w:rPr>
          <w:spacing w:val="3"/>
          <w:vertAlign w:val="baseline"/>
        </w:rPr>
        <w:t> </w:t>
      </w:r>
      <w:r>
        <w:rPr>
          <w:vertAlign w:val="baseline"/>
        </w:rPr>
        <w:t>for</w:t>
      </w:r>
      <w:r>
        <w:rPr>
          <w:spacing w:val="-1"/>
          <w:vertAlign w:val="baseline"/>
        </w:rPr>
        <w:t> </w:t>
      </w:r>
      <w:r>
        <w:rPr>
          <w:vertAlign w:val="baseline"/>
        </w:rPr>
        <w:t>livestock</w:t>
      </w:r>
      <w:r>
        <w:rPr>
          <w:spacing w:val="-2"/>
          <w:vertAlign w:val="baseline"/>
        </w:rPr>
        <w:t> </w:t>
      </w:r>
      <w:r>
        <w:rPr>
          <w:vertAlign w:val="baseline"/>
        </w:rPr>
        <w:t>feeds</w:t>
      </w:r>
      <w:r>
        <w:rPr>
          <w:spacing w:val="-4"/>
          <w:vertAlign w:val="baseline"/>
        </w:rPr>
        <w:t> </w:t>
      </w:r>
      <w:r>
        <w:rPr>
          <w:vertAlign w:val="baseline"/>
        </w:rPr>
        <w:t>showed</w:t>
      </w:r>
      <w:r>
        <w:rPr>
          <w:spacing w:val="-2"/>
          <w:vertAlign w:val="baseline"/>
        </w:rPr>
        <w:t> </w:t>
      </w:r>
      <w:r>
        <w:rPr>
          <w:vertAlign w:val="baseline"/>
        </w:rPr>
        <w:t>mean</w:t>
      </w:r>
      <w:r>
        <w:rPr>
          <w:spacing w:val="-6"/>
          <w:vertAlign w:val="baseline"/>
        </w:rPr>
        <w:t> </w:t>
      </w:r>
      <w:r>
        <w:rPr>
          <w:vertAlign w:val="baseline"/>
        </w:rPr>
        <w:t>concentration</w:t>
      </w:r>
      <w:r>
        <w:rPr>
          <w:spacing w:val="-7"/>
          <w:vertAlign w:val="baseline"/>
        </w:rPr>
        <w:t> </w:t>
      </w:r>
      <w:r>
        <w:rPr>
          <w:vertAlign w:val="baseline"/>
        </w:rPr>
        <w:t>ranges between</w:t>
      </w:r>
      <w:r>
        <w:rPr>
          <w:spacing w:val="-6"/>
          <w:vertAlign w:val="baseline"/>
        </w:rPr>
        <w:t> </w:t>
      </w:r>
      <w:r>
        <w:rPr>
          <w:spacing w:val="-4"/>
          <w:vertAlign w:val="baseline"/>
        </w:rPr>
        <w:t>5.10</w:t>
      </w:r>
    </w:p>
    <w:p>
      <w:pPr>
        <w:pStyle w:val="BodyText"/>
        <w:spacing w:before="1"/>
        <w:ind w:left="420"/>
        <w:jc w:val="both"/>
      </w:pPr>
      <w:r>
        <w:rPr/>
        <w:t>±</w:t>
      </w:r>
      <w:r>
        <w:rPr>
          <w:spacing w:val="1"/>
        </w:rPr>
        <w:t> </w:t>
      </w:r>
      <w:r>
        <w:rPr/>
        <w:t>0.04</w:t>
      </w:r>
      <w:r>
        <w:rPr>
          <w:spacing w:val="5"/>
        </w:rPr>
        <w:t> </w:t>
      </w:r>
      <w:r>
        <w:rPr/>
        <w:t>–</w:t>
      </w:r>
      <w:r>
        <w:rPr>
          <w:spacing w:val="6"/>
        </w:rPr>
        <w:t> </w:t>
      </w:r>
      <w:r>
        <w:rPr/>
        <w:t>6.38</w:t>
      </w:r>
      <w:r>
        <w:rPr>
          <w:spacing w:val="5"/>
        </w:rPr>
        <w:t> </w:t>
      </w:r>
      <w:r>
        <w:rPr/>
        <w:t>±</w:t>
      </w:r>
      <w:r>
        <w:rPr>
          <w:spacing w:val="3"/>
        </w:rPr>
        <w:t> </w:t>
      </w:r>
      <w:r>
        <w:rPr/>
        <w:t>1.50</w:t>
      </w:r>
      <w:r>
        <w:rPr>
          <w:spacing w:val="6"/>
        </w:rPr>
        <w:t> </w:t>
      </w:r>
      <w:r>
        <w:rPr/>
        <w:t>mg/kg</w:t>
      </w:r>
      <w:r>
        <w:rPr>
          <w:spacing w:val="10"/>
        </w:rPr>
        <w:t> </w:t>
      </w:r>
      <w:r>
        <w:rPr/>
        <w:t>for</w:t>
      </w:r>
      <w:r>
        <w:rPr>
          <w:spacing w:val="6"/>
        </w:rPr>
        <w:t> </w:t>
      </w:r>
      <w:r>
        <w:rPr/>
        <w:t>zinc</w:t>
      </w:r>
      <w:r>
        <w:rPr>
          <w:spacing w:val="5"/>
        </w:rPr>
        <w:t> </w:t>
      </w:r>
      <w:r>
        <w:rPr/>
        <w:t>as</w:t>
      </w:r>
      <w:r>
        <w:rPr>
          <w:spacing w:val="2"/>
        </w:rPr>
        <w:t> </w:t>
      </w:r>
      <w:r>
        <w:rPr/>
        <w:t>the</w:t>
      </w:r>
      <w:r>
        <w:rPr>
          <w:spacing w:val="8"/>
        </w:rPr>
        <w:t> </w:t>
      </w:r>
      <w:r>
        <w:rPr/>
        <w:t>highest</w:t>
      </w:r>
      <w:r>
        <w:rPr>
          <w:spacing w:val="10"/>
        </w:rPr>
        <w:t> </w:t>
      </w:r>
      <w:r>
        <w:rPr/>
        <w:t>concentrated</w:t>
      </w:r>
      <w:r>
        <w:rPr>
          <w:spacing w:val="5"/>
        </w:rPr>
        <w:t> </w:t>
      </w:r>
      <w:r>
        <w:rPr/>
        <w:t>heavy metal,</w:t>
      </w:r>
      <w:r>
        <w:rPr>
          <w:spacing w:val="12"/>
        </w:rPr>
        <w:t> </w:t>
      </w:r>
      <w:r>
        <w:rPr/>
        <w:t>followed</w:t>
      </w:r>
      <w:r>
        <w:rPr>
          <w:spacing w:val="5"/>
        </w:rPr>
        <w:t> </w:t>
      </w:r>
      <w:r>
        <w:rPr/>
        <w:t>by</w:t>
      </w:r>
      <w:r>
        <w:rPr>
          <w:spacing w:val="1"/>
        </w:rPr>
        <w:t> </w:t>
      </w:r>
      <w:r>
        <w:rPr/>
        <w:t>3.06</w:t>
      </w:r>
      <w:r>
        <w:rPr>
          <w:spacing w:val="6"/>
        </w:rPr>
        <w:t> </w:t>
      </w:r>
      <w:r>
        <w:rPr>
          <w:spacing w:val="-10"/>
        </w:rPr>
        <w:t>±</w:t>
      </w:r>
    </w:p>
    <w:p>
      <w:pPr>
        <w:pStyle w:val="BodyText"/>
        <w:spacing w:before="142"/>
        <w:ind w:left="420"/>
        <w:jc w:val="both"/>
      </w:pPr>
      <w:r>
        <w:rPr/>
        <w:t>1.08</w:t>
      </w:r>
      <w:r>
        <w:rPr>
          <w:spacing w:val="11"/>
        </w:rPr>
        <w:t> </w:t>
      </w:r>
      <w:r>
        <w:rPr/>
        <w:t>mg/kg</w:t>
      </w:r>
      <w:r>
        <w:rPr>
          <w:spacing w:val="7"/>
        </w:rPr>
        <w:t> </w:t>
      </w:r>
      <w:r>
        <w:rPr/>
        <w:t>–</w:t>
      </w:r>
      <w:r>
        <w:rPr>
          <w:spacing w:val="6"/>
        </w:rPr>
        <w:t> </w:t>
      </w:r>
      <w:r>
        <w:rPr/>
        <w:t>3.16</w:t>
      </w:r>
      <w:r>
        <w:rPr>
          <w:spacing w:val="11"/>
        </w:rPr>
        <w:t> </w:t>
      </w:r>
      <w:r>
        <w:rPr/>
        <w:t>±</w:t>
      </w:r>
      <w:r>
        <w:rPr>
          <w:spacing w:val="4"/>
        </w:rPr>
        <w:t> </w:t>
      </w:r>
      <w:r>
        <w:rPr/>
        <w:t>1.65</w:t>
      </w:r>
      <w:r>
        <w:rPr>
          <w:spacing w:val="12"/>
        </w:rPr>
        <w:t> </w:t>
      </w:r>
      <w:r>
        <w:rPr/>
        <w:t>mg/kg</w:t>
      </w:r>
      <w:r>
        <w:rPr>
          <w:spacing w:val="12"/>
        </w:rPr>
        <w:t> </w:t>
      </w:r>
      <w:r>
        <w:rPr/>
        <w:t>for</w:t>
      </w:r>
      <w:r>
        <w:rPr>
          <w:spacing w:val="7"/>
        </w:rPr>
        <w:t> </w:t>
      </w:r>
      <w:r>
        <w:rPr/>
        <w:t>copper,</w:t>
      </w:r>
      <w:r>
        <w:rPr>
          <w:spacing w:val="3"/>
        </w:rPr>
        <w:t> </w:t>
      </w:r>
      <w:r>
        <w:rPr/>
        <w:t>then</w:t>
      </w:r>
      <w:r>
        <w:rPr>
          <w:spacing w:val="5"/>
        </w:rPr>
        <w:t> </w:t>
      </w:r>
      <w:r>
        <w:rPr/>
        <w:t>0.14</w:t>
      </w:r>
      <w:r>
        <w:rPr>
          <w:spacing w:val="6"/>
        </w:rPr>
        <w:t> </w:t>
      </w:r>
      <w:r>
        <w:rPr/>
        <w:t>±</w:t>
      </w:r>
      <w:r>
        <w:rPr>
          <w:spacing w:val="3"/>
        </w:rPr>
        <w:t> </w:t>
      </w:r>
      <w:r>
        <w:rPr/>
        <w:t>0.08</w:t>
      </w:r>
      <w:r>
        <w:rPr>
          <w:spacing w:val="6"/>
        </w:rPr>
        <w:t> </w:t>
      </w:r>
      <w:r>
        <w:rPr/>
        <w:t>–</w:t>
      </w:r>
      <w:r>
        <w:rPr>
          <w:spacing w:val="6"/>
        </w:rPr>
        <w:t> </w:t>
      </w:r>
      <w:r>
        <w:rPr/>
        <w:t>0.38</w:t>
      </w:r>
      <w:r>
        <w:rPr>
          <w:spacing w:val="6"/>
        </w:rPr>
        <w:t> </w:t>
      </w:r>
      <w:r>
        <w:rPr/>
        <w:t>±</w:t>
      </w:r>
      <w:r>
        <w:rPr>
          <w:spacing w:val="8"/>
        </w:rPr>
        <w:t> </w:t>
      </w:r>
      <w:r>
        <w:rPr/>
        <w:t>0.25</w:t>
      </w:r>
      <w:r>
        <w:rPr>
          <w:spacing w:val="11"/>
        </w:rPr>
        <w:t> </w:t>
      </w:r>
      <w:r>
        <w:rPr/>
        <w:t>mg/kg</w:t>
      </w:r>
      <w:r>
        <w:rPr>
          <w:spacing w:val="11"/>
        </w:rPr>
        <w:t> </w:t>
      </w:r>
      <w:r>
        <w:rPr/>
        <w:t>for</w:t>
      </w:r>
      <w:r>
        <w:rPr>
          <w:spacing w:val="12"/>
        </w:rPr>
        <w:t> </w:t>
      </w:r>
      <w:r>
        <w:rPr/>
        <w:t>lead,</w:t>
      </w:r>
      <w:r>
        <w:rPr>
          <w:spacing w:val="9"/>
        </w:rPr>
        <w:t> </w:t>
      </w:r>
      <w:r>
        <w:rPr>
          <w:spacing w:val="-4"/>
        </w:rPr>
        <w:t>0.10</w:t>
      </w:r>
    </w:p>
    <w:p>
      <w:pPr>
        <w:pStyle w:val="BodyText"/>
        <w:spacing w:line="360" w:lineRule="auto" w:before="137"/>
        <w:ind w:left="420" w:right="714"/>
        <w:jc w:val="both"/>
      </w:pPr>
      <w:r>
        <w:rPr/>
        <w:t>± 0.44 – 0.19 ± 0.07 mg/kg for nickel, and 0.01 ± 0.02 - 0.05 ± 0.04 mg/kg for arsenic as the lowest concentrated metal in the compound fish feeds. For compound poultry feeds, the same trend as in fish feeds</w:t>
      </w:r>
      <w:r>
        <w:rPr>
          <w:spacing w:val="-2"/>
        </w:rPr>
        <w:t> </w:t>
      </w:r>
      <w:r>
        <w:rPr/>
        <w:t>was</w:t>
      </w:r>
      <w:r>
        <w:rPr>
          <w:spacing w:val="-2"/>
        </w:rPr>
        <w:t> </w:t>
      </w:r>
      <w:r>
        <w:rPr/>
        <w:t>observed with</w:t>
      </w:r>
      <w:r>
        <w:rPr>
          <w:spacing w:val="-5"/>
        </w:rPr>
        <w:t> </w:t>
      </w:r>
      <w:r>
        <w:rPr/>
        <w:t>a concentration</w:t>
      </w:r>
      <w:r>
        <w:rPr>
          <w:spacing w:val="-5"/>
        </w:rPr>
        <w:t> </w:t>
      </w:r>
      <w:r>
        <w:rPr/>
        <w:t>range of</w:t>
      </w:r>
      <w:r>
        <w:rPr>
          <w:spacing w:val="-8"/>
        </w:rPr>
        <w:t> </w:t>
      </w:r>
      <w:r>
        <w:rPr/>
        <w:t>5.06 ±</w:t>
      </w:r>
      <w:r>
        <w:rPr>
          <w:spacing w:val="-2"/>
        </w:rPr>
        <w:t> </w:t>
      </w:r>
      <w:r>
        <w:rPr/>
        <w:t>1.67 - 8.45</w:t>
      </w:r>
      <w:r>
        <w:rPr>
          <w:spacing w:val="-5"/>
        </w:rPr>
        <w:t> </w:t>
      </w:r>
      <w:r>
        <w:rPr/>
        <w:t>±</w:t>
      </w:r>
      <w:r>
        <w:rPr>
          <w:spacing w:val="-2"/>
        </w:rPr>
        <w:t> </w:t>
      </w:r>
      <w:r>
        <w:rPr/>
        <w:t>1.91 mg/kg for</w:t>
      </w:r>
      <w:r>
        <w:rPr>
          <w:spacing w:val="5"/>
        </w:rPr>
        <w:t> </w:t>
      </w:r>
      <w:r>
        <w:rPr/>
        <w:t>zinc,</w:t>
      </w:r>
      <w:r>
        <w:rPr>
          <w:spacing w:val="8"/>
        </w:rPr>
        <w:t> </w:t>
      </w:r>
      <w:r>
        <w:rPr/>
        <w:t>3.00</w:t>
      </w:r>
      <w:r>
        <w:rPr>
          <w:spacing w:val="5"/>
        </w:rPr>
        <w:t> </w:t>
      </w:r>
      <w:r>
        <w:rPr/>
        <w:t>±</w:t>
      </w:r>
      <w:r>
        <w:rPr>
          <w:spacing w:val="3"/>
        </w:rPr>
        <w:t> </w:t>
      </w:r>
      <w:r>
        <w:rPr/>
        <w:t>3.06</w:t>
      </w:r>
      <w:r>
        <w:rPr>
          <w:spacing w:val="1"/>
        </w:rPr>
        <w:t> </w:t>
      </w:r>
      <w:r>
        <w:rPr/>
        <w:t>-</w:t>
      </w:r>
      <w:r>
        <w:rPr>
          <w:spacing w:val="6"/>
        </w:rPr>
        <w:t> </w:t>
      </w:r>
      <w:r>
        <w:rPr/>
        <w:t>35</w:t>
      </w:r>
      <w:r>
        <w:rPr>
          <w:spacing w:val="1"/>
        </w:rPr>
        <w:t> </w:t>
      </w:r>
      <w:r>
        <w:rPr/>
        <w:t>±</w:t>
      </w:r>
      <w:r>
        <w:rPr>
          <w:spacing w:val="3"/>
        </w:rPr>
        <w:t> </w:t>
      </w:r>
      <w:r>
        <w:rPr/>
        <w:t>1.08</w:t>
      </w:r>
      <w:r>
        <w:rPr>
          <w:spacing w:val="1"/>
        </w:rPr>
        <w:t> </w:t>
      </w:r>
      <w:r>
        <w:rPr/>
        <w:t>mg/kg</w:t>
      </w:r>
      <w:r>
        <w:rPr>
          <w:spacing w:val="10"/>
        </w:rPr>
        <w:t> </w:t>
      </w:r>
      <w:r>
        <w:rPr/>
        <w:t>for</w:t>
      </w:r>
      <w:r>
        <w:rPr>
          <w:spacing w:val="5"/>
        </w:rPr>
        <w:t> </w:t>
      </w:r>
      <w:r>
        <w:rPr/>
        <w:t>copper,</w:t>
      </w:r>
      <w:r>
        <w:rPr>
          <w:spacing w:val="4"/>
        </w:rPr>
        <w:t> </w:t>
      </w:r>
      <w:r>
        <w:rPr/>
        <w:t>0.72</w:t>
      </w:r>
      <w:r>
        <w:rPr>
          <w:spacing w:val="5"/>
        </w:rPr>
        <w:t> </w:t>
      </w:r>
      <w:r>
        <w:rPr/>
        <w:t>±0.</w:t>
      </w:r>
      <w:r>
        <w:rPr>
          <w:spacing w:val="3"/>
        </w:rPr>
        <w:t> </w:t>
      </w:r>
      <w:r>
        <w:rPr/>
        <w:t>81</w:t>
      </w:r>
      <w:r>
        <w:rPr>
          <w:spacing w:val="1"/>
        </w:rPr>
        <w:t> </w:t>
      </w:r>
      <w:r>
        <w:rPr/>
        <w:t>-</w:t>
      </w:r>
      <w:r>
        <w:rPr>
          <w:spacing w:val="6"/>
        </w:rPr>
        <w:t> </w:t>
      </w:r>
      <w:r>
        <w:rPr/>
        <w:t>1.41</w:t>
      </w:r>
      <w:r>
        <w:rPr>
          <w:spacing w:val="4"/>
        </w:rPr>
        <w:t> </w:t>
      </w:r>
      <w:r>
        <w:rPr/>
        <w:t>±</w:t>
      </w:r>
      <w:r>
        <w:rPr>
          <w:spacing w:val="2"/>
        </w:rPr>
        <w:t> </w:t>
      </w:r>
      <w:r>
        <w:rPr/>
        <w:t>0.08 mg/kg</w:t>
      </w:r>
      <w:r>
        <w:rPr>
          <w:spacing w:val="10"/>
        </w:rPr>
        <w:t> </w:t>
      </w:r>
      <w:r>
        <w:rPr/>
        <w:t>for</w:t>
      </w:r>
      <w:r>
        <w:rPr>
          <w:spacing w:val="6"/>
        </w:rPr>
        <w:t> </w:t>
      </w:r>
      <w:r>
        <w:rPr/>
        <w:t>lead</w:t>
      </w:r>
      <w:r>
        <w:rPr>
          <w:spacing w:val="6"/>
        </w:rPr>
        <w:t> </w:t>
      </w:r>
      <w:r>
        <w:rPr>
          <w:spacing w:val="-4"/>
        </w:rPr>
        <w:t>0.04</w:t>
      </w:r>
    </w:p>
    <w:p>
      <w:pPr>
        <w:pStyle w:val="BodyText"/>
        <w:spacing w:line="360" w:lineRule="auto" w:before="1"/>
        <w:ind w:left="420" w:right="715"/>
        <w:jc w:val="both"/>
      </w:pPr>
      <w:r>
        <w:rPr/>
        <w:t>±</w:t>
      </w:r>
      <w:r>
        <w:rPr>
          <w:spacing w:val="-2"/>
        </w:rPr>
        <w:t> </w:t>
      </w:r>
      <w:r>
        <w:rPr/>
        <w:t>0.02z</w:t>
      </w:r>
      <w:r>
        <w:rPr>
          <w:spacing w:val="-1"/>
        </w:rPr>
        <w:t> </w:t>
      </w:r>
      <w:r>
        <w:rPr/>
        <w:t>- 0.10 ±</w:t>
      </w:r>
      <w:r>
        <w:rPr>
          <w:spacing w:val="-2"/>
        </w:rPr>
        <w:t> </w:t>
      </w:r>
      <w:r>
        <w:rPr/>
        <w:t>0.06 mg/kg for nickel</w:t>
      </w:r>
      <w:r>
        <w:rPr>
          <w:spacing w:val="-5"/>
        </w:rPr>
        <w:t> </w:t>
      </w:r>
      <w:r>
        <w:rPr/>
        <w:t>and non</w:t>
      </w:r>
      <w:r>
        <w:rPr>
          <w:spacing w:val="-4"/>
        </w:rPr>
        <w:t> </w:t>
      </w:r>
      <w:r>
        <w:rPr/>
        <w:t>detection</w:t>
      </w:r>
      <w:r>
        <w:rPr>
          <w:spacing w:val="-4"/>
        </w:rPr>
        <w:t> </w:t>
      </w:r>
      <w:r>
        <w:rPr/>
        <w:t>- 0.03 ±</w:t>
      </w:r>
      <w:r>
        <w:rPr>
          <w:spacing w:val="-2"/>
        </w:rPr>
        <w:t> </w:t>
      </w:r>
      <w:r>
        <w:rPr/>
        <w:t>0.01 mg/kg for arsenic. FA</w:t>
      </w:r>
      <w:r>
        <w:rPr>
          <w:spacing w:val="-5"/>
        </w:rPr>
        <w:t> </w:t>
      </w:r>
      <w:r>
        <w:rPr/>
        <w:t>and PB feed brands contained higher concentrations of the essential metals than the other brands sampled. The levels of the metals in the feeds were below the permissible limit stipulated by European Union. The mean concentrations of these metals in forage grasses being grazed by cattle in northern</w:t>
      </w:r>
      <w:r>
        <w:rPr>
          <w:spacing w:val="-2"/>
        </w:rPr>
        <w:t> </w:t>
      </w:r>
      <w:r>
        <w:rPr/>
        <w:t>Nigeria had highest zinc and copper levels (7.00 ± 2.04 mg/kg and 6.61 ± 0.82 mg/kg) respectively and highest arsenic concentration (0.33 ± 0.06 mg/kg) was obtained in Kagara</w:t>
      </w:r>
      <w:r>
        <w:rPr>
          <w:spacing w:val="1"/>
        </w:rPr>
        <w:t> </w:t>
      </w:r>
      <w:r>
        <w:rPr/>
        <w:t>areas</w:t>
      </w:r>
      <w:r>
        <w:rPr>
          <w:spacing w:val="-2"/>
        </w:rPr>
        <w:t> </w:t>
      </w:r>
      <w:r>
        <w:rPr/>
        <w:t>while</w:t>
      </w:r>
      <w:r>
        <w:rPr>
          <w:spacing w:val="3"/>
        </w:rPr>
        <w:t> </w:t>
      </w:r>
      <w:r>
        <w:rPr/>
        <w:t>highest</w:t>
      </w:r>
      <w:r>
        <w:rPr>
          <w:spacing w:val="6"/>
        </w:rPr>
        <w:t> </w:t>
      </w:r>
      <w:r>
        <w:rPr/>
        <w:t>nickel</w:t>
      </w:r>
      <w:r>
        <w:rPr>
          <w:spacing w:val="1"/>
        </w:rPr>
        <w:t> </w:t>
      </w:r>
      <w:r>
        <w:rPr/>
        <w:t>level</w:t>
      </w:r>
      <w:r>
        <w:rPr>
          <w:spacing w:val="-5"/>
        </w:rPr>
        <w:t> </w:t>
      </w:r>
      <w:r>
        <w:rPr/>
        <w:t>(0.83</w:t>
      </w:r>
      <w:r>
        <w:rPr>
          <w:spacing w:val="1"/>
        </w:rPr>
        <w:t> </w:t>
      </w:r>
      <w:r>
        <w:rPr/>
        <w:t>±</w:t>
      </w:r>
      <w:r>
        <w:rPr>
          <w:spacing w:val="-2"/>
        </w:rPr>
        <w:t> </w:t>
      </w:r>
      <w:r>
        <w:rPr/>
        <w:t>0 .56</w:t>
      </w:r>
      <w:r>
        <w:rPr>
          <w:spacing w:val="4"/>
        </w:rPr>
        <w:t> </w:t>
      </w:r>
      <w:r>
        <w:rPr/>
        <w:t>mg/kg)</w:t>
      </w:r>
      <w:r>
        <w:rPr>
          <w:spacing w:val="2"/>
        </w:rPr>
        <w:t> </w:t>
      </w:r>
      <w:r>
        <w:rPr/>
        <w:t>was</w:t>
      </w:r>
      <w:r>
        <w:rPr>
          <w:spacing w:val="-2"/>
        </w:rPr>
        <w:t> </w:t>
      </w:r>
      <w:r>
        <w:rPr/>
        <w:t>obtained</w:t>
      </w:r>
      <w:r>
        <w:rPr>
          <w:spacing w:val="6"/>
        </w:rPr>
        <w:t> </w:t>
      </w:r>
      <w:r>
        <w:rPr/>
        <w:t>in</w:t>
      </w:r>
      <w:r>
        <w:rPr>
          <w:spacing w:val="4"/>
        </w:rPr>
        <w:t> </w:t>
      </w:r>
      <w:r>
        <w:rPr/>
        <w:t>Zungeru</w:t>
      </w:r>
      <w:r>
        <w:rPr>
          <w:spacing w:val="-1"/>
        </w:rPr>
        <w:t> </w:t>
      </w:r>
      <w:r>
        <w:rPr/>
        <w:t>area,</w:t>
      </w:r>
      <w:r>
        <w:rPr>
          <w:spacing w:val="4"/>
        </w:rPr>
        <w:t> </w:t>
      </w:r>
      <w:r>
        <w:rPr/>
        <w:t>all</w:t>
      </w:r>
      <w:r>
        <w:rPr>
          <w:spacing w:val="1"/>
        </w:rPr>
        <w:t> </w:t>
      </w:r>
      <w:r>
        <w:rPr>
          <w:spacing w:val="-5"/>
        </w:rPr>
        <w:t>in</w:t>
      </w:r>
    </w:p>
    <w:p>
      <w:pPr>
        <w:spacing w:after="0" w:line="360" w:lineRule="auto"/>
        <w:jc w:val="both"/>
        <w:sectPr>
          <w:pgSz w:w="12240" w:h="15840"/>
          <w:pgMar w:header="0" w:footer="1012" w:top="1360" w:bottom="1200" w:left="1020" w:right="720"/>
        </w:sectPr>
      </w:pPr>
    </w:p>
    <w:p>
      <w:pPr>
        <w:pStyle w:val="BodyText"/>
        <w:spacing w:line="360" w:lineRule="auto" w:before="72"/>
        <w:ind w:left="420" w:right="710"/>
        <w:jc w:val="both"/>
      </w:pPr>
      <w:r>
        <w:rPr/>
        <w:t>North central zone. The levels were below the permissible limit (100 mg/kg) stipulated by European Union. The mean lead value 6.53 ± 0.51 mg/kg and 5.82 ± 0.63 mg/kg were obtained</w:t>
      </w:r>
      <w:r>
        <w:rPr>
          <w:spacing w:val="40"/>
        </w:rPr>
        <w:t> </w:t>
      </w:r>
      <w:r>
        <w:rPr/>
        <w:t>in Anka area, North west and Zungeru, North central Nigeria respectively and were above 5mg/kg stipulated by European Union for lead in feeds. The trend of the metal levels in poultry and cattle manures were Zn &gt; Cu &gt; Ni &gt; Pb &gt; As and Pb &gt; Zn &gt; Cu &gt; Ni</w:t>
      </w:r>
      <w:r>
        <w:rPr>
          <w:spacing w:val="-5"/>
        </w:rPr>
        <w:t> </w:t>
      </w:r>
      <w:r>
        <w:rPr/>
        <w:t>&gt; As respectively. The highest mean concentration 4.15 ± 2.64mg/kg was obtained in poultry manure related to zinc in North central while highest mean concentration 3.22 ± 0.01mg/kg in cattle manure is related to lead in Anka area in North western Nigeria. The feeds are relatively safe for aquaculture and livestock production. However, the forage grasses are relatively not safe for grazing by animals due to high lead levels. The high lead values in water samples indicate that Northern Nigerian environment is critically contaminated with respect to this toxic metal and thus pose serious environmental concern and may pose as risk to public health.</w:t>
      </w:r>
    </w:p>
    <w:p>
      <w:pPr>
        <w:spacing w:after="0" w:line="360" w:lineRule="auto"/>
        <w:jc w:val="both"/>
        <w:sectPr>
          <w:pgSz w:w="12240" w:h="15840"/>
          <w:pgMar w:header="0" w:footer="1012" w:top="1360" w:bottom="1200" w:left="1020" w:right="720"/>
        </w:sectPr>
      </w:pPr>
    </w:p>
    <w:p>
      <w:pPr>
        <w:pStyle w:val="Heading1"/>
        <w:spacing w:before="77"/>
        <w:ind w:left="420"/>
      </w:pPr>
      <w:bookmarkStart w:name="_TOC_250024" w:id="5"/>
      <w:r>
        <w:rPr/>
        <w:t>TABLE</w:t>
      </w:r>
      <w:r>
        <w:rPr>
          <w:spacing w:val="-1"/>
        </w:rPr>
        <w:t> </w:t>
      </w:r>
      <w:r>
        <w:rPr/>
        <w:t>OF</w:t>
      </w:r>
      <w:r>
        <w:rPr>
          <w:spacing w:val="-1"/>
        </w:rPr>
        <w:t> </w:t>
      </w:r>
      <w:bookmarkEnd w:id="5"/>
      <w:r>
        <w:rPr>
          <w:spacing w:val="-2"/>
        </w:rPr>
        <w:t>CONTENT</w:t>
      </w:r>
    </w:p>
    <w:p>
      <w:pPr>
        <w:spacing w:after="0"/>
        <w:sectPr>
          <w:pgSz w:w="12240" w:h="15840"/>
          <w:pgMar w:header="0" w:footer="1012" w:top="1360" w:bottom="1594" w:left="1020" w:right="720"/>
        </w:sectPr>
      </w:pPr>
    </w:p>
    <w:sdt>
      <w:sdtPr>
        <w:docPartObj>
          <w:docPartGallery w:val="Table of Contents"/>
          <w:docPartUnique/>
        </w:docPartObj>
      </w:sdtPr>
      <w:sdtEndPr/>
      <w:sdtContent>
        <w:p>
          <w:pPr>
            <w:pStyle w:val="TOC2"/>
            <w:tabs>
              <w:tab w:pos="1289" w:val="left" w:leader="none"/>
              <w:tab w:pos="1433" w:val="left" w:leader="none"/>
              <w:tab w:pos="8786" w:val="left" w:leader="none"/>
            </w:tabs>
            <w:spacing w:line="360" w:lineRule="auto"/>
            <w:ind w:left="420" w:right="1554" w:firstLine="0"/>
          </w:pPr>
          <w:r>
            <w:rPr>
              <w:spacing w:val="-2"/>
            </w:rPr>
            <w:t>Cover</w:t>
          </w:r>
          <w:r>
            <w:rPr/>
            <w:tab/>
          </w:r>
          <w:r>
            <w:rPr>
              <w:spacing w:val="-2"/>
            </w:rPr>
            <w:t>…………………………………………………………………………….</w:t>
          </w:r>
          <w:r>
            <w:rPr>
              <w:b w:val="0"/>
            </w:rPr>
            <w:tab/>
          </w:r>
          <w:r>
            <w:rPr>
              <w:spacing w:val="-10"/>
            </w:rPr>
            <w:t>i </w:t>
          </w:r>
          <w:r>
            <w:rPr/>
            <w:t>Fly</w:t>
          </w:r>
          <w:r>
            <w:rPr>
              <w:spacing w:val="-2"/>
            </w:rPr>
            <w:t> </w:t>
          </w:r>
          <w:r>
            <w:rPr>
              <w:spacing w:val="-4"/>
            </w:rPr>
            <w:t>leaf</w:t>
          </w:r>
          <w:r>
            <w:rPr/>
            <w:tab/>
            <w:tab/>
          </w:r>
          <w:r>
            <w:rPr>
              <w:spacing w:val="-2"/>
            </w:rPr>
            <w:t>…………………………………………………………………………..</w:t>
          </w:r>
          <w:r>
            <w:rPr>
              <w:b w:val="0"/>
            </w:rPr>
            <w:tab/>
          </w:r>
          <w:r>
            <w:rPr>
              <w:b w:val="0"/>
              <w:spacing w:val="-38"/>
            </w:rPr>
            <w:t> </w:t>
          </w:r>
          <w:r>
            <w:rPr>
              <w:spacing w:val="-5"/>
            </w:rPr>
            <w:t>ii</w:t>
          </w:r>
        </w:p>
        <w:p>
          <w:pPr>
            <w:pStyle w:val="TOC2"/>
            <w:tabs>
              <w:tab w:pos="1203" w:val="left" w:leader="none"/>
              <w:tab w:pos="8821" w:val="left" w:leader="none"/>
            </w:tabs>
            <w:spacing w:before="3"/>
            <w:ind w:left="420" w:firstLine="0"/>
          </w:pPr>
          <w:r>
            <w:rPr>
              <w:spacing w:val="-2"/>
            </w:rPr>
            <w:t>Title</w:t>
          </w:r>
          <w:r>
            <w:rPr/>
            <w:tab/>
          </w:r>
          <w:r>
            <w:rPr>
              <w:spacing w:val="-2"/>
            </w:rPr>
            <w:t>……………………………………………………………………………..</w:t>
          </w:r>
          <w:r>
            <w:rPr>
              <w:b w:val="0"/>
            </w:rPr>
            <w:tab/>
          </w:r>
          <w:r>
            <w:rPr>
              <w:spacing w:val="-5"/>
            </w:rPr>
            <w:t>iii</w:t>
          </w:r>
        </w:p>
        <w:p>
          <w:pPr>
            <w:pStyle w:val="TOC2"/>
            <w:tabs>
              <w:tab w:pos="8881" w:val="left" w:leader="none"/>
            </w:tabs>
            <w:ind w:left="420" w:firstLine="0"/>
          </w:pPr>
          <w:hyperlink w:history="true" w:anchor="_TOC_250028">
            <w:r>
              <w:rPr/>
              <w:t>Declaration</w:t>
            </w:r>
            <w:r>
              <w:rPr>
                <w:spacing w:val="61"/>
              </w:rPr>
              <w:t> </w:t>
            </w:r>
            <w:r>
              <w:rPr>
                <w:spacing w:val="-2"/>
              </w:rPr>
              <w:t>……………………………………………………………………….</w:t>
            </w:r>
            <w:r>
              <w:rPr>
                <w:b w:val="0"/>
              </w:rPr>
              <w:tab/>
            </w:r>
            <w:r>
              <w:rPr>
                <w:spacing w:val="-5"/>
              </w:rPr>
              <w:t>iv</w:t>
            </w:r>
          </w:hyperlink>
        </w:p>
        <w:p>
          <w:pPr>
            <w:pStyle w:val="TOC2"/>
            <w:tabs>
              <w:tab w:pos="8924" w:val="left" w:leader="none"/>
            </w:tabs>
            <w:spacing w:before="136"/>
            <w:ind w:left="420" w:firstLine="0"/>
          </w:pPr>
          <w:hyperlink w:history="true" w:anchor="_TOC_250027">
            <w:r>
              <w:rPr/>
              <w:t>Certification</w:t>
            </w:r>
            <w:r>
              <w:rPr>
                <w:spacing w:val="30"/>
              </w:rPr>
              <w:t>  </w:t>
            </w:r>
            <w:r>
              <w:rPr>
                <w:spacing w:val="-2"/>
              </w:rPr>
              <w:t>……………………………………………………………………..</w:t>
            </w:r>
            <w:r>
              <w:rPr>
                <w:b w:val="0"/>
              </w:rPr>
              <w:tab/>
            </w:r>
            <w:r>
              <w:rPr>
                <w:spacing w:val="-10"/>
              </w:rPr>
              <w:t>v</w:t>
            </w:r>
          </w:hyperlink>
        </w:p>
        <w:p>
          <w:pPr>
            <w:pStyle w:val="TOC2"/>
            <w:tabs>
              <w:tab w:pos="8853" w:val="left" w:leader="none"/>
            </w:tabs>
            <w:ind w:left="420" w:firstLine="0"/>
          </w:pPr>
          <w:hyperlink w:history="true" w:anchor="_TOC_250026">
            <w:r>
              <w:rPr/>
              <w:t>Acknowledgement</w:t>
            </w:r>
            <w:r>
              <w:rPr>
                <w:spacing w:val="58"/>
              </w:rPr>
              <w:t> </w:t>
            </w:r>
            <w:r>
              <w:rPr>
                <w:spacing w:val="-2"/>
              </w:rPr>
              <w:t>……………………………………………………………….</w:t>
            </w:r>
            <w:r>
              <w:rPr>
                <w:b w:val="0"/>
              </w:rPr>
              <w:tab/>
            </w:r>
            <w:r>
              <w:rPr>
                <w:spacing w:val="-5"/>
              </w:rPr>
              <w:t>vi</w:t>
            </w:r>
          </w:hyperlink>
        </w:p>
        <w:p>
          <w:pPr>
            <w:pStyle w:val="TOC2"/>
            <w:tabs>
              <w:tab w:pos="1860" w:val="left" w:leader="none"/>
              <w:tab w:pos="8886" w:val="left" w:leader="none"/>
            </w:tabs>
            <w:spacing w:before="142"/>
            <w:ind w:left="420" w:firstLine="0"/>
          </w:pPr>
          <w:hyperlink w:history="true" w:anchor="_TOC_250025">
            <w:r>
              <w:rPr>
                <w:spacing w:val="-2"/>
              </w:rPr>
              <w:t>Abstract</w:t>
            </w:r>
            <w:r>
              <w:rPr/>
              <w:tab/>
            </w:r>
            <w:r>
              <w:rPr>
                <w:spacing w:val="-2"/>
              </w:rPr>
              <w:t>……………………………………………………………..................</w:t>
            </w:r>
            <w:r>
              <w:rPr>
                <w:b w:val="0"/>
              </w:rPr>
              <w:tab/>
            </w:r>
            <w:r>
              <w:rPr>
                <w:spacing w:val="-5"/>
              </w:rPr>
              <w:t>vii</w:t>
            </w:r>
          </w:hyperlink>
        </w:p>
        <w:p>
          <w:pPr>
            <w:pStyle w:val="TOC2"/>
            <w:tabs>
              <w:tab w:pos="2581" w:val="left" w:leader="none"/>
              <w:tab w:pos="8948" w:val="left" w:leader="none"/>
            </w:tabs>
            <w:ind w:left="420" w:firstLine="0"/>
          </w:pPr>
          <w:hyperlink w:history="true" w:anchor="_TOC_250024">
            <w:r>
              <w:rPr/>
              <w:t>Table</w:t>
            </w:r>
            <w:r>
              <w:rPr>
                <w:spacing w:val="-3"/>
              </w:rPr>
              <w:t> </w:t>
            </w:r>
            <w:r>
              <w:rPr/>
              <w:t>of</w:t>
            </w:r>
            <w:r>
              <w:rPr>
                <w:spacing w:val="-3"/>
              </w:rPr>
              <w:t> </w:t>
            </w:r>
            <w:r>
              <w:rPr>
                <w:spacing w:val="-2"/>
              </w:rPr>
              <w:t>Content</w:t>
            </w:r>
            <w:r>
              <w:rPr/>
              <w:tab/>
            </w:r>
            <w:r>
              <w:rPr>
                <w:spacing w:val="-2"/>
              </w:rPr>
              <w:t>……………………………………………………………......</w:t>
            </w:r>
            <w:r>
              <w:rPr>
                <w:b w:val="0"/>
              </w:rPr>
              <w:tab/>
            </w:r>
            <w:r>
              <w:rPr>
                <w:spacing w:val="-4"/>
              </w:rPr>
              <w:t>viii</w:t>
            </w:r>
          </w:hyperlink>
        </w:p>
        <w:p>
          <w:pPr>
            <w:pStyle w:val="TOC2"/>
            <w:tabs>
              <w:tab w:pos="8935" w:val="left" w:leader="none"/>
            </w:tabs>
            <w:ind w:left="420" w:firstLine="0"/>
          </w:pPr>
          <w:hyperlink w:history="true" w:anchor="_TOC_250023">
            <w:r>
              <w:rPr/>
              <w:t>List of</w:t>
            </w:r>
            <w:r>
              <w:rPr>
                <w:spacing w:val="-2"/>
              </w:rPr>
              <w:t> </w:t>
            </w:r>
            <w:r>
              <w:rPr/>
              <w:t>Figures</w:t>
            </w:r>
            <w:r>
              <w:rPr>
                <w:spacing w:val="60"/>
              </w:rPr>
              <w:t> </w:t>
            </w:r>
            <w:r>
              <w:rPr>
                <w:spacing w:val="-2"/>
              </w:rPr>
              <w:t>………………………………………………………………………</w:t>
            </w:r>
            <w:r>
              <w:rPr>
                <w:b w:val="0"/>
              </w:rPr>
              <w:tab/>
            </w:r>
            <w:r>
              <w:rPr>
                <w:spacing w:val="-5"/>
              </w:rPr>
              <w:t>ix</w:t>
            </w:r>
          </w:hyperlink>
        </w:p>
        <w:p>
          <w:pPr>
            <w:pStyle w:val="TOC2"/>
            <w:tabs>
              <w:tab w:pos="8967" w:val="left" w:leader="none"/>
            </w:tabs>
            <w:ind w:left="420" w:firstLine="0"/>
          </w:pPr>
          <w:r>
            <w:rPr/>
            <w:t>List</w:t>
          </w:r>
          <w:r>
            <w:rPr>
              <w:spacing w:val="-1"/>
            </w:rPr>
            <w:t> </w:t>
          </w:r>
          <w:r>
            <w:rPr/>
            <w:t>of</w:t>
          </w:r>
          <w:r>
            <w:rPr>
              <w:spacing w:val="-3"/>
            </w:rPr>
            <w:t> </w:t>
          </w:r>
          <w:r>
            <w:rPr/>
            <w:t>Tables</w:t>
          </w:r>
          <w:r>
            <w:rPr>
              <w:spacing w:val="31"/>
            </w:rPr>
            <w:t>  </w:t>
          </w:r>
          <w:r>
            <w:rPr>
              <w:spacing w:val="-2"/>
            </w:rPr>
            <w:t>………………………………………………………………….....</w:t>
          </w:r>
          <w:r>
            <w:rPr>
              <w:b w:val="0"/>
            </w:rPr>
            <w:tab/>
          </w:r>
          <w:r>
            <w:rPr>
              <w:spacing w:val="-10"/>
            </w:rPr>
            <w:t>x</w:t>
          </w:r>
        </w:p>
        <w:p>
          <w:pPr>
            <w:pStyle w:val="TOC2"/>
            <w:tabs>
              <w:tab w:pos="8934" w:val="left" w:leader="none"/>
            </w:tabs>
            <w:spacing w:before="142"/>
            <w:ind w:left="420" w:firstLine="0"/>
          </w:pPr>
          <w:r>
            <w:rPr/>
            <w:t>List</w:t>
          </w:r>
          <w:r>
            <w:rPr>
              <w:spacing w:val="1"/>
            </w:rPr>
            <w:t> </w:t>
          </w:r>
          <w:r>
            <w:rPr/>
            <w:t>of</w:t>
          </w:r>
          <w:r>
            <w:rPr>
              <w:spacing w:val="-2"/>
            </w:rPr>
            <w:t> </w:t>
          </w:r>
          <w:r>
            <w:rPr/>
            <w:t>Appendices</w:t>
          </w:r>
          <w:r>
            <w:rPr>
              <w:spacing w:val="31"/>
            </w:rPr>
            <w:t>  </w:t>
          </w:r>
          <w:r>
            <w:rPr>
              <w:spacing w:val="-2"/>
            </w:rPr>
            <w:t>………………………………………………………………..</w:t>
          </w:r>
          <w:r>
            <w:rPr>
              <w:b w:val="0"/>
            </w:rPr>
            <w:tab/>
          </w:r>
          <w:r>
            <w:rPr>
              <w:spacing w:val="-5"/>
            </w:rPr>
            <w:t>xi</w:t>
          </w:r>
        </w:p>
        <w:p>
          <w:pPr>
            <w:pStyle w:val="TOC2"/>
            <w:tabs>
              <w:tab w:pos="8955" w:val="left" w:leader="none"/>
            </w:tabs>
            <w:ind w:left="420" w:firstLine="0"/>
          </w:pPr>
          <w:hyperlink w:history="true" w:anchor="_TOC_250022">
            <w:r>
              <w:rPr/>
              <w:t>Abbreviations</w:t>
            </w:r>
            <w:r>
              <w:rPr>
                <w:spacing w:val="29"/>
              </w:rPr>
              <w:t>  </w:t>
            </w:r>
            <w:r>
              <w:rPr>
                <w:spacing w:val="-2"/>
              </w:rPr>
              <w:t>…………………………………………………………………….</w:t>
            </w:r>
            <w:r>
              <w:rPr>
                <w:b w:val="0"/>
              </w:rPr>
              <w:tab/>
            </w:r>
            <w:r>
              <w:rPr>
                <w:spacing w:val="-5"/>
              </w:rPr>
              <w:t>xii</w:t>
            </w:r>
          </w:hyperlink>
        </w:p>
        <w:p>
          <w:pPr>
            <w:pStyle w:val="TOC6"/>
            <w:tabs>
              <w:tab w:pos="9063" w:val="left" w:leader="none"/>
            </w:tabs>
            <w:ind w:left="1141"/>
          </w:pPr>
          <w:r>
            <w:rPr/>
            <w:t>CHAPTER</w:t>
          </w:r>
          <w:r>
            <w:rPr>
              <w:spacing w:val="-9"/>
            </w:rPr>
            <w:t> </w:t>
          </w:r>
          <w:r>
            <w:rPr>
              <w:spacing w:val="-5"/>
            </w:rPr>
            <w:t>ONE</w:t>
          </w:r>
          <w:r>
            <w:rPr/>
            <w:tab/>
          </w:r>
          <w:r>
            <w:rPr>
              <w:spacing w:val="-10"/>
            </w:rPr>
            <w:t>1</w:t>
          </w:r>
        </w:p>
        <w:p>
          <w:pPr>
            <w:pStyle w:val="TOC1"/>
            <w:numPr>
              <w:ilvl w:val="1"/>
              <w:numId w:val="1"/>
            </w:numPr>
            <w:tabs>
              <w:tab w:pos="1145" w:val="left" w:leader="none"/>
              <w:tab w:pos="3301" w:val="left" w:leader="none"/>
              <w:tab w:pos="9063" w:val="left" w:leader="none"/>
            </w:tabs>
            <w:spacing w:line="240" w:lineRule="auto" w:before="142" w:after="0"/>
            <w:ind w:left="1145" w:right="0" w:hanging="725"/>
            <w:jc w:val="left"/>
          </w:pPr>
          <w:r>
            <w:rPr>
              <w:spacing w:val="-2"/>
            </w:rPr>
            <w:t>INTRODUCTION</w:t>
          </w:r>
          <w:r>
            <w:rPr/>
            <w:tab/>
          </w:r>
          <w:r>
            <w:rPr>
              <w:spacing w:val="-2"/>
            </w:rPr>
            <w:t>………………………………………………………</w:t>
          </w:r>
          <w:r>
            <w:rPr>
              <w:b w:val="0"/>
            </w:rPr>
            <w:tab/>
          </w:r>
          <w:r>
            <w:rPr>
              <w:spacing w:val="-10"/>
            </w:rPr>
            <w:t>1</w:t>
          </w:r>
        </w:p>
        <w:p>
          <w:pPr>
            <w:pStyle w:val="TOC2"/>
            <w:numPr>
              <w:ilvl w:val="1"/>
              <w:numId w:val="1"/>
            </w:numPr>
            <w:tabs>
              <w:tab w:pos="1140" w:val="left" w:leader="none"/>
              <w:tab w:pos="2770" w:val="left" w:leader="none"/>
              <w:tab w:pos="9073" w:val="left" w:leader="none"/>
            </w:tabs>
            <w:spacing w:line="240" w:lineRule="auto" w:before="137" w:after="0"/>
            <w:ind w:left="1140" w:right="0" w:hanging="720"/>
            <w:jc w:val="left"/>
          </w:pPr>
          <w:hyperlink w:history="true" w:anchor="_TOC_250021">
            <w:r>
              <w:rPr>
                <w:spacing w:val="-2"/>
              </w:rPr>
              <w:t>Background</w:t>
            </w:r>
            <w:r>
              <w:rPr/>
              <w:tab/>
            </w:r>
            <w:r>
              <w:rPr>
                <w:spacing w:val="-2"/>
              </w:rPr>
              <w:t>…………………………………………………………….</w:t>
            </w:r>
            <w:r>
              <w:rPr>
                <w:b w:val="0"/>
              </w:rPr>
              <w:tab/>
            </w:r>
            <w:r>
              <w:rPr>
                <w:spacing w:val="-10"/>
              </w:rPr>
              <w:t>1</w:t>
            </w:r>
          </w:hyperlink>
        </w:p>
        <w:p>
          <w:pPr>
            <w:pStyle w:val="TOC2"/>
            <w:numPr>
              <w:ilvl w:val="1"/>
              <w:numId w:val="1"/>
            </w:numPr>
            <w:tabs>
              <w:tab w:pos="1140" w:val="left" w:leader="none"/>
              <w:tab w:pos="9063" w:val="left" w:leader="none"/>
            </w:tabs>
            <w:spacing w:line="240" w:lineRule="auto" w:before="137" w:after="0"/>
            <w:ind w:left="1140" w:right="0" w:hanging="720"/>
            <w:jc w:val="left"/>
          </w:pPr>
          <w:hyperlink w:history="true" w:anchor="_TOC_250020">
            <w:r>
              <w:rPr/>
              <w:t>Heavy</w:t>
            </w:r>
            <w:r>
              <w:rPr>
                <w:spacing w:val="-1"/>
              </w:rPr>
              <w:t> </w:t>
            </w:r>
            <w:r>
              <w:rPr/>
              <w:t>Metals</w:t>
            </w:r>
            <w:r>
              <w:rPr>
                <w:spacing w:val="-2"/>
              </w:rPr>
              <w:t> </w:t>
            </w:r>
            <w:r>
              <w:rPr/>
              <w:t>and</w:t>
            </w:r>
            <w:r>
              <w:rPr>
                <w:spacing w:val="-3"/>
              </w:rPr>
              <w:t> </w:t>
            </w:r>
            <w:r>
              <w:rPr/>
              <w:t>Human Health</w:t>
            </w:r>
            <w:r>
              <w:rPr>
                <w:spacing w:val="4"/>
              </w:rPr>
              <w:t> </w:t>
            </w:r>
            <w:r>
              <w:rPr>
                <w:spacing w:val="-2"/>
              </w:rPr>
              <w:t>………………………………………</w:t>
            </w:r>
            <w:r>
              <w:rPr>
                <w:b w:val="0"/>
              </w:rPr>
              <w:tab/>
            </w:r>
            <w:r>
              <w:rPr>
                <w:spacing w:val="-5"/>
              </w:rPr>
              <w:t>12</w:t>
            </w:r>
          </w:hyperlink>
        </w:p>
        <w:p>
          <w:pPr>
            <w:pStyle w:val="TOC2"/>
            <w:numPr>
              <w:ilvl w:val="1"/>
              <w:numId w:val="1"/>
            </w:numPr>
            <w:tabs>
              <w:tab w:pos="1140" w:val="left" w:leader="none"/>
              <w:tab w:pos="9063" w:val="left" w:leader="none"/>
            </w:tabs>
            <w:spacing w:line="240" w:lineRule="auto" w:before="137" w:after="0"/>
            <w:ind w:left="1140" w:right="0" w:hanging="720"/>
            <w:jc w:val="left"/>
          </w:pPr>
          <w:hyperlink w:history="true" w:anchor="_TOC_250019">
            <w:r>
              <w:rPr/>
              <w:t>Routes</w:t>
            </w:r>
            <w:r>
              <w:rPr>
                <w:spacing w:val="-1"/>
              </w:rPr>
              <w:t> </w:t>
            </w:r>
            <w:r>
              <w:rPr/>
              <w:t>of</w:t>
            </w:r>
            <w:r>
              <w:rPr>
                <w:spacing w:val="-2"/>
              </w:rPr>
              <w:t> </w:t>
            </w:r>
            <w:r>
              <w:rPr/>
              <w:t>Heavy Metal</w:t>
            </w:r>
            <w:r>
              <w:rPr>
                <w:spacing w:val="-4"/>
              </w:rPr>
              <w:t> </w:t>
            </w:r>
            <w:r>
              <w:rPr/>
              <w:t>Exposure</w:t>
            </w:r>
            <w:r>
              <w:rPr>
                <w:spacing w:val="63"/>
              </w:rPr>
              <w:t> </w:t>
            </w:r>
            <w:r>
              <w:rPr>
                <w:spacing w:val="-2"/>
              </w:rPr>
              <w:t>…………………………………………</w:t>
            </w:r>
            <w:r>
              <w:rPr>
                <w:b w:val="0"/>
              </w:rPr>
              <w:tab/>
            </w:r>
            <w:r>
              <w:rPr>
                <w:spacing w:val="-5"/>
              </w:rPr>
              <w:t>14</w:t>
            </w:r>
          </w:hyperlink>
        </w:p>
        <w:p>
          <w:pPr>
            <w:pStyle w:val="TOC2"/>
            <w:numPr>
              <w:ilvl w:val="1"/>
              <w:numId w:val="1"/>
            </w:numPr>
            <w:tabs>
              <w:tab w:pos="1203" w:val="left" w:leader="none"/>
              <w:tab w:pos="7102" w:val="left" w:leader="none"/>
              <w:tab w:pos="9063" w:val="left" w:leader="none"/>
            </w:tabs>
            <w:spacing w:line="240" w:lineRule="auto" w:before="142" w:after="0"/>
            <w:ind w:left="1203" w:right="0" w:hanging="783"/>
            <w:jc w:val="left"/>
          </w:pPr>
          <w:r>
            <w:rPr/>
            <w:t>Hazardous</w:t>
          </w:r>
          <w:r>
            <w:rPr>
              <w:spacing w:val="-1"/>
            </w:rPr>
            <w:t> </w:t>
          </w:r>
          <w:r>
            <w:rPr/>
            <w:t>Effects</w:t>
          </w:r>
          <w:r>
            <w:rPr>
              <w:spacing w:val="-1"/>
            </w:rPr>
            <w:t> </w:t>
          </w:r>
          <w:r>
            <w:rPr/>
            <w:t>of</w:t>
          </w:r>
          <w:r>
            <w:rPr>
              <w:spacing w:val="-2"/>
            </w:rPr>
            <w:t> </w:t>
          </w:r>
          <w:r>
            <w:rPr/>
            <w:t>Heavy Metal</w:t>
          </w:r>
          <w:r>
            <w:rPr>
              <w:spacing w:val="-3"/>
            </w:rPr>
            <w:t> </w:t>
          </w:r>
          <w:r>
            <w:rPr/>
            <w:t>on</w:t>
          </w:r>
          <w:r>
            <w:rPr>
              <w:spacing w:val="-3"/>
            </w:rPr>
            <w:t> </w:t>
          </w:r>
          <w:r>
            <w:rPr/>
            <w:t>Human</w:t>
          </w:r>
          <w:r>
            <w:rPr>
              <w:spacing w:val="-2"/>
            </w:rPr>
            <w:t> Health</w:t>
          </w:r>
          <w:r>
            <w:rPr/>
            <w:tab/>
          </w:r>
          <w:r>
            <w:rPr>
              <w:spacing w:val="-2"/>
            </w:rPr>
            <w:t>………………</w:t>
          </w:r>
          <w:r>
            <w:rPr>
              <w:b w:val="0"/>
            </w:rPr>
            <w:tab/>
          </w:r>
          <w:r>
            <w:rPr>
              <w:spacing w:val="-5"/>
            </w:rPr>
            <w:t>15</w:t>
          </w:r>
        </w:p>
        <w:p>
          <w:pPr>
            <w:pStyle w:val="TOC2"/>
            <w:numPr>
              <w:ilvl w:val="1"/>
              <w:numId w:val="1"/>
            </w:numPr>
            <w:tabs>
              <w:tab w:pos="1140" w:val="left" w:leader="none"/>
              <w:tab w:pos="9063" w:val="left" w:leader="dot"/>
            </w:tabs>
            <w:spacing w:line="240" w:lineRule="auto" w:before="137" w:after="0"/>
            <w:ind w:left="1140" w:right="0" w:hanging="720"/>
            <w:jc w:val="left"/>
          </w:pPr>
          <w:r>
            <w:rPr/>
            <w:t>Statement</w:t>
          </w:r>
          <w:r>
            <w:rPr>
              <w:spacing w:val="1"/>
            </w:rPr>
            <w:t> </w:t>
          </w:r>
          <w:r>
            <w:rPr/>
            <w:t>of</w:t>
          </w:r>
          <w:r>
            <w:rPr>
              <w:spacing w:val="-2"/>
            </w:rPr>
            <w:t> </w:t>
          </w:r>
          <w:r>
            <w:rPr/>
            <w:t>the</w:t>
          </w:r>
          <w:r>
            <w:rPr>
              <w:spacing w:val="-4"/>
            </w:rPr>
            <w:t> </w:t>
          </w:r>
          <w:r>
            <w:rPr>
              <w:spacing w:val="-2"/>
            </w:rPr>
            <w:t>Problem</w:t>
          </w:r>
          <w:r>
            <w:rPr/>
            <w:tab/>
          </w:r>
          <w:r>
            <w:rPr>
              <w:spacing w:val="-5"/>
            </w:rPr>
            <w:t>15</w:t>
          </w:r>
        </w:p>
        <w:p>
          <w:pPr>
            <w:pStyle w:val="TOC2"/>
            <w:numPr>
              <w:ilvl w:val="1"/>
              <w:numId w:val="1"/>
            </w:numPr>
            <w:tabs>
              <w:tab w:pos="1140" w:val="left" w:leader="none"/>
              <w:tab w:pos="4021" w:val="left" w:leader="none"/>
              <w:tab w:pos="9063" w:val="left" w:leader="none"/>
            </w:tabs>
            <w:spacing w:line="240" w:lineRule="auto" w:before="137" w:after="0"/>
            <w:ind w:left="1140" w:right="0" w:hanging="720"/>
            <w:jc w:val="left"/>
          </w:pPr>
          <w:r>
            <w:rPr/>
            <w:t>Justification of</w:t>
          </w:r>
          <w:r>
            <w:rPr>
              <w:spacing w:val="-2"/>
            </w:rPr>
            <w:t> </w:t>
          </w:r>
          <w:r>
            <w:rPr>
              <w:spacing w:val="-4"/>
            </w:rPr>
            <w:t>Study</w:t>
          </w:r>
          <w:r>
            <w:rPr/>
            <w:tab/>
          </w:r>
          <w:r>
            <w:rPr>
              <w:spacing w:val="-2"/>
            </w:rPr>
            <w:t>…………………………………………………</w:t>
          </w:r>
          <w:r>
            <w:rPr>
              <w:b w:val="0"/>
            </w:rPr>
            <w:tab/>
          </w:r>
          <w:r>
            <w:rPr>
              <w:spacing w:val="-5"/>
            </w:rPr>
            <w:t>18</w:t>
          </w:r>
        </w:p>
        <w:p>
          <w:pPr>
            <w:pStyle w:val="TOC2"/>
            <w:numPr>
              <w:ilvl w:val="1"/>
              <w:numId w:val="1"/>
            </w:numPr>
            <w:tabs>
              <w:tab w:pos="1203" w:val="left" w:leader="none"/>
              <w:tab w:pos="4021" w:val="left" w:leader="none"/>
              <w:tab w:pos="9063" w:val="left" w:leader="none"/>
            </w:tabs>
            <w:spacing w:line="240" w:lineRule="auto" w:before="136" w:after="0"/>
            <w:ind w:left="1203" w:right="0" w:hanging="783"/>
            <w:jc w:val="left"/>
          </w:pPr>
          <w:hyperlink w:history="true" w:anchor="_TOC_250018">
            <w:r>
              <w:rPr/>
              <w:t>Research</w:t>
            </w:r>
            <w:r>
              <w:rPr>
                <w:spacing w:val="-7"/>
              </w:rPr>
              <w:t> </w:t>
            </w:r>
            <w:r>
              <w:rPr>
                <w:spacing w:val="-2"/>
              </w:rPr>
              <w:t>Hypothesis</w:t>
            </w:r>
            <w:r>
              <w:rPr/>
              <w:tab/>
            </w:r>
            <w:r>
              <w:rPr>
                <w:spacing w:val="-2"/>
              </w:rPr>
              <w:t>…………………………………………………</w:t>
            </w:r>
            <w:r>
              <w:rPr>
                <w:b w:val="0"/>
              </w:rPr>
              <w:tab/>
            </w:r>
            <w:r>
              <w:rPr>
                <w:spacing w:val="-5"/>
              </w:rPr>
              <w:t>20</w:t>
            </w:r>
          </w:hyperlink>
        </w:p>
        <w:p>
          <w:pPr>
            <w:pStyle w:val="TOC2"/>
            <w:numPr>
              <w:ilvl w:val="1"/>
              <w:numId w:val="1"/>
            </w:numPr>
            <w:tabs>
              <w:tab w:pos="1140" w:val="left" w:leader="none"/>
              <w:tab w:pos="9063" w:val="left" w:leader="dot"/>
            </w:tabs>
            <w:spacing w:line="240" w:lineRule="auto" w:before="143" w:after="0"/>
            <w:ind w:left="1140" w:right="0" w:hanging="720"/>
            <w:jc w:val="left"/>
          </w:pPr>
          <w:r>
            <w:rPr/>
            <w:t>Research</w:t>
          </w:r>
          <w:r>
            <w:rPr>
              <w:spacing w:val="-2"/>
            </w:rPr>
            <w:t> </w:t>
          </w:r>
          <w:r>
            <w:rPr/>
            <w:t>Aim</w:t>
          </w:r>
          <w:r>
            <w:rPr>
              <w:spacing w:val="-4"/>
            </w:rPr>
            <w:t> </w:t>
          </w:r>
          <w:r>
            <w:rPr/>
            <w:t>and</w:t>
          </w:r>
          <w:r>
            <w:rPr>
              <w:spacing w:val="-1"/>
            </w:rPr>
            <w:t> </w:t>
          </w:r>
          <w:r>
            <w:rPr/>
            <w:t>Specific</w:t>
          </w:r>
          <w:r>
            <w:rPr>
              <w:spacing w:val="-2"/>
            </w:rPr>
            <w:t> Objectives</w:t>
          </w:r>
          <w:r>
            <w:rPr/>
            <w:tab/>
          </w:r>
          <w:r>
            <w:rPr>
              <w:spacing w:val="-5"/>
            </w:rPr>
            <w:t>20</w:t>
          </w:r>
        </w:p>
        <w:p>
          <w:pPr>
            <w:pStyle w:val="TOC2"/>
            <w:numPr>
              <w:ilvl w:val="1"/>
              <w:numId w:val="1"/>
            </w:numPr>
            <w:tabs>
              <w:tab w:pos="1143" w:val="left" w:leader="none"/>
              <w:tab w:pos="9089" w:val="left" w:leader="dot"/>
            </w:tabs>
            <w:spacing w:line="240" w:lineRule="auto" w:before="136" w:after="0"/>
            <w:ind w:left="1143" w:right="0" w:hanging="723"/>
            <w:jc w:val="left"/>
          </w:pPr>
          <w:hyperlink w:history="true" w:anchor="_TOC_250017">
            <w:r>
              <w:rPr/>
              <w:t>Research</w:t>
            </w:r>
            <w:r>
              <w:rPr>
                <w:spacing w:val="-11"/>
              </w:rPr>
              <w:t> </w:t>
            </w:r>
            <w:r>
              <w:rPr>
                <w:spacing w:val="-2"/>
              </w:rPr>
              <w:t>Limitations</w:t>
            </w:r>
            <w:r>
              <w:rPr>
                <w:b w:val="0"/>
              </w:rPr>
              <w:tab/>
            </w:r>
            <w:r>
              <w:rPr>
                <w:spacing w:val="-5"/>
              </w:rPr>
              <w:t>21</w:t>
            </w:r>
          </w:hyperlink>
        </w:p>
        <w:p>
          <w:pPr>
            <w:pStyle w:val="TOC7"/>
          </w:pPr>
          <w:hyperlink w:history="true" w:anchor="_TOC_250016">
            <w:r>
              <w:rPr/>
              <w:t>CHAPTER</w:t>
            </w:r>
            <w:r>
              <w:rPr>
                <w:spacing w:val="-9"/>
              </w:rPr>
              <w:t> </w:t>
            </w:r>
            <w:r>
              <w:rPr>
                <w:spacing w:val="-5"/>
              </w:rPr>
              <w:t>TWO</w:t>
            </w:r>
          </w:hyperlink>
        </w:p>
        <w:p>
          <w:pPr>
            <w:pStyle w:val="TOC1"/>
            <w:numPr>
              <w:ilvl w:val="1"/>
              <w:numId w:val="2"/>
            </w:numPr>
            <w:tabs>
              <w:tab w:pos="1203" w:val="left" w:leader="none"/>
              <w:tab w:pos="9015" w:val="left" w:leader="none"/>
            </w:tabs>
            <w:spacing w:line="240" w:lineRule="auto" w:before="142" w:after="0"/>
            <w:ind w:left="1203" w:right="0" w:hanging="783"/>
            <w:jc w:val="left"/>
          </w:pPr>
          <w:hyperlink w:history="true" w:anchor="_TOC_250015">
            <w:r>
              <w:rPr/>
              <w:t>LITERATURE</w:t>
            </w:r>
            <w:r>
              <w:rPr>
                <w:spacing w:val="-7"/>
              </w:rPr>
              <w:t> </w:t>
            </w:r>
            <w:r>
              <w:rPr/>
              <w:t>REVIEW</w:t>
            </w:r>
            <w:r>
              <w:rPr>
                <w:spacing w:val="58"/>
              </w:rPr>
              <w:t> </w:t>
            </w:r>
            <w:r>
              <w:rPr>
                <w:spacing w:val="-2"/>
              </w:rPr>
              <w:t>…………………………………………………</w:t>
            </w:r>
            <w:r>
              <w:rPr>
                <w:b w:val="0"/>
              </w:rPr>
              <w:tab/>
            </w:r>
            <w:r>
              <w:rPr>
                <w:spacing w:val="-5"/>
              </w:rPr>
              <w:t>22</w:t>
            </w:r>
          </w:hyperlink>
        </w:p>
        <w:p>
          <w:pPr>
            <w:pStyle w:val="TOC2"/>
            <w:numPr>
              <w:ilvl w:val="1"/>
              <w:numId w:val="2"/>
            </w:numPr>
            <w:tabs>
              <w:tab w:pos="1203" w:val="left" w:leader="none"/>
              <w:tab w:pos="9063" w:val="left" w:leader="none"/>
            </w:tabs>
            <w:spacing w:line="240" w:lineRule="auto" w:before="132" w:after="0"/>
            <w:ind w:left="1203" w:right="0" w:hanging="783"/>
            <w:jc w:val="left"/>
            <w:rPr>
              <w:b w:val="0"/>
            </w:rPr>
          </w:pPr>
          <w:hyperlink w:history="true" w:anchor="_TOC_250014">
            <w:r>
              <w:rPr/>
              <w:t>Selected</w:t>
            </w:r>
            <w:r>
              <w:rPr>
                <w:spacing w:val="-3"/>
              </w:rPr>
              <w:t> </w:t>
            </w:r>
            <w:r>
              <w:rPr/>
              <w:t>Heavy</w:t>
            </w:r>
            <w:r>
              <w:rPr>
                <w:spacing w:val="-3"/>
              </w:rPr>
              <w:t> </w:t>
            </w:r>
            <w:r>
              <w:rPr/>
              <w:t>Metals</w:t>
            </w:r>
            <w:r>
              <w:rPr>
                <w:spacing w:val="-3"/>
              </w:rPr>
              <w:t> </w:t>
            </w:r>
            <w:r>
              <w:rPr>
                <w:spacing w:val="-2"/>
              </w:rPr>
              <w:t>………………………………………………………</w:t>
            </w:r>
            <w:r>
              <w:rPr>
                <w:b w:val="0"/>
              </w:rPr>
              <w:tab/>
            </w:r>
            <w:r>
              <w:rPr>
                <w:b w:val="0"/>
                <w:spacing w:val="-5"/>
              </w:rPr>
              <w:t>22</w:t>
            </w:r>
          </w:hyperlink>
        </w:p>
        <w:p>
          <w:pPr>
            <w:pStyle w:val="TOC3"/>
            <w:numPr>
              <w:ilvl w:val="2"/>
              <w:numId w:val="2"/>
            </w:numPr>
            <w:tabs>
              <w:tab w:pos="1203" w:val="left" w:leader="none"/>
              <w:tab w:pos="1860" w:val="left" w:leader="none"/>
              <w:tab w:pos="9063" w:val="left" w:leader="none"/>
            </w:tabs>
            <w:spacing w:line="240" w:lineRule="auto" w:before="137" w:after="0"/>
            <w:ind w:left="1203" w:right="0" w:hanging="783"/>
            <w:jc w:val="left"/>
          </w:pPr>
          <w:r>
            <w:rPr>
              <w:spacing w:val="-4"/>
            </w:rPr>
            <w:t>Zinc</w:t>
          </w:r>
          <w:r>
            <w:rPr/>
            <w:tab/>
          </w:r>
          <w:r>
            <w:rPr>
              <w:spacing w:val="-2"/>
            </w:rPr>
            <w:t>………………………………………………………………………</w:t>
          </w:r>
          <w:r>
            <w:rPr/>
            <w:tab/>
          </w:r>
          <w:r>
            <w:rPr>
              <w:spacing w:val="-5"/>
            </w:rPr>
            <w:t>22</w:t>
          </w:r>
        </w:p>
        <w:p>
          <w:pPr>
            <w:pStyle w:val="TOC3"/>
            <w:numPr>
              <w:ilvl w:val="2"/>
              <w:numId w:val="2"/>
            </w:numPr>
            <w:tabs>
              <w:tab w:pos="1203" w:val="left" w:leader="none"/>
              <w:tab w:pos="9063" w:val="left" w:leader="none"/>
            </w:tabs>
            <w:spacing w:line="240" w:lineRule="auto" w:before="137" w:after="116"/>
            <w:ind w:left="1203" w:right="0" w:hanging="783"/>
            <w:jc w:val="left"/>
          </w:pPr>
          <w:r>
            <w:rPr/>
            <w:t>Copper</w:t>
          </w:r>
          <w:r>
            <w:rPr>
              <w:spacing w:val="62"/>
            </w:rPr>
            <w:t> </w:t>
          </w:r>
          <w:r>
            <w:rPr>
              <w:spacing w:val="-2"/>
            </w:rPr>
            <w:t>…………………………………………………………………….</w:t>
          </w:r>
          <w:r>
            <w:rPr/>
            <w:tab/>
          </w:r>
          <w:r>
            <w:rPr>
              <w:spacing w:val="-5"/>
            </w:rPr>
            <w:t>23</w:t>
          </w:r>
        </w:p>
        <w:p>
          <w:pPr>
            <w:pStyle w:val="TOC3"/>
            <w:numPr>
              <w:ilvl w:val="2"/>
              <w:numId w:val="2"/>
            </w:numPr>
            <w:tabs>
              <w:tab w:pos="1140" w:val="left" w:leader="none"/>
              <w:tab w:pos="9308" w:val="right" w:leader="none"/>
            </w:tabs>
            <w:spacing w:line="240" w:lineRule="auto" w:before="72" w:after="0"/>
            <w:ind w:left="1140" w:right="0" w:hanging="720"/>
            <w:jc w:val="left"/>
          </w:pPr>
          <w:r>
            <w:rPr/>
            <w:t>Nickel</w:t>
          </w:r>
          <w:r>
            <w:rPr>
              <w:spacing w:val="18"/>
            </w:rPr>
            <w:t> </w:t>
          </w:r>
          <w:r>
            <w:rPr>
              <w:spacing w:val="-2"/>
            </w:rPr>
            <w:t>………………………………………………………………………</w:t>
          </w:r>
          <w:r>
            <w:rPr/>
            <w:tab/>
          </w:r>
          <w:r>
            <w:rPr>
              <w:spacing w:val="-5"/>
            </w:rPr>
            <w:t>24</w:t>
          </w:r>
        </w:p>
        <w:p>
          <w:pPr>
            <w:pStyle w:val="TOC3"/>
            <w:numPr>
              <w:ilvl w:val="2"/>
              <w:numId w:val="2"/>
            </w:numPr>
            <w:tabs>
              <w:tab w:pos="1203" w:val="left" w:leader="none"/>
              <w:tab w:pos="9303" w:val="right" w:leader="none"/>
            </w:tabs>
            <w:spacing w:line="240" w:lineRule="auto" w:before="137" w:after="0"/>
            <w:ind w:left="1203" w:right="0" w:hanging="783"/>
            <w:jc w:val="left"/>
          </w:pPr>
          <w:r>
            <w:rPr/>
            <w:t>Lead</w:t>
          </w:r>
          <w:r>
            <w:rPr>
              <w:spacing w:val="28"/>
            </w:rPr>
            <w:t>  </w:t>
          </w:r>
          <w:r>
            <w:rPr>
              <w:spacing w:val="-2"/>
            </w:rPr>
            <w:t>………………………………………………………………………</w:t>
          </w:r>
          <w:r>
            <w:rPr/>
            <w:tab/>
          </w:r>
          <w:r>
            <w:rPr>
              <w:spacing w:val="-5"/>
            </w:rPr>
            <w:t>25</w:t>
          </w:r>
        </w:p>
        <w:p>
          <w:pPr>
            <w:pStyle w:val="TOC3"/>
            <w:numPr>
              <w:ilvl w:val="2"/>
              <w:numId w:val="2"/>
            </w:numPr>
            <w:tabs>
              <w:tab w:pos="1140" w:val="left" w:leader="none"/>
              <w:tab w:pos="9303" w:val="right" w:leader="none"/>
            </w:tabs>
            <w:spacing w:line="240" w:lineRule="auto" w:before="137" w:after="0"/>
            <w:ind w:left="1140" w:right="0" w:hanging="720"/>
            <w:jc w:val="left"/>
          </w:pPr>
          <w:r>
            <w:rPr/>
            <w:t>Arsenic</w:t>
          </w:r>
          <w:r>
            <w:rPr>
              <w:spacing w:val="54"/>
            </w:rPr>
            <w:t> </w:t>
          </w:r>
          <w:r>
            <w:rPr>
              <w:spacing w:val="-2"/>
            </w:rPr>
            <w:t>…………………………………………………………………….</w:t>
          </w:r>
          <w:r>
            <w:rPr/>
            <w:tab/>
          </w:r>
          <w:r>
            <w:rPr>
              <w:spacing w:val="-5"/>
            </w:rPr>
            <w:t>29</w:t>
          </w:r>
        </w:p>
        <w:p>
          <w:pPr>
            <w:pStyle w:val="TOC2"/>
            <w:numPr>
              <w:ilvl w:val="1"/>
              <w:numId w:val="2"/>
            </w:numPr>
            <w:tabs>
              <w:tab w:pos="1140" w:val="left" w:leader="none"/>
              <w:tab w:pos="3599" w:val="left" w:leader="none"/>
              <w:tab w:pos="9303" w:val="right" w:leader="none"/>
            </w:tabs>
            <w:spacing w:line="240" w:lineRule="auto" w:before="147" w:after="0"/>
            <w:ind w:left="1140" w:right="0" w:hanging="720"/>
            <w:jc w:val="left"/>
          </w:pPr>
          <w:hyperlink w:history="true" w:anchor="_TOC_250013">
            <w:r>
              <w:rPr/>
              <w:t>Heavy</w:t>
            </w:r>
            <w:r>
              <w:rPr>
                <w:spacing w:val="2"/>
              </w:rPr>
              <w:t> </w:t>
            </w:r>
            <w:r>
              <w:rPr/>
              <w:t>Metal</w:t>
            </w:r>
            <w:r>
              <w:rPr>
                <w:spacing w:val="-1"/>
              </w:rPr>
              <w:t> </w:t>
            </w:r>
            <w:r>
              <w:rPr>
                <w:spacing w:val="-2"/>
              </w:rPr>
              <w:t>Toxicity</w:t>
            </w:r>
            <w:r>
              <w:rPr/>
              <w:tab/>
            </w:r>
            <w:r>
              <w:rPr>
                <w:spacing w:val="-2"/>
              </w:rPr>
              <w:t>……………………………………………………</w:t>
            </w:r>
            <w:r>
              <w:rPr>
                <w:b w:val="0"/>
              </w:rPr>
              <w:tab/>
            </w:r>
            <w:r>
              <w:rPr>
                <w:spacing w:val="-5"/>
              </w:rPr>
              <w:t>33</w:t>
            </w:r>
          </w:hyperlink>
        </w:p>
        <w:p>
          <w:pPr>
            <w:pStyle w:val="TOC4"/>
            <w:numPr>
              <w:ilvl w:val="1"/>
              <w:numId w:val="2"/>
            </w:numPr>
            <w:tabs>
              <w:tab w:pos="1140" w:val="left" w:leader="none"/>
              <w:tab w:pos="9303" w:val="right" w:leader="none"/>
            </w:tabs>
            <w:spacing w:line="240" w:lineRule="auto" w:before="132" w:after="0"/>
            <w:ind w:left="1140" w:right="0" w:hanging="720"/>
            <w:jc w:val="left"/>
            <w:rPr>
              <w:b w:val="0"/>
              <w:i w:val="0"/>
              <w:sz w:val="24"/>
            </w:rPr>
          </w:pPr>
          <w:hyperlink w:history="true" w:anchor="_TOC_250012">
            <w:r>
              <w:rPr>
                <w:i w:val="0"/>
                <w:sz w:val="24"/>
              </w:rPr>
              <w:t>Sources</w:t>
            </w:r>
            <w:r>
              <w:rPr>
                <w:i w:val="0"/>
                <w:spacing w:val="-1"/>
                <w:sz w:val="24"/>
              </w:rPr>
              <w:t> </w:t>
            </w:r>
            <w:r>
              <w:rPr>
                <w:i w:val="0"/>
                <w:sz w:val="24"/>
              </w:rPr>
              <w:t>of</w:t>
            </w:r>
            <w:r>
              <w:rPr>
                <w:i w:val="0"/>
                <w:spacing w:val="-1"/>
                <w:sz w:val="24"/>
              </w:rPr>
              <w:t> </w:t>
            </w:r>
            <w:r>
              <w:rPr>
                <w:i w:val="0"/>
                <w:sz w:val="24"/>
              </w:rPr>
              <w:t>Heavy</w:t>
            </w:r>
            <w:r>
              <w:rPr>
                <w:i w:val="0"/>
                <w:spacing w:val="1"/>
                <w:sz w:val="24"/>
              </w:rPr>
              <w:t> </w:t>
            </w:r>
            <w:r>
              <w:rPr>
                <w:i w:val="0"/>
                <w:sz w:val="24"/>
              </w:rPr>
              <w:t>Metal</w:t>
            </w:r>
            <w:r>
              <w:rPr>
                <w:i w:val="0"/>
                <w:spacing w:val="-3"/>
                <w:sz w:val="24"/>
              </w:rPr>
              <w:t> </w:t>
            </w:r>
            <w:r>
              <w:rPr>
                <w:i w:val="0"/>
                <w:spacing w:val="-2"/>
                <w:sz w:val="24"/>
              </w:rPr>
              <w:t>Contamination</w:t>
            </w:r>
            <w:r>
              <w:rPr>
                <w:b w:val="0"/>
                <w:i w:val="0"/>
                <w:spacing w:val="-2"/>
                <w:sz w:val="24"/>
              </w:rPr>
              <w:t>……………………………………</w:t>
            </w:r>
            <w:r>
              <w:rPr>
                <w:b w:val="0"/>
                <w:i w:val="0"/>
                <w:sz w:val="24"/>
              </w:rPr>
              <w:tab/>
            </w:r>
            <w:r>
              <w:rPr>
                <w:b w:val="0"/>
                <w:i w:val="0"/>
                <w:spacing w:val="-5"/>
                <w:sz w:val="24"/>
              </w:rPr>
              <w:t>34</w:t>
            </w:r>
          </w:hyperlink>
        </w:p>
        <w:p>
          <w:pPr>
            <w:pStyle w:val="TOC3"/>
            <w:numPr>
              <w:ilvl w:val="2"/>
              <w:numId w:val="2"/>
            </w:numPr>
            <w:tabs>
              <w:tab w:pos="1140" w:val="left" w:leader="none"/>
              <w:tab w:pos="9303" w:val="right" w:leader="none"/>
            </w:tabs>
            <w:spacing w:line="240" w:lineRule="auto" w:before="137" w:after="0"/>
            <w:ind w:left="1140" w:right="0" w:hanging="720"/>
            <w:jc w:val="left"/>
          </w:pPr>
          <w:r>
            <w:rPr/>
            <w:t>Heavy</w:t>
          </w:r>
          <w:r>
            <w:rPr>
              <w:spacing w:val="1"/>
            </w:rPr>
            <w:t> </w:t>
          </w:r>
          <w:r>
            <w:rPr/>
            <w:t>metal</w:t>
          </w:r>
          <w:r>
            <w:rPr>
              <w:spacing w:val="-4"/>
            </w:rPr>
            <w:t> </w:t>
          </w:r>
          <w:r>
            <w:rPr/>
            <w:t>in</w:t>
          </w:r>
          <w:r>
            <w:rPr>
              <w:spacing w:val="-4"/>
            </w:rPr>
            <w:t> </w:t>
          </w:r>
          <w:r>
            <w:rPr/>
            <w:t>water</w:t>
          </w:r>
          <w:r>
            <w:rPr>
              <w:spacing w:val="43"/>
            </w:rPr>
            <w:t> </w:t>
          </w:r>
          <w:r>
            <w:rPr>
              <w:spacing w:val="-2"/>
            </w:rPr>
            <w:t>………………………………………………………</w:t>
          </w:r>
          <w:r>
            <w:rPr/>
            <w:tab/>
          </w:r>
          <w:r>
            <w:rPr>
              <w:spacing w:val="-5"/>
            </w:rPr>
            <w:t>34</w:t>
          </w:r>
        </w:p>
        <w:p>
          <w:pPr>
            <w:pStyle w:val="TOC3"/>
            <w:numPr>
              <w:ilvl w:val="2"/>
              <w:numId w:val="2"/>
            </w:numPr>
            <w:tabs>
              <w:tab w:pos="1140" w:val="left" w:leader="none"/>
              <w:tab w:pos="9303" w:val="right" w:leader="none"/>
            </w:tabs>
            <w:spacing w:line="240" w:lineRule="auto" w:before="136" w:after="0"/>
            <w:ind w:left="1140" w:right="0" w:hanging="720"/>
            <w:jc w:val="left"/>
          </w:pPr>
          <w:r>
            <w:rPr/>
            <w:t>Heavy metal</w:t>
          </w:r>
          <w:r>
            <w:rPr>
              <w:spacing w:val="-3"/>
            </w:rPr>
            <w:t> </w:t>
          </w:r>
          <w:r>
            <w:rPr/>
            <w:t>in</w:t>
          </w:r>
          <w:r>
            <w:rPr>
              <w:spacing w:val="-4"/>
            </w:rPr>
            <w:t> </w:t>
          </w:r>
          <w:r>
            <w:rPr/>
            <w:t>soil</w:t>
          </w:r>
          <w:r>
            <w:rPr>
              <w:spacing w:val="60"/>
            </w:rPr>
            <w:t> </w:t>
          </w:r>
          <w:r>
            <w:rPr>
              <w:spacing w:val="-2"/>
            </w:rPr>
            <w:t>………………………………………………………</w:t>
          </w:r>
          <w:r>
            <w:rPr/>
            <w:tab/>
          </w:r>
          <w:r>
            <w:rPr>
              <w:spacing w:val="-5"/>
            </w:rPr>
            <w:t>38</w:t>
          </w:r>
        </w:p>
        <w:p>
          <w:pPr>
            <w:pStyle w:val="TOC3"/>
            <w:numPr>
              <w:ilvl w:val="2"/>
              <w:numId w:val="2"/>
            </w:numPr>
            <w:tabs>
              <w:tab w:pos="1203" w:val="left" w:leader="none"/>
              <w:tab w:pos="9303" w:val="right" w:leader="none"/>
            </w:tabs>
            <w:spacing w:line="240" w:lineRule="auto" w:before="142" w:after="0"/>
            <w:ind w:left="1203" w:right="0" w:hanging="783"/>
            <w:jc w:val="left"/>
          </w:pPr>
          <w:r>
            <w:rPr/>
            <w:t>Heavy</w:t>
          </w:r>
          <w:r>
            <w:rPr>
              <w:spacing w:val="-5"/>
            </w:rPr>
            <w:t> </w:t>
          </w:r>
          <w:r>
            <w:rPr/>
            <w:t>metal</w:t>
          </w:r>
          <w:r>
            <w:rPr>
              <w:spacing w:val="-5"/>
            </w:rPr>
            <w:t> </w:t>
          </w:r>
          <w:r>
            <w:rPr/>
            <w:t>in fodder</w:t>
          </w:r>
          <w:r>
            <w:rPr>
              <w:spacing w:val="33"/>
            </w:rPr>
            <w:t>  </w:t>
          </w:r>
          <w:r>
            <w:rPr>
              <w:spacing w:val="-2"/>
            </w:rPr>
            <w:t>………………………………………………………</w:t>
          </w:r>
          <w:r>
            <w:rPr/>
            <w:tab/>
          </w:r>
          <w:r>
            <w:rPr>
              <w:spacing w:val="-5"/>
            </w:rPr>
            <w:t>40</w:t>
          </w:r>
        </w:p>
        <w:p>
          <w:pPr>
            <w:pStyle w:val="TOC3"/>
            <w:numPr>
              <w:ilvl w:val="2"/>
              <w:numId w:val="2"/>
            </w:numPr>
            <w:tabs>
              <w:tab w:pos="1140" w:val="left" w:leader="none"/>
              <w:tab w:pos="9303" w:val="right" w:leader="none"/>
            </w:tabs>
            <w:spacing w:line="240" w:lineRule="auto" w:before="137" w:after="0"/>
            <w:ind w:left="1140" w:right="0" w:hanging="720"/>
            <w:jc w:val="left"/>
          </w:pPr>
          <w:r>
            <w:rPr/>
            <w:t>Heavy</w:t>
          </w:r>
          <w:r>
            <w:rPr>
              <w:spacing w:val="-2"/>
            </w:rPr>
            <w:t> </w:t>
          </w:r>
          <w:r>
            <w:rPr/>
            <w:t>metal</w:t>
          </w:r>
          <w:r>
            <w:rPr>
              <w:spacing w:val="-5"/>
            </w:rPr>
            <w:t> </w:t>
          </w:r>
          <w:r>
            <w:rPr/>
            <w:t>in</w:t>
          </w:r>
          <w:r>
            <w:rPr>
              <w:spacing w:val="-4"/>
            </w:rPr>
            <w:t> </w:t>
          </w:r>
          <w:r>
            <w:rPr/>
            <w:t>air</w:t>
          </w:r>
          <w:r>
            <w:rPr>
              <w:spacing w:val="65"/>
            </w:rPr>
            <w:t> </w:t>
          </w:r>
          <w:r>
            <w:rPr>
              <w:spacing w:val="-2"/>
            </w:rPr>
            <w:t>……………………………………………………………</w:t>
          </w:r>
          <w:r>
            <w:rPr/>
            <w:tab/>
          </w:r>
          <w:r>
            <w:rPr>
              <w:spacing w:val="-5"/>
            </w:rPr>
            <w:t>43</w:t>
          </w:r>
        </w:p>
        <w:p>
          <w:pPr>
            <w:pStyle w:val="TOC3"/>
            <w:numPr>
              <w:ilvl w:val="2"/>
              <w:numId w:val="2"/>
            </w:numPr>
            <w:tabs>
              <w:tab w:pos="1140" w:val="left" w:leader="none"/>
              <w:tab w:pos="9303" w:val="right" w:leader="none"/>
            </w:tabs>
            <w:spacing w:line="240" w:lineRule="auto" w:before="137" w:after="0"/>
            <w:ind w:left="1140" w:right="0" w:hanging="720"/>
            <w:jc w:val="left"/>
          </w:pPr>
          <w:r>
            <w:rPr/>
            <w:t>Animal</w:t>
          </w:r>
          <w:r>
            <w:rPr>
              <w:spacing w:val="-4"/>
            </w:rPr>
            <w:t> </w:t>
          </w:r>
          <w:r>
            <w:rPr/>
            <w:t>manure</w:t>
          </w:r>
          <w:r>
            <w:rPr>
              <w:spacing w:val="63"/>
            </w:rPr>
            <w:t> </w:t>
          </w:r>
          <w:r>
            <w:rPr>
              <w:spacing w:val="-2"/>
            </w:rPr>
            <w:t>………………………………………………………………</w:t>
          </w:r>
          <w:r>
            <w:rPr/>
            <w:tab/>
          </w:r>
          <w:r>
            <w:rPr>
              <w:spacing w:val="-5"/>
            </w:rPr>
            <w:t>43</w:t>
          </w:r>
        </w:p>
        <w:p>
          <w:pPr>
            <w:pStyle w:val="TOC2"/>
            <w:numPr>
              <w:ilvl w:val="1"/>
              <w:numId w:val="2"/>
            </w:numPr>
            <w:tabs>
              <w:tab w:pos="1140" w:val="left" w:leader="none"/>
              <w:tab w:pos="9303" w:val="right" w:leader="dot"/>
            </w:tabs>
            <w:spacing w:line="240" w:lineRule="auto" w:before="142" w:after="0"/>
            <w:ind w:left="1140" w:right="0" w:hanging="720"/>
            <w:jc w:val="left"/>
          </w:pPr>
          <w:hyperlink w:history="true" w:anchor="_TOC_250011">
            <w:r>
              <w:rPr/>
              <w:t>Mechanism</w:t>
            </w:r>
            <w:r>
              <w:rPr>
                <w:spacing w:val="-1"/>
              </w:rPr>
              <w:t> </w:t>
            </w:r>
            <w:r>
              <w:rPr/>
              <w:t>of</w:t>
            </w:r>
            <w:r>
              <w:rPr>
                <w:spacing w:val="-1"/>
              </w:rPr>
              <w:t> </w:t>
            </w:r>
            <w:r>
              <w:rPr/>
              <w:t>Action</w:t>
            </w:r>
            <w:r>
              <w:rPr>
                <w:spacing w:val="3"/>
              </w:rPr>
              <w:t> </w:t>
            </w:r>
            <w:r>
              <w:rPr/>
              <w:t>of Heavy</w:t>
            </w:r>
            <w:r>
              <w:rPr>
                <w:spacing w:val="-3"/>
              </w:rPr>
              <w:t> </w:t>
            </w:r>
            <w:r>
              <w:rPr>
                <w:spacing w:val="-2"/>
              </w:rPr>
              <w:t>Metals</w:t>
            </w:r>
            <w:r>
              <w:rPr/>
              <w:tab/>
            </w:r>
            <w:r>
              <w:rPr>
                <w:spacing w:val="-5"/>
              </w:rPr>
              <w:t>44</w:t>
            </w:r>
          </w:hyperlink>
        </w:p>
        <w:p>
          <w:pPr>
            <w:pStyle w:val="TOC2"/>
            <w:numPr>
              <w:ilvl w:val="1"/>
              <w:numId w:val="2"/>
            </w:numPr>
            <w:tabs>
              <w:tab w:pos="1140" w:val="left" w:leader="none"/>
              <w:tab w:pos="9303" w:val="right" w:leader="dot"/>
            </w:tabs>
            <w:spacing w:line="240" w:lineRule="auto" w:before="137" w:after="0"/>
            <w:ind w:left="1140" w:right="0" w:hanging="720"/>
            <w:jc w:val="left"/>
          </w:pPr>
          <w:hyperlink w:history="true" w:anchor="_TOC_250010">
            <w:r>
              <w:rPr/>
              <w:t>Management</w:t>
            </w:r>
            <w:r>
              <w:rPr>
                <w:spacing w:val="4"/>
              </w:rPr>
              <w:t> </w:t>
            </w:r>
            <w:r>
              <w:rPr/>
              <w:t>of</w:t>
            </w:r>
            <w:r>
              <w:rPr>
                <w:spacing w:val="-1"/>
              </w:rPr>
              <w:t> </w:t>
            </w:r>
            <w:r>
              <w:rPr/>
              <w:t>Heavy</w:t>
            </w:r>
            <w:r>
              <w:rPr>
                <w:spacing w:val="-3"/>
              </w:rPr>
              <w:t> </w:t>
            </w:r>
            <w:r>
              <w:rPr/>
              <w:t>Metal</w:t>
            </w:r>
            <w:r>
              <w:rPr>
                <w:spacing w:val="-3"/>
              </w:rPr>
              <w:t> </w:t>
            </w:r>
            <w:r>
              <w:rPr>
                <w:spacing w:val="-2"/>
              </w:rPr>
              <w:t>Poisoning</w:t>
            </w:r>
            <w:r>
              <w:rPr/>
              <w:tab/>
            </w:r>
            <w:r>
              <w:rPr>
                <w:spacing w:val="-5"/>
              </w:rPr>
              <w:t>44</w:t>
            </w:r>
          </w:hyperlink>
        </w:p>
        <w:p>
          <w:pPr>
            <w:pStyle w:val="TOC6"/>
            <w:tabs>
              <w:tab w:pos="9303" w:val="right" w:leader="none"/>
            </w:tabs>
            <w:spacing w:before="569"/>
          </w:pPr>
          <w:r>
            <w:rPr/>
            <w:t>CHAPTER</w:t>
          </w:r>
          <w:r>
            <w:rPr>
              <w:spacing w:val="-9"/>
            </w:rPr>
            <w:t> </w:t>
          </w:r>
          <w:r>
            <w:rPr>
              <w:spacing w:val="-4"/>
            </w:rPr>
            <w:t>THREE</w:t>
          </w:r>
          <w:r>
            <w:rPr/>
            <w:tab/>
          </w:r>
          <w:r>
            <w:rPr>
              <w:spacing w:val="-5"/>
            </w:rPr>
            <w:t>46</w:t>
          </w:r>
        </w:p>
        <w:p>
          <w:pPr>
            <w:pStyle w:val="TOC1"/>
            <w:numPr>
              <w:ilvl w:val="1"/>
              <w:numId w:val="3"/>
            </w:numPr>
            <w:tabs>
              <w:tab w:pos="1140" w:val="left" w:leader="none"/>
              <w:tab w:pos="9250" w:val="right" w:leader="none"/>
            </w:tabs>
            <w:spacing w:line="240" w:lineRule="auto" w:before="334" w:after="0"/>
            <w:ind w:left="1140" w:right="0" w:hanging="720"/>
            <w:jc w:val="left"/>
          </w:pPr>
          <w:r>
            <w:rPr>
              <w:b w:val="0"/>
            </w:rPr>
            <w:t>M</w:t>
          </w:r>
          <w:r>
            <w:rPr/>
            <w:t>ATERIALS</w:t>
          </w:r>
          <w:r>
            <w:rPr>
              <w:spacing w:val="-4"/>
            </w:rPr>
            <w:t> </w:t>
          </w:r>
          <w:r>
            <w:rPr/>
            <w:t>AND</w:t>
          </w:r>
          <w:r>
            <w:rPr>
              <w:spacing w:val="-3"/>
            </w:rPr>
            <w:t> </w:t>
          </w:r>
          <w:r>
            <w:rPr/>
            <w:t>METHODS</w:t>
          </w:r>
          <w:r>
            <w:rPr>
              <w:spacing w:val="1"/>
            </w:rPr>
            <w:t> </w:t>
          </w:r>
          <w:r>
            <w:rPr>
              <w:spacing w:val="-2"/>
            </w:rPr>
            <w:t>…………………………………………..</w:t>
          </w:r>
          <w:r>
            <w:rPr>
              <w:b w:val="0"/>
            </w:rPr>
            <w:tab/>
          </w:r>
          <w:r>
            <w:rPr>
              <w:spacing w:val="-5"/>
            </w:rPr>
            <w:t>46</w:t>
          </w:r>
        </w:p>
        <w:p>
          <w:pPr>
            <w:pStyle w:val="TOC2"/>
            <w:numPr>
              <w:ilvl w:val="1"/>
              <w:numId w:val="3"/>
            </w:numPr>
            <w:tabs>
              <w:tab w:pos="1140" w:val="left" w:leader="none"/>
              <w:tab w:pos="9303" w:val="right" w:leader="none"/>
            </w:tabs>
            <w:spacing w:line="240" w:lineRule="auto" w:before="247" w:after="0"/>
            <w:ind w:left="1140" w:right="0" w:hanging="720"/>
            <w:jc w:val="left"/>
          </w:pPr>
          <w:hyperlink w:history="true" w:anchor="_TOC_250009">
            <w:r>
              <w:rPr/>
              <w:t>Materials</w:t>
            </w:r>
            <w:r>
              <w:rPr>
                <w:spacing w:val="29"/>
              </w:rPr>
              <w:t>  </w:t>
            </w:r>
            <w:r>
              <w:rPr>
                <w:spacing w:val="-2"/>
              </w:rPr>
              <w:t>……………………………………………………………………</w:t>
            </w:r>
            <w:r>
              <w:rPr>
                <w:b w:val="0"/>
              </w:rPr>
              <w:tab/>
            </w:r>
            <w:r>
              <w:rPr>
                <w:spacing w:val="-5"/>
              </w:rPr>
              <w:t>46</w:t>
            </w:r>
          </w:hyperlink>
        </w:p>
        <w:p>
          <w:pPr>
            <w:pStyle w:val="TOC3"/>
            <w:numPr>
              <w:ilvl w:val="2"/>
              <w:numId w:val="3"/>
            </w:numPr>
            <w:tabs>
              <w:tab w:pos="1145" w:val="left" w:leader="none"/>
              <w:tab w:pos="9303" w:val="right" w:leader="none"/>
            </w:tabs>
            <w:spacing w:line="240" w:lineRule="auto" w:before="243" w:after="0"/>
            <w:ind w:left="1145" w:right="0" w:hanging="725"/>
            <w:jc w:val="left"/>
          </w:pPr>
          <w:r>
            <w:rPr/>
            <w:t>Compound</w:t>
          </w:r>
          <w:r>
            <w:rPr>
              <w:spacing w:val="-1"/>
            </w:rPr>
            <w:t> </w:t>
          </w:r>
          <w:r>
            <w:rPr/>
            <w:t>fish</w:t>
          </w:r>
          <w:r>
            <w:rPr>
              <w:spacing w:val="-4"/>
            </w:rPr>
            <w:t> </w:t>
          </w:r>
          <w:r>
            <w:rPr/>
            <w:t>feeds</w:t>
          </w:r>
          <w:r>
            <w:rPr>
              <w:spacing w:val="40"/>
            </w:rPr>
            <w:t> </w:t>
          </w:r>
          <w:r>
            <w:rPr>
              <w:spacing w:val="-2"/>
            </w:rPr>
            <w:t>…………………………………………………………</w:t>
          </w:r>
          <w:r>
            <w:rPr/>
            <w:tab/>
          </w:r>
          <w:r>
            <w:rPr>
              <w:spacing w:val="-5"/>
            </w:rPr>
            <w:t>46</w:t>
          </w:r>
        </w:p>
        <w:p>
          <w:pPr>
            <w:pStyle w:val="TOC3"/>
            <w:numPr>
              <w:ilvl w:val="2"/>
              <w:numId w:val="3"/>
            </w:numPr>
            <w:tabs>
              <w:tab w:pos="1140" w:val="left" w:leader="none"/>
              <w:tab w:pos="9303" w:val="right" w:leader="none"/>
            </w:tabs>
            <w:spacing w:line="240" w:lineRule="auto" w:before="271" w:after="0"/>
            <w:ind w:left="1140" w:right="0" w:hanging="720"/>
            <w:jc w:val="left"/>
          </w:pPr>
          <w:r>
            <w:rPr/>
            <w:t>Compound</w:t>
          </w:r>
          <w:r>
            <w:rPr>
              <w:spacing w:val="-1"/>
            </w:rPr>
            <w:t> </w:t>
          </w:r>
          <w:r>
            <w:rPr/>
            <w:t>poultry</w:t>
          </w:r>
          <w:r>
            <w:rPr>
              <w:spacing w:val="-6"/>
            </w:rPr>
            <w:t> </w:t>
          </w:r>
          <w:r>
            <w:rPr/>
            <w:t>feeds</w:t>
          </w:r>
          <w:r>
            <w:rPr>
              <w:spacing w:val="60"/>
            </w:rPr>
            <w:t> </w:t>
          </w:r>
          <w:r>
            <w:rPr>
              <w:spacing w:val="-2"/>
            </w:rPr>
            <w:t>…………………………………………………….</w:t>
          </w:r>
          <w:r>
            <w:rPr/>
            <w:tab/>
          </w:r>
          <w:r>
            <w:rPr>
              <w:spacing w:val="-5"/>
            </w:rPr>
            <w:t>46</w:t>
          </w:r>
        </w:p>
        <w:p>
          <w:pPr>
            <w:pStyle w:val="TOC3"/>
            <w:numPr>
              <w:ilvl w:val="2"/>
              <w:numId w:val="3"/>
            </w:numPr>
            <w:tabs>
              <w:tab w:pos="1140" w:val="left" w:leader="none"/>
              <w:tab w:pos="3301" w:val="left" w:leader="none"/>
              <w:tab w:pos="9303" w:val="right" w:leader="none"/>
            </w:tabs>
            <w:spacing w:line="240" w:lineRule="auto" w:before="339" w:after="0"/>
            <w:ind w:left="1140" w:right="0" w:hanging="720"/>
            <w:jc w:val="left"/>
          </w:pPr>
          <w:r>
            <w:rPr/>
            <w:t>Feedstuffs</w:t>
          </w:r>
          <w:r>
            <w:rPr>
              <w:spacing w:val="-3"/>
            </w:rPr>
            <w:t> </w:t>
          </w:r>
          <w:r>
            <w:rPr/>
            <w:t>for</w:t>
          </w:r>
          <w:r>
            <w:rPr>
              <w:spacing w:val="-2"/>
            </w:rPr>
            <w:t> cattle</w:t>
          </w:r>
          <w:r>
            <w:rPr/>
            <w:tab/>
          </w:r>
          <w:r>
            <w:rPr>
              <w:spacing w:val="-2"/>
            </w:rPr>
            <w:t>…………………………………………………………</w:t>
          </w:r>
          <w:r>
            <w:rPr/>
            <w:tab/>
          </w:r>
          <w:r>
            <w:rPr>
              <w:spacing w:val="-5"/>
            </w:rPr>
            <w:t>47</w:t>
          </w:r>
        </w:p>
        <w:p>
          <w:pPr>
            <w:pStyle w:val="TOC2"/>
            <w:numPr>
              <w:ilvl w:val="1"/>
              <w:numId w:val="3"/>
            </w:numPr>
            <w:tabs>
              <w:tab w:pos="1140" w:val="left" w:leader="none"/>
              <w:tab w:pos="2317" w:val="left" w:leader="none"/>
              <w:tab w:pos="9303" w:val="right" w:leader="none"/>
            </w:tabs>
            <w:spacing w:line="240" w:lineRule="auto" w:before="343" w:after="0"/>
            <w:ind w:left="1140" w:right="0" w:hanging="720"/>
            <w:jc w:val="left"/>
          </w:pPr>
          <w:r>
            <w:rPr>
              <w:spacing w:val="-2"/>
            </w:rPr>
            <w:t>Reagents</w:t>
          </w:r>
          <w:r>
            <w:rPr/>
            <w:tab/>
          </w:r>
          <w:r>
            <w:rPr>
              <w:spacing w:val="-2"/>
            </w:rPr>
            <w:t>……………………………………………………………………</w:t>
          </w:r>
          <w:r>
            <w:rPr>
              <w:b w:val="0"/>
            </w:rPr>
            <w:tab/>
          </w:r>
          <w:r>
            <w:rPr>
              <w:spacing w:val="-5"/>
            </w:rPr>
            <w:t>47</w:t>
          </w:r>
        </w:p>
        <w:p>
          <w:pPr>
            <w:pStyle w:val="TOC2"/>
            <w:numPr>
              <w:ilvl w:val="1"/>
              <w:numId w:val="4"/>
            </w:numPr>
            <w:tabs>
              <w:tab w:pos="1140" w:val="left" w:leader="none"/>
              <w:tab w:pos="9303" w:val="right" w:leader="none"/>
            </w:tabs>
            <w:spacing w:line="240" w:lineRule="auto" w:before="339" w:after="0"/>
            <w:ind w:left="1140" w:right="0" w:hanging="720"/>
            <w:jc w:val="left"/>
          </w:pPr>
          <w:r>
            <w:rPr/>
            <w:t>Equipment</w:t>
          </w:r>
          <w:r>
            <w:rPr>
              <w:spacing w:val="59"/>
            </w:rPr>
            <w:t> </w:t>
          </w:r>
          <w:r>
            <w:rPr>
              <w:spacing w:val="-2"/>
            </w:rPr>
            <w:t>…………………………………………………………………..</w:t>
          </w:r>
          <w:r>
            <w:rPr>
              <w:b w:val="0"/>
            </w:rPr>
            <w:tab/>
          </w:r>
          <w:r>
            <w:rPr>
              <w:spacing w:val="-5"/>
            </w:rPr>
            <w:t>47</w:t>
          </w:r>
        </w:p>
        <w:p>
          <w:pPr>
            <w:pStyle w:val="TOC2"/>
            <w:numPr>
              <w:ilvl w:val="1"/>
              <w:numId w:val="5"/>
            </w:numPr>
            <w:tabs>
              <w:tab w:pos="1140" w:val="left" w:leader="none"/>
              <w:tab w:pos="2581" w:val="left" w:leader="none"/>
              <w:tab w:pos="9303" w:val="right" w:leader="none"/>
            </w:tabs>
            <w:spacing w:line="240" w:lineRule="auto" w:before="338" w:after="0"/>
            <w:ind w:left="1140" w:right="0" w:hanging="720"/>
            <w:jc w:val="left"/>
          </w:pPr>
          <w:r>
            <w:rPr>
              <w:spacing w:val="-2"/>
            </w:rPr>
            <w:t>Methods</w:t>
          </w:r>
          <w:r>
            <w:rPr/>
            <w:tab/>
          </w:r>
          <w:r>
            <w:rPr>
              <w:spacing w:val="-2"/>
            </w:rPr>
            <w:t>………………………………………………………………</w:t>
          </w:r>
          <w:r>
            <w:rPr>
              <w:b w:val="0"/>
            </w:rPr>
            <w:tab/>
          </w:r>
          <w:r>
            <w:rPr>
              <w:spacing w:val="-5"/>
            </w:rPr>
            <w:t>48</w:t>
          </w:r>
        </w:p>
        <w:p>
          <w:pPr>
            <w:pStyle w:val="TOC3"/>
            <w:numPr>
              <w:ilvl w:val="2"/>
              <w:numId w:val="5"/>
            </w:numPr>
            <w:tabs>
              <w:tab w:pos="1140" w:val="left" w:leader="none"/>
              <w:tab w:pos="9303" w:val="right" w:leader="none"/>
            </w:tabs>
            <w:spacing w:line="240" w:lineRule="auto" w:before="329" w:after="0"/>
            <w:ind w:left="1140" w:right="0" w:hanging="720"/>
            <w:jc w:val="left"/>
          </w:pPr>
          <w:r>
            <w:rPr/>
            <w:t>Study</w:t>
          </w:r>
          <w:r>
            <w:rPr>
              <w:spacing w:val="-8"/>
            </w:rPr>
            <w:t> </w:t>
          </w:r>
          <w:r>
            <w:rPr/>
            <w:t>area</w:t>
          </w:r>
          <w:r>
            <w:rPr>
              <w:spacing w:val="35"/>
            </w:rPr>
            <w:t>  </w:t>
          </w:r>
          <w:r>
            <w:rPr>
              <w:spacing w:val="-2"/>
            </w:rPr>
            <w:t>…………………………………………………………………</w:t>
          </w:r>
          <w:r>
            <w:rPr/>
            <w:tab/>
          </w:r>
          <w:r>
            <w:rPr>
              <w:spacing w:val="-5"/>
            </w:rPr>
            <w:t>48</w:t>
          </w:r>
        </w:p>
        <w:p>
          <w:pPr>
            <w:pStyle w:val="TOC3"/>
            <w:numPr>
              <w:ilvl w:val="2"/>
              <w:numId w:val="5"/>
            </w:numPr>
            <w:tabs>
              <w:tab w:pos="1140" w:val="left" w:leader="none"/>
              <w:tab w:pos="9303" w:val="right" w:leader="none"/>
            </w:tabs>
            <w:spacing w:line="240" w:lineRule="auto" w:before="339" w:after="0"/>
            <w:ind w:left="1140" w:right="0" w:hanging="720"/>
            <w:jc w:val="left"/>
          </w:pPr>
          <w:r>
            <w:rPr/>
            <w:t>Sample</w:t>
          </w:r>
          <w:r>
            <w:rPr>
              <w:spacing w:val="-4"/>
            </w:rPr>
            <w:t> </w:t>
          </w:r>
          <w:r>
            <w:rPr/>
            <w:t>collection</w:t>
          </w:r>
          <w:r>
            <w:rPr>
              <w:spacing w:val="-4"/>
            </w:rPr>
            <w:t> </w:t>
          </w:r>
          <w:r>
            <w:rPr>
              <w:spacing w:val="-2"/>
            </w:rPr>
            <w:t>……………………………………………………………</w:t>
          </w:r>
          <w:r>
            <w:rPr/>
            <w:tab/>
          </w:r>
          <w:r>
            <w:rPr>
              <w:spacing w:val="-5"/>
            </w:rPr>
            <w:t>58</w:t>
          </w:r>
        </w:p>
        <w:p>
          <w:pPr>
            <w:pStyle w:val="TOC2"/>
            <w:numPr>
              <w:ilvl w:val="1"/>
              <w:numId w:val="3"/>
            </w:numPr>
            <w:tabs>
              <w:tab w:pos="1140" w:val="left" w:leader="none"/>
              <w:tab w:pos="9303" w:val="right" w:leader="dot"/>
            </w:tabs>
            <w:spacing w:line="240" w:lineRule="auto" w:before="338" w:after="0"/>
            <w:ind w:left="1140" w:right="0" w:hanging="720"/>
            <w:jc w:val="left"/>
          </w:pPr>
          <w:r>
            <w:rPr/>
            <w:t>Sample</w:t>
          </w:r>
          <w:r>
            <w:rPr>
              <w:spacing w:val="-8"/>
            </w:rPr>
            <w:t> </w:t>
          </w:r>
          <w:r>
            <w:rPr>
              <w:spacing w:val="-2"/>
            </w:rPr>
            <w:t>Preparation</w:t>
          </w:r>
          <w:r>
            <w:rPr/>
            <w:tab/>
          </w:r>
          <w:r>
            <w:rPr>
              <w:spacing w:val="-5"/>
            </w:rPr>
            <w:t>59</w:t>
          </w:r>
        </w:p>
        <w:p>
          <w:pPr>
            <w:pStyle w:val="TOC3"/>
            <w:numPr>
              <w:ilvl w:val="2"/>
              <w:numId w:val="3"/>
            </w:numPr>
            <w:tabs>
              <w:tab w:pos="1203" w:val="left" w:leader="none"/>
              <w:tab w:pos="9303" w:val="right" w:leader="dot"/>
            </w:tabs>
            <w:spacing w:line="240" w:lineRule="auto" w:before="344" w:after="20"/>
            <w:ind w:left="1203" w:right="0" w:hanging="783"/>
            <w:jc w:val="left"/>
          </w:pPr>
          <w:r>
            <w:rPr/>
            <w:t>Feeds</w:t>
          </w:r>
          <w:r>
            <w:rPr>
              <w:spacing w:val="-7"/>
            </w:rPr>
            <w:t> </w:t>
          </w:r>
          <w:r>
            <w:rPr/>
            <w:t>and manure</w:t>
          </w:r>
          <w:r>
            <w:rPr>
              <w:spacing w:val="-5"/>
            </w:rPr>
            <w:t> </w:t>
          </w:r>
          <w:r>
            <w:rPr>
              <w:spacing w:val="-2"/>
            </w:rPr>
            <w:t>samples</w:t>
          </w:r>
          <w:r>
            <w:rPr/>
            <w:tab/>
          </w:r>
          <w:r>
            <w:rPr>
              <w:spacing w:val="-5"/>
            </w:rPr>
            <w:t>59</w:t>
          </w:r>
        </w:p>
        <w:p>
          <w:pPr>
            <w:pStyle w:val="TOC3"/>
            <w:numPr>
              <w:ilvl w:val="2"/>
              <w:numId w:val="3"/>
            </w:numPr>
            <w:tabs>
              <w:tab w:pos="1140" w:val="left" w:leader="none"/>
              <w:tab w:pos="9303" w:val="right" w:leader="dot"/>
            </w:tabs>
            <w:spacing w:line="240" w:lineRule="auto" w:before="72" w:after="0"/>
            <w:ind w:left="1140" w:right="0" w:hanging="720"/>
            <w:jc w:val="left"/>
          </w:pPr>
          <w:r>
            <w:rPr/>
            <w:t>Water </w:t>
          </w:r>
          <w:r>
            <w:rPr>
              <w:spacing w:val="-2"/>
            </w:rPr>
            <w:t>samples</w:t>
          </w:r>
          <w:r>
            <w:rPr/>
            <w:tab/>
          </w:r>
          <w:r>
            <w:rPr>
              <w:spacing w:val="-5"/>
            </w:rPr>
            <w:t>59</w:t>
          </w:r>
        </w:p>
        <w:p>
          <w:pPr>
            <w:pStyle w:val="TOC2"/>
            <w:numPr>
              <w:ilvl w:val="1"/>
              <w:numId w:val="3"/>
            </w:numPr>
            <w:tabs>
              <w:tab w:pos="1140" w:val="left" w:leader="none"/>
              <w:tab w:pos="9303" w:val="right" w:leader="dot"/>
            </w:tabs>
            <w:spacing w:line="240" w:lineRule="auto" w:before="281" w:after="0"/>
            <w:ind w:left="1140" w:right="0" w:hanging="720"/>
            <w:jc w:val="left"/>
          </w:pPr>
          <w:r>
            <w:rPr/>
            <w:t>Analytical</w:t>
          </w:r>
          <w:r>
            <w:rPr>
              <w:spacing w:val="-5"/>
            </w:rPr>
            <w:t> </w:t>
          </w:r>
          <w:r>
            <w:rPr>
              <w:spacing w:val="-2"/>
            </w:rPr>
            <w:t>Method</w:t>
          </w:r>
          <w:r>
            <w:rPr/>
            <w:tab/>
          </w:r>
          <w:r>
            <w:rPr>
              <w:spacing w:val="-5"/>
            </w:rPr>
            <w:t>60</w:t>
          </w:r>
        </w:p>
        <w:p>
          <w:pPr>
            <w:pStyle w:val="TOC3"/>
            <w:numPr>
              <w:ilvl w:val="2"/>
              <w:numId w:val="3"/>
            </w:numPr>
            <w:tabs>
              <w:tab w:pos="1140" w:val="left" w:leader="none"/>
              <w:tab w:pos="9303" w:val="right" w:leader="none"/>
            </w:tabs>
            <w:spacing w:line="240" w:lineRule="auto" w:before="272" w:after="0"/>
            <w:ind w:left="1140" w:right="0" w:hanging="720"/>
            <w:jc w:val="left"/>
          </w:pPr>
          <w:r>
            <w:rPr/>
            <w:t>Procedure</w:t>
          </w:r>
          <w:r>
            <w:rPr>
              <w:spacing w:val="30"/>
            </w:rPr>
            <w:t>  </w:t>
          </w:r>
          <w:r>
            <w:rPr>
              <w:spacing w:val="-2"/>
            </w:rPr>
            <w:t>……………………………………………………………………..</w:t>
          </w:r>
          <w:r>
            <w:rPr/>
            <w:tab/>
          </w:r>
          <w:r>
            <w:rPr>
              <w:spacing w:val="-5"/>
            </w:rPr>
            <w:t>60</w:t>
          </w:r>
        </w:p>
        <w:p>
          <w:pPr>
            <w:pStyle w:val="TOC3"/>
            <w:numPr>
              <w:ilvl w:val="2"/>
              <w:numId w:val="3"/>
            </w:numPr>
            <w:tabs>
              <w:tab w:pos="1143" w:val="left" w:leader="none"/>
              <w:tab w:pos="9303" w:val="right" w:leader="none"/>
            </w:tabs>
            <w:spacing w:line="240" w:lineRule="auto" w:before="276" w:after="0"/>
            <w:ind w:left="1143" w:right="0" w:hanging="723"/>
            <w:jc w:val="left"/>
          </w:pPr>
          <w:r>
            <w:rPr/>
            <w:t>Calibration</w:t>
          </w:r>
          <w:r>
            <w:rPr>
              <w:spacing w:val="-6"/>
            </w:rPr>
            <w:t> </w:t>
          </w:r>
          <w:r>
            <w:rPr/>
            <w:t>curves</w:t>
          </w:r>
          <w:r>
            <w:rPr>
              <w:spacing w:val="57"/>
            </w:rPr>
            <w:t> </w:t>
          </w:r>
          <w:r>
            <w:rPr>
              <w:spacing w:val="-2"/>
            </w:rPr>
            <w:t>……………………………………………………………</w:t>
          </w:r>
          <w:r>
            <w:rPr/>
            <w:tab/>
          </w:r>
          <w:r>
            <w:rPr>
              <w:spacing w:val="-5"/>
            </w:rPr>
            <w:t>60</w:t>
          </w:r>
        </w:p>
        <w:p>
          <w:pPr>
            <w:pStyle w:val="TOC3"/>
            <w:numPr>
              <w:ilvl w:val="2"/>
              <w:numId w:val="3"/>
            </w:numPr>
            <w:tabs>
              <w:tab w:pos="1145" w:val="left" w:leader="none"/>
              <w:tab w:pos="9303" w:val="right" w:leader="none"/>
            </w:tabs>
            <w:spacing w:line="240" w:lineRule="auto" w:before="276" w:after="0"/>
            <w:ind w:left="1145" w:right="0" w:hanging="725"/>
            <w:jc w:val="left"/>
          </w:pPr>
          <w:r>
            <w:rPr/>
            <w:t>Method</w:t>
          </w:r>
          <w:r>
            <w:rPr>
              <w:spacing w:val="-4"/>
            </w:rPr>
            <w:t> </w:t>
          </w:r>
          <w:r>
            <w:rPr/>
            <w:t>validation</w:t>
          </w:r>
          <w:r>
            <w:rPr>
              <w:spacing w:val="50"/>
            </w:rPr>
            <w:t> </w:t>
          </w:r>
          <w:r>
            <w:rPr>
              <w:spacing w:val="-2"/>
            </w:rPr>
            <w:t>……………………………………………………………</w:t>
          </w:r>
          <w:r>
            <w:rPr/>
            <w:tab/>
          </w:r>
          <w:r>
            <w:rPr>
              <w:spacing w:val="-5"/>
            </w:rPr>
            <w:t>60</w:t>
          </w:r>
        </w:p>
        <w:p>
          <w:pPr>
            <w:pStyle w:val="TOC6"/>
            <w:tabs>
              <w:tab w:pos="9303" w:val="right" w:leader="none"/>
            </w:tabs>
            <w:spacing w:before="694"/>
          </w:pPr>
          <w:r>
            <w:rPr/>
            <w:t>CHAPTER</w:t>
          </w:r>
          <w:r>
            <w:rPr>
              <w:spacing w:val="-7"/>
            </w:rPr>
            <w:t> </w:t>
          </w:r>
          <w:r>
            <w:rPr>
              <w:spacing w:val="-4"/>
            </w:rPr>
            <w:t>FOUR</w:t>
          </w:r>
          <w:r>
            <w:rPr/>
            <w:tab/>
          </w:r>
          <w:r>
            <w:rPr>
              <w:spacing w:val="-5"/>
            </w:rPr>
            <w:t>63</w:t>
          </w:r>
        </w:p>
        <w:p>
          <w:pPr>
            <w:pStyle w:val="TOC1"/>
            <w:numPr>
              <w:ilvl w:val="1"/>
              <w:numId w:val="6"/>
            </w:numPr>
            <w:tabs>
              <w:tab w:pos="1140" w:val="left" w:leader="none"/>
              <w:tab w:pos="9303" w:val="right" w:leader="none"/>
            </w:tabs>
            <w:spacing w:line="240" w:lineRule="auto" w:before="271" w:after="0"/>
            <w:ind w:left="1140" w:right="0" w:hanging="720"/>
            <w:jc w:val="left"/>
          </w:pPr>
          <w:r>
            <w:rPr/>
            <w:t>RESULTS</w:t>
          </w:r>
          <w:r>
            <w:rPr>
              <w:spacing w:val="-5"/>
            </w:rPr>
            <w:t> </w:t>
          </w:r>
          <w:r>
            <w:rPr>
              <w:spacing w:val="-2"/>
            </w:rPr>
            <w:t>……………………………………………………………………</w:t>
          </w:r>
          <w:r>
            <w:rPr>
              <w:b w:val="0"/>
            </w:rPr>
            <w:tab/>
          </w:r>
          <w:r>
            <w:rPr>
              <w:spacing w:val="-5"/>
            </w:rPr>
            <w:t>63</w:t>
          </w:r>
        </w:p>
        <w:p>
          <w:pPr>
            <w:pStyle w:val="TOC2"/>
            <w:numPr>
              <w:ilvl w:val="1"/>
              <w:numId w:val="6"/>
            </w:numPr>
            <w:tabs>
              <w:tab w:pos="1140" w:val="left" w:leader="none"/>
              <w:tab w:pos="9303" w:val="right" w:leader="none"/>
            </w:tabs>
            <w:spacing w:line="240" w:lineRule="auto" w:before="339" w:after="0"/>
            <w:ind w:left="1140" w:right="0" w:hanging="720"/>
            <w:jc w:val="left"/>
          </w:pPr>
          <w:hyperlink w:history="true" w:anchor="_TOC_250008">
            <w:r>
              <w:rPr/>
              <w:t>Method</w:t>
            </w:r>
            <w:r>
              <w:rPr>
                <w:spacing w:val="-2"/>
              </w:rPr>
              <w:t> </w:t>
            </w:r>
            <w:r>
              <w:rPr/>
              <w:t>Validation</w:t>
            </w:r>
            <w:r>
              <w:rPr>
                <w:spacing w:val="4"/>
              </w:rPr>
              <w:t> </w:t>
            </w:r>
            <w:r>
              <w:rPr>
                <w:spacing w:val="-2"/>
              </w:rPr>
              <w:t>……………………………………………………………</w:t>
            </w:r>
            <w:r>
              <w:rPr>
                <w:b w:val="0"/>
              </w:rPr>
              <w:tab/>
            </w:r>
            <w:r>
              <w:rPr>
                <w:spacing w:val="-5"/>
              </w:rPr>
              <w:t>63</w:t>
            </w:r>
          </w:hyperlink>
        </w:p>
        <w:p>
          <w:pPr>
            <w:pStyle w:val="TOC2"/>
            <w:numPr>
              <w:ilvl w:val="1"/>
              <w:numId w:val="6"/>
            </w:numPr>
            <w:tabs>
              <w:tab w:pos="1140" w:val="left" w:leader="none"/>
              <w:tab w:pos="9303" w:val="right" w:leader="none"/>
            </w:tabs>
            <w:spacing w:line="240" w:lineRule="auto" w:before="338" w:after="0"/>
            <w:ind w:left="1140" w:right="0" w:hanging="720"/>
            <w:jc w:val="left"/>
          </w:pPr>
          <w:r>
            <w:rPr/>
            <w:t>Fish</w:t>
          </w:r>
          <w:r>
            <w:rPr>
              <w:spacing w:val="-2"/>
            </w:rPr>
            <w:t> </w:t>
          </w:r>
          <w:r>
            <w:rPr/>
            <w:t>Feeds</w:t>
          </w:r>
          <w:r>
            <w:rPr>
              <w:spacing w:val="57"/>
            </w:rPr>
            <w:t> </w:t>
          </w:r>
          <w:r>
            <w:rPr>
              <w:spacing w:val="-2"/>
            </w:rPr>
            <w:t>……………………………………………………………………</w:t>
          </w:r>
          <w:r>
            <w:rPr>
              <w:b w:val="0"/>
            </w:rPr>
            <w:tab/>
          </w:r>
          <w:r>
            <w:rPr>
              <w:spacing w:val="-5"/>
            </w:rPr>
            <w:t>64</w:t>
          </w:r>
        </w:p>
        <w:p>
          <w:pPr>
            <w:pStyle w:val="TOC2"/>
            <w:numPr>
              <w:ilvl w:val="1"/>
              <w:numId w:val="6"/>
            </w:numPr>
            <w:tabs>
              <w:tab w:pos="1140" w:val="left" w:leader="none"/>
              <w:tab w:pos="9308" w:val="right" w:leader="none"/>
            </w:tabs>
            <w:spacing w:line="240" w:lineRule="auto" w:before="339" w:after="0"/>
            <w:ind w:left="1140" w:right="0" w:hanging="720"/>
            <w:jc w:val="left"/>
          </w:pPr>
          <w:r>
            <w:rPr/>
            <w:t>Poultry</w:t>
          </w:r>
          <w:r>
            <w:rPr>
              <w:spacing w:val="-6"/>
            </w:rPr>
            <w:t> </w:t>
          </w:r>
          <w:r>
            <w:rPr>
              <w:spacing w:val="-2"/>
            </w:rPr>
            <w:t>Feeds……………………………………………………………</w:t>
          </w:r>
          <w:r>
            <w:rPr>
              <w:b w:val="0"/>
            </w:rPr>
            <w:tab/>
          </w:r>
          <w:r>
            <w:rPr>
              <w:spacing w:val="-5"/>
            </w:rPr>
            <w:t>70</w:t>
          </w:r>
        </w:p>
        <w:p>
          <w:pPr>
            <w:pStyle w:val="TOC2"/>
            <w:numPr>
              <w:ilvl w:val="1"/>
              <w:numId w:val="6"/>
            </w:numPr>
            <w:tabs>
              <w:tab w:pos="1140" w:val="left" w:leader="none"/>
              <w:tab w:pos="9303" w:val="right" w:leader="dot"/>
            </w:tabs>
            <w:spacing w:line="240" w:lineRule="auto" w:before="339" w:after="0"/>
            <w:ind w:left="1140" w:right="0" w:hanging="720"/>
            <w:jc w:val="left"/>
          </w:pPr>
          <w:r>
            <w:rPr/>
            <w:t>Pasture</w:t>
          </w:r>
          <w:r>
            <w:rPr>
              <w:spacing w:val="-5"/>
            </w:rPr>
            <w:t> </w:t>
          </w:r>
          <w:r>
            <w:rPr>
              <w:spacing w:val="-2"/>
            </w:rPr>
            <w:t>Grasses</w:t>
          </w:r>
          <w:r>
            <w:rPr/>
            <w:tab/>
          </w:r>
          <w:r>
            <w:rPr>
              <w:spacing w:val="-5"/>
            </w:rPr>
            <w:t>76</w:t>
          </w:r>
        </w:p>
        <w:p>
          <w:pPr>
            <w:pStyle w:val="TOC2"/>
            <w:numPr>
              <w:ilvl w:val="1"/>
              <w:numId w:val="6"/>
            </w:numPr>
            <w:tabs>
              <w:tab w:pos="1140" w:val="left" w:leader="none"/>
              <w:tab w:pos="9303" w:val="right" w:leader="dot"/>
            </w:tabs>
            <w:spacing w:line="240" w:lineRule="auto" w:before="338" w:after="0"/>
            <w:ind w:left="1140" w:right="0" w:hanging="720"/>
            <w:jc w:val="left"/>
          </w:pPr>
          <w:r>
            <w:rPr/>
            <w:t>Animal</w:t>
          </w:r>
          <w:r>
            <w:rPr>
              <w:spacing w:val="-7"/>
            </w:rPr>
            <w:t> </w:t>
          </w:r>
          <w:r>
            <w:rPr>
              <w:spacing w:val="-2"/>
            </w:rPr>
            <w:t>Manure</w:t>
          </w:r>
          <w:r>
            <w:rPr/>
            <w:tab/>
          </w:r>
          <w:r>
            <w:rPr>
              <w:spacing w:val="-5"/>
            </w:rPr>
            <w:t>82</w:t>
          </w:r>
        </w:p>
        <w:p>
          <w:pPr>
            <w:pStyle w:val="TOC2"/>
            <w:numPr>
              <w:ilvl w:val="1"/>
              <w:numId w:val="6"/>
            </w:numPr>
            <w:tabs>
              <w:tab w:pos="1140" w:val="left" w:leader="none"/>
              <w:tab w:pos="3363" w:val="left" w:leader="none"/>
              <w:tab w:pos="9303" w:val="right" w:leader="none"/>
            </w:tabs>
            <w:spacing w:line="240" w:lineRule="auto" w:before="339" w:after="0"/>
            <w:ind w:left="1140" w:right="0" w:hanging="720"/>
            <w:jc w:val="left"/>
          </w:pPr>
          <w:r>
            <w:rPr/>
            <w:t>Water</w:t>
          </w:r>
          <w:r>
            <w:rPr>
              <w:spacing w:val="-4"/>
            </w:rPr>
            <w:t> </w:t>
          </w:r>
          <w:r>
            <w:rPr>
              <w:spacing w:val="-2"/>
            </w:rPr>
            <w:t>Samples</w:t>
          </w:r>
          <w:r>
            <w:rPr/>
            <w:tab/>
          </w:r>
          <w:r>
            <w:rPr>
              <w:spacing w:val="-2"/>
            </w:rPr>
            <w:t>…………………………………………………………</w:t>
          </w:r>
          <w:r>
            <w:rPr>
              <w:b w:val="0"/>
            </w:rPr>
            <w:tab/>
          </w:r>
          <w:r>
            <w:rPr>
              <w:spacing w:val="-5"/>
            </w:rPr>
            <w:t>88</w:t>
          </w:r>
        </w:p>
        <w:p>
          <w:pPr>
            <w:pStyle w:val="TOC5"/>
            <w:tabs>
              <w:tab w:pos="9303" w:val="right" w:leader="none"/>
            </w:tabs>
            <w:spacing w:before="948"/>
          </w:pPr>
          <w:hyperlink w:history="true" w:anchor="_TOC_250007">
            <w:r>
              <w:rPr/>
              <w:t>CHAPTER</w:t>
            </w:r>
            <w:r>
              <w:rPr>
                <w:spacing w:val="-9"/>
              </w:rPr>
              <w:t> </w:t>
            </w:r>
            <w:r>
              <w:rPr>
                <w:spacing w:val="-4"/>
              </w:rPr>
              <w:t>FIVE</w:t>
            </w:r>
            <w:r>
              <w:rPr/>
              <w:tab/>
            </w:r>
            <w:r>
              <w:rPr>
                <w:spacing w:val="-5"/>
              </w:rPr>
              <w:t>95</w:t>
            </w:r>
          </w:hyperlink>
        </w:p>
        <w:p>
          <w:pPr>
            <w:pStyle w:val="TOC1"/>
            <w:numPr>
              <w:ilvl w:val="1"/>
              <w:numId w:val="7"/>
            </w:numPr>
            <w:tabs>
              <w:tab w:pos="1140" w:val="left" w:leader="none"/>
              <w:tab w:pos="9303" w:val="right" w:leader="dot"/>
            </w:tabs>
            <w:spacing w:line="240" w:lineRule="auto" w:before="339" w:after="0"/>
            <w:ind w:left="1140" w:right="0" w:hanging="720"/>
            <w:jc w:val="left"/>
          </w:pPr>
          <w:r>
            <w:rPr>
              <w:spacing w:val="-2"/>
            </w:rPr>
            <w:t>DISCUSSION</w:t>
          </w:r>
          <w:r>
            <w:rPr/>
            <w:tab/>
          </w:r>
          <w:r>
            <w:rPr>
              <w:spacing w:val="-5"/>
            </w:rPr>
            <w:t>95</w:t>
          </w:r>
        </w:p>
        <w:p>
          <w:pPr>
            <w:pStyle w:val="TOC2"/>
            <w:numPr>
              <w:ilvl w:val="1"/>
              <w:numId w:val="7"/>
            </w:numPr>
            <w:tabs>
              <w:tab w:pos="1203" w:val="left" w:leader="none"/>
              <w:tab w:pos="9303" w:val="right" w:leader="dot"/>
            </w:tabs>
            <w:spacing w:line="240" w:lineRule="auto" w:before="338" w:after="0"/>
            <w:ind w:left="1203" w:right="0" w:hanging="783"/>
            <w:jc w:val="left"/>
          </w:pPr>
          <w:hyperlink w:history="true" w:anchor="_TOC_250006">
            <w:r>
              <w:rPr/>
              <w:t>Method </w:t>
            </w:r>
            <w:r>
              <w:rPr>
                <w:spacing w:val="-2"/>
              </w:rPr>
              <w:t>Validation</w:t>
            </w:r>
            <w:r>
              <w:rPr/>
              <w:tab/>
            </w:r>
            <w:r>
              <w:rPr>
                <w:spacing w:val="-5"/>
              </w:rPr>
              <w:t>95</w:t>
            </w:r>
          </w:hyperlink>
        </w:p>
        <w:p>
          <w:pPr>
            <w:pStyle w:val="TOC2"/>
            <w:numPr>
              <w:ilvl w:val="1"/>
              <w:numId w:val="7"/>
            </w:numPr>
            <w:tabs>
              <w:tab w:pos="1140" w:val="left" w:leader="none"/>
              <w:tab w:pos="9318" w:val="right" w:leader="none"/>
            </w:tabs>
            <w:spacing w:line="240" w:lineRule="auto" w:before="339" w:after="0"/>
            <w:ind w:left="1140" w:right="0" w:hanging="720"/>
            <w:jc w:val="left"/>
          </w:pPr>
          <w:r>
            <w:rPr/>
            <w:t>Livestock</w:t>
          </w:r>
          <w:r>
            <w:rPr>
              <w:spacing w:val="-3"/>
            </w:rPr>
            <w:t> </w:t>
          </w:r>
          <w:r>
            <w:rPr/>
            <w:t>Feeds</w:t>
          </w:r>
          <w:r>
            <w:rPr>
              <w:spacing w:val="58"/>
            </w:rPr>
            <w:t> </w:t>
          </w:r>
          <w:r>
            <w:rPr>
              <w:spacing w:val="-2"/>
            </w:rPr>
            <w:t>………………………………………………………………</w:t>
          </w:r>
          <w:r>
            <w:rPr>
              <w:b w:val="0"/>
            </w:rPr>
            <w:tab/>
          </w:r>
          <w:r>
            <w:rPr>
              <w:spacing w:val="-5"/>
            </w:rPr>
            <w:t>95</w:t>
          </w:r>
        </w:p>
        <w:p>
          <w:pPr>
            <w:pStyle w:val="TOC2"/>
            <w:numPr>
              <w:ilvl w:val="1"/>
              <w:numId w:val="7"/>
            </w:numPr>
            <w:tabs>
              <w:tab w:pos="1140" w:val="left" w:leader="none"/>
              <w:tab w:pos="9303" w:val="right" w:leader="dot"/>
            </w:tabs>
            <w:spacing w:line="240" w:lineRule="auto" w:before="339" w:after="0"/>
            <w:ind w:left="1140" w:right="0" w:hanging="720"/>
            <w:jc w:val="left"/>
          </w:pPr>
          <w:hyperlink w:history="true" w:anchor="_TOC_250005">
            <w:r>
              <w:rPr/>
              <w:t>Animal</w:t>
            </w:r>
            <w:r>
              <w:rPr>
                <w:spacing w:val="-7"/>
              </w:rPr>
              <w:t> </w:t>
            </w:r>
            <w:r>
              <w:rPr>
                <w:spacing w:val="-2"/>
              </w:rPr>
              <w:t>Manure</w:t>
            </w:r>
            <w:r>
              <w:rPr/>
              <w:tab/>
            </w:r>
            <w:r>
              <w:rPr>
                <w:spacing w:val="-5"/>
              </w:rPr>
              <w:t>98</w:t>
            </w:r>
          </w:hyperlink>
        </w:p>
        <w:p>
          <w:pPr>
            <w:pStyle w:val="TOC2"/>
            <w:numPr>
              <w:ilvl w:val="1"/>
              <w:numId w:val="7"/>
            </w:numPr>
            <w:tabs>
              <w:tab w:pos="1140" w:val="left" w:leader="none"/>
              <w:tab w:pos="9366" w:val="right" w:leader="dot"/>
            </w:tabs>
            <w:spacing w:line="240" w:lineRule="auto" w:before="338" w:after="240"/>
            <w:ind w:left="1140" w:right="0" w:hanging="720"/>
            <w:jc w:val="left"/>
          </w:pPr>
          <w:hyperlink w:history="true" w:anchor="_TOC_250004">
            <w:r>
              <w:rPr/>
              <w:t>Water</w:t>
            </w:r>
            <w:r>
              <w:rPr>
                <w:spacing w:val="-4"/>
              </w:rPr>
              <w:t> </w:t>
            </w:r>
            <w:r>
              <w:rPr>
                <w:spacing w:val="-2"/>
              </w:rPr>
              <w:t>Samples</w:t>
            </w:r>
            <w:r>
              <w:rPr/>
              <w:tab/>
            </w:r>
            <w:r>
              <w:rPr>
                <w:spacing w:val="-5"/>
              </w:rPr>
              <w:t>100</w:t>
            </w:r>
          </w:hyperlink>
        </w:p>
        <w:p>
          <w:pPr>
            <w:pStyle w:val="TOC5"/>
            <w:tabs>
              <w:tab w:pos="9438" w:val="right" w:leader="none"/>
            </w:tabs>
          </w:pPr>
          <w:hyperlink w:history="true" w:anchor="_TOC_250003">
            <w:r>
              <w:rPr/>
              <w:t>CHAPTER</w:t>
            </w:r>
            <w:r>
              <w:rPr>
                <w:spacing w:val="-8"/>
              </w:rPr>
              <w:t> </w:t>
            </w:r>
            <w:r>
              <w:rPr>
                <w:spacing w:val="-5"/>
              </w:rPr>
              <w:t>SIX</w:t>
            </w:r>
            <w:r>
              <w:rPr/>
              <w:tab/>
            </w:r>
            <w:r>
              <w:rPr>
                <w:spacing w:val="-5"/>
              </w:rPr>
              <w:t>102</w:t>
            </w:r>
          </w:hyperlink>
        </w:p>
        <w:p>
          <w:pPr>
            <w:pStyle w:val="TOC1"/>
            <w:numPr>
              <w:ilvl w:val="1"/>
              <w:numId w:val="8"/>
            </w:numPr>
            <w:tabs>
              <w:tab w:pos="1083" w:val="left" w:leader="none"/>
              <w:tab w:pos="9368" w:val="right" w:leader="none"/>
            </w:tabs>
            <w:spacing w:line="240" w:lineRule="auto" w:before="338" w:after="0"/>
            <w:ind w:left="1083" w:right="0" w:hanging="663"/>
            <w:jc w:val="left"/>
          </w:pPr>
          <w:r>
            <w:rPr/>
            <w:t>SUMMARY,</w:t>
          </w:r>
          <w:r>
            <w:rPr>
              <w:spacing w:val="-4"/>
            </w:rPr>
            <w:t> </w:t>
          </w:r>
          <w:r>
            <w:rPr/>
            <w:t>CONCLUSSION AND </w:t>
          </w:r>
          <w:r>
            <w:rPr>
              <w:spacing w:val="-2"/>
            </w:rPr>
            <w:t>RECOMMENDATION……………</w:t>
          </w:r>
          <w:r>
            <w:rPr>
              <w:b w:val="0"/>
            </w:rPr>
            <w:tab/>
          </w:r>
          <w:r>
            <w:rPr>
              <w:spacing w:val="-5"/>
            </w:rPr>
            <w:t>102</w:t>
          </w:r>
        </w:p>
        <w:p>
          <w:pPr>
            <w:pStyle w:val="TOC2"/>
            <w:numPr>
              <w:ilvl w:val="1"/>
              <w:numId w:val="8"/>
            </w:numPr>
            <w:tabs>
              <w:tab w:pos="1083" w:val="left" w:leader="none"/>
              <w:tab w:pos="9423" w:val="right" w:leader="none"/>
            </w:tabs>
            <w:spacing w:line="240" w:lineRule="auto" w:before="339" w:after="0"/>
            <w:ind w:left="1083" w:right="0" w:hanging="663"/>
            <w:jc w:val="left"/>
          </w:pPr>
          <w:hyperlink w:history="true" w:anchor="_TOC_250002">
            <w:r>
              <w:rPr/>
              <w:t>Summary</w:t>
            </w:r>
            <w:r>
              <w:rPr>
                <w:spacing w:val="29"/>
              </w:rPr>
              <w:t>  </w:t>
            </w:r>
            <w:r>
              <w:rPr>
                <w:spacing w:val="-2"/>
              </w:rPr>
              <w:t>…………………………………………………………………….</w:t>
            </w:r>
            <w:r>
              <w:rPr>
                <w:b w:val="0"/>
              </w:rPr>
              <w:tab/>
            </w:r>
            <w:r>
              <w:rPr>
                <w:spacing w:val="-5"/>
              </w:rPr>
              <w:t>102</w:t>
            </w:r>
          </w:hyperlink>
        </w:p>
        <w:p>
          <w:pPr>
            <w:pStyle w:val="TOC2"/>
            <w:numPr>
              <w:ilvl w:val="1"/>
              <w:numId w:val="8"/>
            </w:numPr>
            <w:tabs>
              <w:tab w:pos="1083" w:val="left" w:leader="none"/>
              <w:tab w:pos="9423" w:val="right" w:leader="none"/>
            </w:tabs>
            <w:spacing w:line="240" w:lineRule="auto" w:before="339" w:after="0"/>
            <w:ind w:left="1083" w:right="0" w:hanging="663"/>
            <w:jc w:val="left"/>
          </w:pPr>
          <w:hyperlink w:history="true" w:anchor="_TOC_250001">
            <w:r>
              <w:rPr/>
              <w:t>Conclusion</w:t>
            </w:r>
            <w:r>
              <w:rPr>
                <w:spacing w:val="58"/>
              </w:rPr>
              <w:t> </w:t>
            </w:r>
            <w:r>
              <w:rPr>
                <w:spacing w:val="-2"/>
              </w:rPr>
              <w:t>…………………………………………………………………..</w:t>
            </w:r>
            <w:r>
              <w:rPr>
                <w:b w:val="0"/>
              </w:rPr>
              <w:tab/>
            </w:r>
            <w:r>
              <w:rPr>
                <w:spacing w:val="-5"/>
              </w:rPr>
              <w:t>102</w:t>
            </w:r>
          </w:hyperlink>
        </w:p>
        <w:p>
          <w:pPr>
            <w:pStyle w:val="TOC2"/>
            <w:numPr>
              <w:ilvl w:val="1"/>
              <w:numId w:val="9"/>
            </w:numPr>
            <w:tabs>
              <w:tab w:pos="1140" w:val="left" w:leader="none"/>
              <w:tab w:pos="9423" w:val="right" w:leader="none"/>
            </w:tabs>
            <w:spacing w:line="240" w:lineRule="auto" w:before="338" w:after="0"/>
            <w:ind w:left="1140" w:right="0" w:hanging="720"/>
            <w:jc w:val="left"/>
          </w:pPr>
          <w:hyperlink w:history="true" w:anchor="_TOC_250000">
            <w:r>
              <w:rPr/>
              <w:t>Recommendations</w:t>
            </w:r>
            <w:r>
              <w:rPr>
                <w:spacing w:val="59"/>
              </w:rPr>
              <w:t> </w:t>
            </w:r>
            <w:r>
              <w:rPr>
                <w:spacing w:val="-2"/>
              </w:rPr>
              <w:t>……………………………………………………….</w:t>
            </w:r>
            <w:r>
              <w:rPr>
                <w:b w:val="0"/>
              </w:rPr>
              <w:tab/>
            </w:r>
            <w:r>
              <w:rPr>
                <w:spacing w:val="-5"/>
              </w:rPr>
              <w:t>103</w:t>
            </w:r>
          </w:hyperlink>
        </w:p>
      </w:sdtContent>
    </w:sdt>
    <w:p>
      <w:pPr>
        <w:spacing w:after="0" w:line="240" w:lineRule="auto"/>
        <w:jc w:val="left"/>
        <w:sectPr>
          <w:type w:val="continuous"/>
          <w:pgSz w:w="12240" w:h="15840"/>
          <w:pgMar w:header="0" w:footer="1012" w:top="1360" w:bottom="1594" w:left="1020" w:right="720"/>
        </w:sectPr>
      </w:pPr>
    </w:p>
    <w:p>
      <w:pPr>
        <w:pStyle w:val="Heading2"/>
        <w:spacing w:before="77"/>
      </w:pPr>
      <w:bookmarkStart w:name="_TOC_250023" w:id="6"/>
      <w:r>
        <w:rPr/>
        <w:t>List of</w:t>
      </w:r>
      <w:r>
        <w:rPr>
          <w:spacing w:val="-1"/>
        </w:rPr>
        <w:t> </w:t>
      </w:r>
      <w:bookmarkEnd w:id="6"/>
      <w:r>
        <w:rPr>
          <w:spacing w:val="-2"/>
        </w:rPr>
        <w:t>Figures</w:t>
      </w:r>
    </w:p>
    <w:p>
      <w:pPr>
        <w:pStyle w:val="BodyText"/>
        <w:tabs>
          <w:tab w:pos="8228" w:val="left" w:leader="none"/>
        </w:tabs>
        <w:spacing w:before="194"/>
        <w:ind w:left="482"/>
      </w:pPr>
      <w:r>
        <w:rPr>
          <w:spacing w:val="-2"/>
        </w:rPr>
        <w:t>Figure</w:t>
      </w:r>
      <w:r>
        <w:rPr/>
        <w:tab/>
      </w:r>
      <w:r>
        <w:rPr>
          <w:spacing w:val="-4"/>
        </w:rPr>
        <w:t>Page</w:t>
      </w:r>
    </w:p>
    <w:p>
      <w:pPr>
        <w:pStyle w:val="ListParagraph"/>
        <w:numPr>
          <w:ilvl w:val="1"/>
          <w:numId w:val="10"/>
        </w:numPr>
        <w:tabs>
          <w:tab w:pos="841" w:val="left" w:leader="none"/>
          <w:tab w:pos="8343" w:val="left" w:leader="dot"/>
        </w:tabs>
        <w:spacing w:line="240" w:lineRule="auto" w:before="200" w:after="0"/>
        <w:ind w:left="841" w:right="0" w:hanging="359"/>
        <w:jc w:val="left"/>
        <w:rPr>
          <w:sz w:val="24"/>
        </w:rPr>
      </w:pPr>
      <w:r>
        <w:rPr>
          <w:sz w:val="24"/>
        </w:rPr>
        <w:t>Livestock</w:t>
      </w:r>
      <w:r>
        <w:rPr>
          <w:spacing w:val="-4"/>
          <w:sz w:val="24"/>
        </w:rPr>
        <w:t> </w:t>
      </w:r>
      <w:r>
        <w:rPr>
          <w:sz w:val="24"/>
        </w:rPr>
        <w:t>feeds</w:t>
      </w:r>
      <w:r>
        <w:rPr>
          <w:spacing w:val="-4"/>
          <w:sz w:val="24"/>
        </w:rPr>
        <w:t> </w:t>
      </w:r>
      <w:r>
        <w:rPr>
          <w:sz w:val="24"/>
        </w:rPr>
        <w:t>and</w:t>
      </w:r>
      <w:r>
        <w:rPr>
          <w:spacing w:val="2"/>
          <w:sz w:val="24"/>
        </w:rPr>
        <w:t> </w:t>
      </w:r>
      <w:r>
        <w:rPr>
          <w:sz w:val="24"/>
        </w:rPr>
        <w:t>manure</w:t>
      </w:r>
      <w:r>
        <w:rPr>
          <w:spacing w:val="-3"/>
          <w:sz w:val="24"/>
        </w:rPr>
        <w:t> </w:t>
      </w:r>
      <w:r>
        <w:rPr>
          <w:sz w:val="24"/>
        </w:rPr>
        <w:t>sampling</w:t>
      </w:r>
      <w:r>
        <w:rPr>
          <w:spacing w:val="-2"/>
          <w:sz w:val="24"/>
        </w:rPr>
        <w:t> </w:t>
      </w:r>
      <w:r>
        <w:rPr>
          <w:sz w:val="24"/>
        </w:rPr>
        <w:t>areas in</w:t>
      </w:r>
      <w:r>
        <w:rPr>
          <w:spacing w:val="-2"/>
          <w:sz w:val="24"/>
        </w:rPr>
        <w:t> </w:t>
      </w:r>
      <w:r>
        <w:rPr>
          <w:sz w:val="24"/>
        </w:rPr>
        <w:t>North</w:t>
      </w:r>
      <w:r>
        <w:rPr>
          <w:spacing w:val="-6"/>
          <w:sz w:val="24"/>
        </w:rPr>
        <w:t> </w:t>
      </w:r>
      <w:r>
        <w:rPr>
          <w:sz w:val="24"/>
        </w:rPr>
        <w:t>central</w:t>
      </w:r>
      <w:r>
        <w:rPr>
          <w:spacing w:val="-10"/>
          <w:sz w:val="24"/>
        </w:rPr>
        <w:t> </w:t>
      </w:r>
      <w:r>
        <w:rPr>
          <w:spacing w:val="-2"/>
          <w:sz w:val="24"/>
        </w:rPr>
        <w:t>Nigeria</w:t>
      </w:r>
      <w:r>
        <w:rPr>
          <w:sz w:val="24"/>
        </w:rPr>
        <w:tab/>
      </w:r>
      <w:r>
        <w:rPr>
          <w:spacing w:val="-5"/>
          <w:sz w:val="24"/>
        </w:rPr>
        <w:t>49</w:t>
      </w:r>
    </w:p>
    <w:p>
      <w:pPr>
        <w:pStyle w:val="BodyText"/>
        <w:spacing w:before="58"/>
      </w:pPr>
    </w:p>
    <w:p>
      <w:pPr>
        <w:pStyle w:val="ListParagraph"/>
        <w:numPr>
          <w:ilvl w:val="1"/>
          <w:numId w:val="10"/>
        </w:numPr>
        <w:tabs>
          <w:tab w:pos="841" w:val="left" w:leader="none"/>
          <w:tab w:pos="8343" w:val="left" w:leader="dot"/>
        </w:tabs>
        <w:spacing w:line="240" w:lineRule="auto" w:before="0" w:after="0"/>
        <w:ind w:left="841" w:right="0" w:hanging="359"/>
        <w:jc w:val="left"/>
        <w:rPr>
          <w:sz w:val="24"/>
        </w:rPr>
      </w:pPr>
      <w:r>
        <w:rPr>
          <w:sz w:val="24"/>
        </w:rPr>
        <w:t>Livestock</w:t>
      </w:r>
      <w:r>
        <w:rPr>
          <w:spacing w:val="-5"/>
          <w:sz w:val="24"/>
        </w:rPr>
        <w:t> </w:t>
      </w:r>
      <w:r>
        <w:rPr>
          <w:sz w:val="24"/>
        </w:rPr>
        <w:t>feeds</w:t>
      </w:r>
      <w:r>
        <w:rPr>
          <w:spacing w:val="-3"/>
          <w:sz w:val="24"/>
        </w:rPr>
        <w:t> </w:t>
      </w:r>
      <w:r>
        <w:rPr>
          <w:sz w:val="24"/>
        </w:rPr>
        <w:t>and</w:t>
      </w:r>
      <w:r>
        <w:rPr>
          <w:spacing w:val="1"/>
          <w:sz w:val="24"/>
        </w:rPr>
        <w:t> </w:t>
      </w:r>
      <w:r>
        <w:rPr>
          <w:sz w:val="24"/>
        </w:rPr>
        <w:t>manure</w:t>
      </w:r>
      <w:r>
        <w:rPr>
          <w:spacing w:val="-3"/>
          <w:sz w:val="24"/>
        </w:rPr>
        <w:t> </w:t>
      </w:r>
      <w:r>
        <w:rPr>
          <w:sz w:val="24"/>
        </w:rPr>
        <w:t>sampling</w:t>
      </w:r>
      <w:r>
        <w:rPr>
          <w:spacing w:val="-2"/>
          <w:sz w:val="24"/>
        </w:rPr>
        <w:t> </w:t>
      </w:r>
      <w:r>
        <w:rPr>
          <w:sz w:val="24"/>
        </w:rPr>
        <w:t>areas in</w:t>
      </w:r>
      <w:r>
        <w:rPr>
          <w:spacing w:val="-2"/>
          <w:sz w:val="24"/>
        </w:rPr>
        <w:t> </w:t>
      </w:r>
      <w:r>
        <w:rPr>
          <w:sz w:val="24"/>
        </w:rPr>
        <w:t>North</w:t>
      </w:r>
      <w:r>
        <w:rPr>
          <w:spacing w:val="-7"/>
          <w:sz w:val="24"/>
        </w:rPr>
        <w:t> </w:t>
      </w:r>
      <w:r>
        <w:rPr>
          <w:sz w:val="24"/>
        </w:rPr>
        <w:t>western</w:t>
      </w:r>
      <w:r>
        <w:rPr>
          <w:spacing w:val="-6"/>
          <w:sz w:val="24"/>
        </w:rPr>
        <w:t> </w:t>
      </w:r>
      <w:r>
        <w:rPr>
          <w:spacing w:val="-2"/>
          <w:sz w:val="24"/>
        </w:rPr>
        <w:t>Nigeria</w:t>
      </w:r>
      <w:r>
        <w:rPr>
          <w:sz w:val="24"/>
        </w:rPr>
        <w:tab/>
      </w:r>
      <w:r>
        <w:rPr>
          <w:spacing w:val="-5"/>
          <w:sz w:val="24"/>
        </w:rPr>
        <w:t>50</w:t>
      </w:r>
    </w:p>
    <w:p>
      <w:pPr>
        <w:pStyle w:val="BodyText"/>
        <w:spacing w:before="57"/>
      </w:pPr>
    </w:p>
    <w:p>
      <w:pPr>
        <w:pStyle w:val="ListParagraph"/>
        <w:numPr>
          <w:ilvl w:val="1"/>
          <w:numId w:val="10"/>
        </w:numPr>
        <w:tabs>
          <w:tab w:pos="841" w:val="left" w:leader="none"/>
          <w:tab w:pos="8343" w:val="left" w:leader="dot"/>
        </w:tabs>
        <w:spacing w:line="240" w:lineRule="auto" w:before="0" w:after="0"/>
        <w:ind w:left="841" w:right="0" w:hanging="359"/>
        <w:jc w:val="left"/>
        <w:rPr>
          <w:sz w:val="24"/>
        </w:rPr>
      </w:pPr>
      <w:r>
        <w:rPr>
          <w:sz w:val="24"/>
        </w:rPr>
        <w:t>Livestock</w:t>
      </w:r>
      <w:r>
        <w:rPr>
          <w:spacing w:val="-4"/>
          <w:sz w:val="24"/>
        </w:rPr>
        <w:t> </w:t>
      </w:r>
      <w:r>
        <w:rPr>
          <w:sz w:val="24"/>
        </w:rPr>
        <w:t>feeds</w:t>
      </w:r>
      <w:r>
        <w:rPr>
          <w:spacing w:val="-4"/>
          <w:sz w:val="24"/>
        </w:rPr>
        <w:t> </w:t>
      </w:r>
      <w:r>
        <w:rPr>
          <w:sz w:val="24"/>
        </w:rPr>
        <w:t>and</w:t>
      </w:r>
      <w:r>
        <w:rPr>
          <w:spacing w:val="2"/>
          <w:sz w:val="24"/>
        </w:rPr>
        <w:t> </w:t>
      </w:r>
      <w:r>
        <w:rPr>
          <w:sz w:val="24"/>
        </w:rPr>
        <w:t>manure</w:t>
      </w:r>
      <w:r>
        <w:rPr>
          <w:spacing w:val="-2"/>
          <w:sz w:val="24"/>
        </w:rPr>
        <w:t> </w:t>
      </w:r>
      <w:r>
        <w:rPr>
          <w:sz w:val="24"/>
        </w:rPr>
        <w:t>sampling</w:t>
      </w:r>
      <w:r>
        <w:rPr>
          <w:spacing w:val="-2"/>
          <w:sz w:val="24"/>
        </w:rPr>
        <w:t> </w:t>
      </w:r>
      <w:r>
        <w:rPr>
          <w:sz w:val="24"/>
        </w:rPr>
        <w:t>areas in</w:t>
      </w:r>
      <w:r>
        <w:rPr>
          <w:spacing w:val="-2"/>
          <w:sz w:val="24"/>
        </w:rPr>
        <w:t> </w:t>
      </w:r>
      <w:r>
        <w:rPr>
          <w:sz w:val="24"/>
        </w:rPr>
        <w:t>North</w:t>
      </w:r>
      <w:r>
        <w:rPr>
          <w:spacing w:val="-6"/>
          <w:sz w:val="24"/>
        </w:rPr>
        <w:t> </w:t>
      </w:r>
      <w:r>
        <w:rPr>
          <w:sz w:val="24"/>
        </w:rPr>
        <w:t>eastern</w:t>
      </w:r>
      <w:r>
        <w:rPr>
          <w:spacing w:val="-6"/>
          <w:sz w:val="24"/>
        </w:rPr>
        <w:t> </w:t>
      </w:r>
      <w:r>
        <w:rPr>
          <w:spacing w:val="-2"/>
          <w:sz w:val="24"/>
        </w:rPr>
        <w:t>Nigeria</w:t>
      </w:r>
      <w:r>
        <w:rPr>
          <w:sz w:val="24"/>
        </w:rPr>
        <w:tab/>
      </w:r>
      <w:r>
        <w:rPr>
          <w:spacing w:val="-5"/>
          <w:sz w:val="24"/>
        </w:rPr>
        <w:t>51</w:t>
      </w:r>
    </w:p>
    <w:p>
      <w:pPr>
        <w:pStyle w:val="BodyText"/>
        <w:spacing w:before="58"/>
      </w:pPr>
    </w:p>
    <w:p>
      <w:pPr>
        <w:pStyle w:val="ListParagraph"/>
        <w:numPr>
          <w:ilvl w:val="1"/>
          <w:numId w:val="10"/>
        </w:numPr>
        <w:tabs>
          <w:tab w:pos="841" w:val="left" w:leader="none"/>
          <w:tab w:pos="8343" w:val="left" w:leader="dot"/>
        </w:tabs>
        <w:spacing w:line="240" w:lineRule="auto" w:before="0" w:after="0"/>
        <w:ind w:left="841" w:right="0" w:hanging="359"/>
        <w:jc w:val="left"/>
        <w:rPr>
          <w:sz w:val="24"/>
        </w:rPr>
      </w:pPr>
      <w:r>
        <w:rPr>
          <w:sz w:val="24"/>
        </w:rPr>
        <w:t>River</w:t>
      </w:r>
      <w:r>
        <w:rPr>
          <w:spacing w:val="-4"/>
          <w:sz w:val="24"/>
        </w:rPr>
        <w:t> </w:t>
      </w:r>
      <w:r>
        <w:rPr>
          <w:sz w:val="24"/>
        </w:rPr>
        <w:t>Kaduna</w:t>
      </w:r>
      <w:r>
        <w:rPr>
          <w:spacing w:val="-4"/>
          <w:sz w:val="24"/>
        </w:rPr>
        <w:t> </w:t>
      </w:r>
      <w:r>
        <w:rPr>
          <w:sz w:val="24"/>
        </w:rPr>
        <w:t>water</w:t>
      </w:r>
      <w:r>
        <w:rPr>
          <w:spacing w:val="-4"/>
          <w:sz w:val="24"/>
        </w:rPr>
        <w:t> </w:t>
      </w:r>
      <w:r>
        <w:rPr>
          <w:sz w:val="24"/>
        </w:rPr>
        <w:t>sampling</w:t>
      </w:r>
      <w:r>
        <w:rPr>
          <w:spacing w:val="-3"/>
          <w:sz w:val="24"/>
        </w:rPr>
        <w:t> </w:t>
      </w:r>
      <w:r>
        <w:rPr>
          <w:spacing w:val="-2"/>
          <w:sz w:val="24"/>
        </w:rPr>
        <w:t>points</w:t>
      </w:r>
      <w:r>
        <w:rPr>
          <w:sz w:val="24"/>
        </w:rPr>
        <w:tab/>
      </w:r>
      <w:r>
        <w:rPr>
          <w:spacing w:val="-5"/>
          <w:sz w:val="24"/>
        </w:rPr>
        <w:t>52</w:t>
      </w:r>
    </w:p>
    <w:p>
      <w:pPr>
        <w:pStyle w:val="BodyText"/>
        <w:spacing w:before="77"/>
      </w:pPr>
    </w:p>
    <w:p>
      <w:pPr>
        <w:pStyle w:val="ListParagraph"/>
        <w:numPr>
          <w:ilvl w:val="1"/>
          <w:numId w:val="10"/>
        </w:numPr>
        <w:tabs>
          <w:tab w:pos="841" w:val="left" w:leader="none"/>
          <w:tab w:pos="8343" w:val="left" w:leader="dot"/>
        </w:tabs>
        <w:spacing w:line="240" w:lineRule="auto" w:before="0" w:after="0"/>
        <w:ind w:left="841" w:right="0" w:hanging="359"/>
        <w:jc w:val="left"/>
        <w:rPr>
          <w:sz w:val="24"/>
        </w:rPr>
      </w:pPr>
      <w:r>
        <w:rPr>
          <w:sz w:val="24"/>
        </w:rPr>
        <w:t>Pictures</w:t>
      </w:r>
      <w:r>
        <w:rPr>
          <w:spacing w:val="-4"/>
          <w:sz w:val="24"/>
        </w:rPr>
        <w:t> </w:t>
      </w:r>
      <w:r>
        <w:rPr>
          <w:sz w:val="24"/>
        </w:rPr>
        <w:t>of</w:t>
      </w:r>
      <w:r>
        <w:rPr>
          <w:spacing w:val="-8"/>
          <w:sz w:val="24"/>
        </w:rPr>
        <w:t> </w:t>
      </w:r>
      <w:r>
        <w:rPr>
          <w:sz w:val="24"/>
        </w:rPr>
        <w:t>river</w:t>
      </w:r>
      <w:r>
        <w:rPr>
          <w:spacing w:val="-1"/>
          <w:sz w:val="24"/>
        </w:rPr>
        <w:t> </w:t>
      </w:r>
      <w:r>
        <w:rPr>
          <w:sz w:val="24"/>
        </w:rPr>
        <w:t>Kaduna</w:t>
      </w:r>
      <w:r>
        <w:rPr>
          <w:spacing w:val="-2"/>
          <w:sz w:val="24"/>
        </w:rPr>
        <w:t> </w:t>
      </w:r>
      <w:r>
        <w:rPr>
          <w:sz w:val="24"/>
        </w:rPr>
        <w:t>during</w:t>
      </w:r>
      <w:r>
        <w:rPr>
          <w:spacing w:val="-1"/>
          <w:sz w:val="24"/>
        </w:rPr>
        <w:t> </w:t>
      </w:r>
      <w:r>
        <w:rPr>
          <w:sz w:val="24"/>
        </w:rPr>
        <w:t>raining</w:t>
      </w:r>
      <w:r>
        <w:rPr>
          <w:spacing w:val="-1"/>
          <w:sz w:val="24"/>
        </w:rPr>
        <w:t> </w:t>
      </w:r>
      <w:r>
        <w:rPr>
          <w:sz w:val="24"/>
        </w:rPr>
        <w:t>and</w:t>
      </w:r>
      <w:r>
        <w:rPr>
          <w:spacing w:val="-2"/>
          <w:sz w:val="24"/>
        </w:rPr>
        <w:t> </w:t>
      </w:r>
      <w:r>
        <w:rPr>
          <w:sz w:val="24"/>
        </w:rPr>
        <w:t>dry</w:t>
      </w:r>
      <w:r>
        <w:rPr>
          <w:spacing w:val="-5"/>
          <w:sz w:val="24"/>
        </w:rPr>
        <w:t> </w:t>
      </w:r>
      <w:r>
        <w:rPr>
          <w:spacing w:val="-2"/>
          <w:sz w:val="24"/>
        </w:rPr>
        <w:t>seasons</w:t>
      </w:r>
      <w:r>
        <w:rPr>
          <w:sz w:val="24"/>
        </w:rPr>
        <w:tab/>
      </w:r>
      <w:r>
        <w:rPr>
          <w:spacing w:val="-5"/>
          <w:sz w:val="24"/>
        </w:rPr>
        <w:t>53</w:t>
      </w:r>
    </w:p>
    <w:p>
      <w:pPr>
        <w:pStyle w:val="BodyText"/>
      </w:pPr>
    </w:p>
    <w:p>
      <w:pPr>
        <w:pStyle w:val="BodyText"/>
        <w:spacing w:before="13"/>
      </w:pPr>
    </w:p>
    <w:p>
      <w:pPr>
        <w:pStyle w:val="ListParagraph"/>
        <w:numPr>
          <w:ilvl w:val="1"/>
          <w:numId w:val="10"/>
        </w:numPr>
        <w:tabs>
          <w:tab w:pos="841" w:val="left" w:leader="none"/>
          <w:tab w:pos="8343" w:val="left" w:leader="dot"/>
        </w:tabs>
        <w:spacing w:line="240" w:lineRule="auto" w:before="0" w:after="0"/>
        <w:ind w:left="841" w:right="0" w:hanging="359"/>
        <w:jc w:val="left"/>
        <w:rPr>
          <w:sz w:val="24"/>
        </w:rPr>
      </w:pPr>
      <w:r>
        <w:rPr>
          <w:sz w:val="24"/>
        </w:rPr>
        <w:t>River</w:t>
      </w:r>
      <w:r>
        <w:rPr>
          <w:spacing w:val="-4"/>
          <w:sz w:val="24"/>
        </w:rPr>
        <w:t> </w:t>
      </w:r>
      <w:r>
        <w:rPr>
          <w:sz w:val="24"/>
        </w:rPr>
        <w:t>Sokoto</w:t>
      </w:r>
      <w:r>
        <w:rPr>
          <w:spacing w:val="-5"/>
          <w:sz w:val="24"/>
        </w:rPr>
        <w:t> </w:t>
      </w:r>
      <w:r>
        <w:rPr>
          <w:sz w:val="24"/>
        </w:rPr>
        <w:t>water</w:t>
      </w:r>
      <w:r>
        <w:rPr>
          <w:spacing w:val="-4"/>
          <w:sz w:val="24"/>
        </w:rPr>
        <w:t> </w:t>
      </w:r>
      <w:r>
        <w:rPr>
          <w:sz w:val="24"/>
        </w:rPr>
        <w:t>sampling</w:t>
      </w:r>
      <w:r>
        <w:rPr>
          <w:spacing w:val="-4"/>
          <w:sz w:val="24"/>
        </w:rPr>
        <w:t> </w:t>
      </w:r>
      <w:r>
        <w:rPr>
          <w:spacing w:val="-2"/>
          <w:sz w:val="24"/>
        </w:rPr>
        <w:t>points</w:t>
      </w:r>
      <w:r>
        <w:rPr>
          <w:sz w:val="24"/>
        </w:rPr>
        <w:tab/>
      </w:r>
      <w:r>
        <w:rPr>
          <w:spacing w:val="-5"/>
          <w:sz w:val="24"/>
        </w:rPr>
        <w:t>54</w:t>
      </w:r>
    </w:p>
    <w:p>
      <w:pPr>
        <w:pStyle w:val="BodyText"/>
        <w:spacing w:before="77"/>
      </w:pPr>
    </w:p>
    <w:p>
      <w:pPr>
        <w:pStyle w:val="ListParagraph"/>
        <w:numPr>
          <w:ilvl w:val="1"/>
          <w:numId w:val="10"/>
        </w:numPr>
        <w:tabs>
          <w:tab w:pos="841" w:val="left" w:leader="none"/>
          <w:tab w:pos="8343" w:val="left" w:leader="dot"/>
        </w:tabs>
        <w:spacing w:line="240" w:lineRule="auto" w:before="0" w:after="0"/>
        <w:ind w:left="841" w:right="0" w:hanging="359"/>
        <w:jc w:val="left"/>
        <w:rPr>
          <w:sz w:val="24"/>
        </w:rPr>
      </w:pPr>
      <w:r>
        <w:rPr>
          <w:sz w:val="24"/>
        </w:rPr>
        <w:t>Pictures</w:t>
      </w:r>
      <w:r>
        <w:rPr>
          <w:spacing w:val="-3"/>
          <w:sz w:val="24"/>
        </w:rPr>
        <w:t> </w:t>
      </w:r>
      <w:r>
        <w:rPr>
          <w:sz w:val="24"/>
        </w:rPr>
        <w:t>of</w:t>
      </w:r>
      <w:r>
        <w:rPr>
          <w:spacing w:val="-9"/>
          <w:sz w:val="24"/>
        </w:rPr>
        <w:t> </w:t>
      </w:r>
      <w:r>
        <w:rPr>
          <w:sz w:val="24"/>
        </w:rPr>
        <w:t>river Sokoto</w:t>
      </w:r>
      <w:r>
        <w:rPr>
          <w:spacing w:val="-1"/>
          <w:sz w:val="24"/>
        </w:rPr>
        <w:t> </w:t>
      </w:r>
      <w:r>
        <w:rPr>
          <w:sz w:val="24"/>
        </w:rPr>
        <w:t>during</w:t>
      </w:r>
      <w:r>
        <w:rPr>
          <w:spacing w:val="-1"/>
          <w:sz w:val="24"/>
        </w:rPr>
        <w:t> </w:t>
      </w:r>
      <w:r>
        <w:rPr>
          <w:sz w:val="24"/>
        </w:rPr>
        <w:t>raining</w:t>
      </w:r>
      <w:r>
        <w:rPr>
          <w:spacing w:val="-1"/>
          <w:sz w:val="24"/>
        </w:rPr>
        <w:t> </w:t>
      </w:r>
      <w:r>
        <w:rPr>
          <w:sz w:val="24"/>
        </w:rPr>
        <w:t>and</w:t>
      </w:r>
      <w:r>
        <w:rPr>
          <w:spacing w:val="-1"/>
          <w:sz w:val="24"/>
        </w:rPr>
        <w:t> </w:t>
      </w:r>
      <w:r>
        <w:rPr>
          <w:sz w:val="24"/>
        </w:rPr>
        <w:t>dry</w:t>
      </w:r>
      <w:r>
        <w:rPr>
          <w:spacing w:val="-5"/>
          <w:sz w:val="24"/>
        </w:rPr>
        <w:t> </w:t>
      </w:r>
      <w:r>
        <w:rPr>
          <w:spacing w:val="-2"/>
          <w:sz w:val="24"/>
        </w:rPr>
        <w:t>seasons</w:t>
      </w:r>
      <w:r>
        <w:rPr>
          <w:sz w:val="24"/>
        </w:rPr>
        <w:tab/>
      </w:r>
      <w:r>
        <w:rPr>
          <w:spacing w:val="-5"/>
          <w:sz w:val="24"/>
        </w:rPr>
        <w:t>55</w:t>
      </w:r>
    </w:p>
    <w:p>
      <w:pPr>
        <w:pStyle w:val="BodyText"/>
        <w:spacing w:before="259"/>
      </w:pPr>
    </w:p>
    <w:p>
      <w:pPr>
        <w:pStyle w:val="ListParagraph"/>
        <w:numPr>
          <w:ilvl w:val="1"/>
          <w:numId w:val="10"/>
        </w:numPr>
        <w:tabs>
          <w:tab w:pos="841" w:val="left" w:leader="none"/>
          <w:tab w:pos="8343" w:val="left" w:leader="dot"/>
        </w:tabs>
        <w:spacing w:line="240" w:lineRule="auto" w:before="0" w:after="0"/>
        <w:ind w:left="841" w:right="0" w:hanging="359"/>
        <w:jc w:val="left"/>
        <w:rPr>
          <w:sz w:val="24"/>
        </w:rPr>
      </w:pPr>
      <w:r>
        <w:rPr>
          <w:sz w:val="24"/>
        </w:rPr>
        <w:t>River</w:t>
      </w:r>
      <w:r>
        <w:rPr>
          <w:spacing w:val="-3"/>
          <w:sz w:val="24"/>
        </w:rPr>
        <w:t> </w:t>
      </w:r>
      <w:r>
        <w:rPr>
          <w:sz w:val="24"/>
        </w:rPr>
        <w:t>Ngadda</w:t>
      </w:r>
      <w:r>
        <w:rPr>
          <w:spacing w:val="-5"/>
          <w:sz w:val="24"/>
        </w:rPr>
        <w:t> </w:t>
      </w:r>
      <w:r>
        <w:rPr>
          <w:sz w:val="24"/>
        </w:rPr>
        <w:t>water</w:t>
      </w:r>
      <w:r>
        <w:rPr>
          <w:spacing w:val="-3"/>
          <w:sz w:val="24"/>
        </w:rPr>
        <w:t> </w:t>
      </w:r>
      <w:r>
        <w:rPr>
          <w:sz w:val="24"/>
        </w:rPr>
        <w:t>sampling</w:t>
      </w:r>
      <w:r>
        <w:rPr>
          <w:spacing w:val="-3"/>
          <w:sz w:val="24"/>
        </w:rPr>
        <w:t> </w:t>
      </w:r>
      <w:r>
        <w:rPr>
          <w:spacing w:val="-2"/>
          <w:sz w:val="24"/>
        </w:rPr>
        <w:t>points</w:t>
      </w:r>
      <w:r>
        <w:rPr>
          <w:sz w:val="24"/>
        </w:rPr>
        <w:tab/>
      </w:r>
      <w:r>
        <w:rPr>
          <w:spacing w:val="-5"/>
          <w:sz w:val="24"/>
        </w:rPr>
        <w:t>56</w:t>
      </w:r>
    </w:p>
    <w:p>
      <w:pPr>
        <w:pStyle w:val="BodyText"/>
        <w:spacing w:before="53"/>
      </w:pPr>
    </w:p>
    <w:p>
      <w:pPr>
        <w:pStyle w:val="ListParagraph"/>
        <w:numPr>
          <w:ilvl w:val="1"/>
          <w:numId w:val="10"/>
        </w:numPr>
        <w:tabs>
          <w:tab w:pos="841" w:val="left" w:leader="none"/>
          <w:tab w:pos="8343" w:val="left" w:leader="none"/>
        </w:tabs>
        <w:spacing w:line="240" w:lineRule="auto" w:before="0" w:after="0"/>
        <w:ind w:left="841" w:right="0" w:hanging="359"/>
        <w:jc w:val="left"/>
        <w:rPr>
          <w:sz w:val="24"/>
        </w:rPr>
      </w:pPr>
      <w:r>
        <w:rPr>
          <w:sz w:val="24"/>
        </w:rPr>
        <w:t>Pictures</w:t>
      </w:r>
      <w:r>
        <w:rPr>
          <w:spacing w:val="-4"/>
          <w:sz w:val="24"/>
        </w:rPr>
        <w:t> </w:t>
      </w:r>
      <w:r>
        <w:rPr>
          <w:sz w:val="24"/>
        </w:rPr>
        <w:t>of</w:t>
      </w:r>
      <w:r>
        <w:rPr>
          <w:spacing w:val="-9"/>
          <w:sz w:val="24"/>
        </w:rPr>
        <w:t> </w:t>
      </w:r>
      <w:r>
        <w:rPr>
          <w:sz w:val="24"/>
        </w:rPr>
        <w:t>river Ngadda</w:t>
      </w:r>
      <w:r>
        <w:rPr>
          <w:spacing w:val="-2"/>
          <w:sz w:val="24"/>
        </w:rPr>
        <w:t> </w:t>
      </w:r>
      <w:r>
        <w:rPr>
          <w:sz w:val="24"/>
        </w:rPr>
        <w:t>during</w:t>
      </w:r>
      <w:r>
        <w:rPr>
          <w:spacing w:val="-1"/>
          <w:sz w:val="24"/>
        </w:rPr>
        <w:t> </w:t>
      </w:r>
      <w:r>
        <w:rPr>
          <w:sz w:val="24"/>
        </w:rPr>
        <w:t>raining</w:t>
      </w:r>
      <w:r>
        <w:rPr>
          <w:spacing w:val="-2"/>
          <w:sz w:val="24"/>
        </w:rPr>
        <w:t> </w:t>
      </w:r>
      <w:r>
        <w:rPr>
          <w:sz w:val="24"/>
        </w:rPr>
        <w:t>and</w:t>
      </w:r>
      <w:r>
        <w:rPr>
          <w:spacing w:val="-1"/>
          <w:sz w:val="24"/>
        </w:rPr>
        <w:t> </w:t>
      </w:r>
      <w:r>
        <w:rPr>
          <w:sz w:val="24"/>
        </w:rPr>
        <w:t>dry</w:t>
      </w:r>
      <w:r>
        <w:rPr>
          <w:spacing w:val="-6"/>
          <w:sz w:val="24"/>
        </w:rPr>
        <w:t> </w:t>
      </w:r>
      <w:r>
        <w:rPr>
          <w:sz w:val="24"/>
        </w:rPr>
        <w:t>seasons</w:t>
      </w:r>
      <w:r>
        <w:rPr>
          <w:spacing w:val="4"/>
          <w:sz w:val="24"/>
        </w:rPr>
        <w:t> </w:t>
      </w:r>
      <w:r>
        <w:rPr>
          <w:spacing w:val="-2"/>
          <w:sz w:val="24"/>
        </w:rPr>
        <w:t>…………………</w:t>
      </w:r>
      <w:r>
        <w:rPr>
          <w:sz w:val="24"/>
        </w:rPr>
        <w:tab/>
      </w:r>
      <w:r>
        <w:rPr>
          <w:spacing w:val="-5"/>
          <w:sz w:val="24"/>
        </w:rPr>
        <w:t>57</w:t>
      </w:r>
    </w:p>
    <w:p>
      <w:pPr>
        <w:pStyle w:val="ListParagraph"/>
        <w:numPr>
          <w:ilvl w:val="1"/>
          <w:numId w:val="11"/>
        </w:numPr>
        <w:tabs>
          <w:tab w:pos="841" w:val="left" w:leader="none"/>
          <w:tab w:pos="8343" w:val="left" w:leader="dot"/>
        </w:tabs>
        <w:spacing w:line="240" w:lineRule="auto" w:before="243" w:after="0"/>
        <w:ind w:left="841" w:right="0" w:hanging="359"/>
        <w:jc w:val="left"/>
        <w:rPr>
          <w:sz w:val="24"/>
        </w:rPr>
      </w:pPr>
      <w:r>
        <w:rPr>
          <w:sz w:val="24"/>
        </w:rPr>
        <w:t>Calibration</w:t>
      </w:r>
      <w:r>
        <w:rPr>
          <w:spacing w:val="-13"/>
          <w:sz w:val="24"/>
        </w:rPr>
        <w:t> </w:t>
      </w:r>
      <w:r>
        <w:rPr>
          <w:spacing w:val="-2"/>
          <w:sz w:val="24"/>
        </w:rPr>
        <w:t>curves</w:t>
      </w:r>
      <w:r>
        <w:rPr>
          <w:sz w:val="24"/>
        </w:rPr>
        <w:tab/>
      </w:r>
      <w:r>
        <w:rPr>
          <w:spacing w:val="-5"/>
          <w:sz w:val="24"/>
        </w:rPr>
        <w:t>62</w:t>
      </w:r>
    </w:p>
    <w:p>
      <w:pPr>
        <w:pStyle w:val="ListParagraph"/>
        <w:numPr>
          <w:ilvl w:val="1"/>
          <w:numId w:val="11"/>
        </w:numPr>
        <w:tabs>
          <w:tab w:pos="842" w:val="left" w:leader="none"/>
        </w:tabs>
        <w:spacing w:line="412" w:lineRule="auto" w:before="247" w:after="0"/>
        <w:ind w:left="842" w:right="3105" w:hanging="360"/>
        <w:jc w:val="left"/>
        <w:rPr>
          <w:sz w:val="24"/>
        </w:rPr>
      </w:pPr>
      <w:r>
        <w:rPr>
          <w:sz w:val="24"/>
        </w:rPr>
        <w:t>Mean concentrations of zinc in brands of compound fish feeds in North</w:t>
      </w:r>
      <w:r>
        <w:rPr>
          <w:spacing w:val="-8"/>
          <w:sz w:val="24"/>
        </w:rPr>
        <w:t> </w:t>
      </w:r>
      <w:r>
        <w:rPr>
          <w:sz w:val="24"/>
        </w:rPr>
        <w:t>central,</w:t>
      </w:r>
      <w:r>
        <w:rPr>
          <w:spacing w:val="-1"/>
          <w:sz w:val="24"/>
        </w:rPr>
        <w:t> </w:t>
      </w:r>
      <w:r>
        <w:rPr>
          <w:sz w:val="24"/>
        </w:rPr>
        <w:t>North</w:t>
      </w:r>
      <w:r>
        <w:rPr>
          <w:spacing w:val="-8"/>
          <w:sz w:val="24"/>
        </w:rPr>
        <w:t> </w:t>
      </w:r>
      <w:r>
        <w:rPr>
          <w:sz w:val="24"/>
        </w:rPr>
        <w:t>western</w:t>
      </w:r>
      <w:r>
        <w:rPr>
          <w:spacing w:val="-8"/>
          <w:sz w:val="24"/>
        </w:rPr>
        <w:t> </w:t>
      </w:r>
      <w:r>
        <w:rPr>
          <w:sz w:val="24"/>
        </w:rPr>
        <w:t>and</w:t>
      </w:r>
      <w:r>
        <w:rPr>
          <w:spacing w:val="-3"/>
          <w:sz w:val="24"/>
        </w:rPr>
        <w:t> </w:t>
      </w:r>
      <w:r>
        <w:rPr>
          <w:sz w:val="24"/>
        </w:rPr>
        <w:t>North</w:t>
      </w:r>
      <w:r>
        <w:rPr>
          <w:spacing w:val="-8"/>
          <w:sz w:val="24"/>
        </w:rPr>
        <w:t> </w:t>
      </w:r>
      <w:r>
        <w:rPr>
          <w:sz w:val="24"/>
        </w:rPr>
        <w:t>eastern</w:t>
      </w:r>
      <w:r>
        <w:rPr>
          <w:spacing w:val="-8"/>
          <w:sz w:val="24"/>
        </w:rPr>
        <w:t> </w:t>
      </w:r>
      <w:r>
        <w:rPr>
          <w:sz w:val="24"/>
        </w:rPr>
        <w:t>Nigeria</w:t>
      </w:r>
      <w:r>
        <w:rPr>
          <w:spacing w:val="-4"/>
          <w:sz w:val="24"/>
        </w:rPr>
        <w:t> </w:t>
      </w:r>
      <w:r>
        <w:rPr>
          <w:sz w:val="24"/>
        </w:rPr>
        <w:t>compared</w:t>
      </w:r>
      <w:r>
        <w:rPr>
          <w:spacing w:val="-3"/>
          <w:sz w:val="24"/>
        </w:rPr>
        <w:t> </w:t>
      </w:r>
      <w:r>
        <w:rPr>
          <w:sz w:val="24"/>
        </w:rPr>
        <w:t>to</w:t>
      </w:r>
    </w:p>
    <w:p>
      <w:pPr>
        <w:pStyle w:val="BodyText"/>
        <w:tabs>
          <w:tab w:pos="8343" w:val="left" w:leader="none"/>
        </w:tabs>
        <w:spacing w:line="273" w:lineRule="exact"/>
        <w:ind w:left="842"/>
      </w:pPr>
      <w:r>
        <w:rPr/>
        <w:t>maximum</w:t>
      </w:r>
      <w:r>
        <w:rPr>
          <w:spacing w:val="-7"/>
        </w:rPr>
        <w:t> </w:t>
      </w:r>
      <w:r>
        <w:rPr/>
        <w:t>permissible</w:t>
      </w:r>
      <w:r>
        <w:rPr>
          <w:spacing w:val="2"/>
        </w:rPr>
        <w:t> </w:t>
      </w:r>
      <w:r>
        <w:rPr/>
        <w:t>limit</w:t>
      </w:r>
      <w:r>
        <w:rPr>
          <w:spacing w:val="8"/>
        </w:rPr>
        <w:t> </w:t>
      </w:r>
      <w:r>
        <w:rPr/>
        <w:t>by</w:t>
      </w:r>
      <w:r>
        <w:rPr>
          <w:spacing w:val="-11"/>
        </w:rPr>
        <w:t> </w:t>
      </w:r>
      <w:r>
        <w:rPr/>
        <w:t>European</w:t>
      </w:r>
      <w:r>
        <w:rPr>
          <w:spacing w:val="-6"/>
        </w:rPr>
        <w:t> </w:t>
      </w:r>
      <w:r>
        <w:rPr/>
        <w:t>Union, 2007</w:t>
      </w:r>
      <w:r>
        <w:rPr>
          <w:spacing w:val="-1"/>
        </w:rPr>
        <w:t> </w:t>
      </w:r>
      <w:r>
        <w:rPr>
          <w:spacing w:val="-2"/>
        </w:rPr>
        <w:t>…………………..</w:t>
      </w:r>
      <w:r>
        <w:rPr/>
        <w:tab/>
      </w:r>
      <w:r>
        <w:rPr>
          <w:spacing w:val="-5"/>
        </w:rPr>
        <w:t>65</w:t>
      </w:r>
    </w:p>
    <w:p>
      <w:pPr>
        <w:pStyle w:val="BodyText"/>
        <w:spacing w:before="62"/>
      </w:pPr>
    </w:p>
    <w:p>
      <w:pPr>
        <w:pStyle w:val="ListParagraph"/>
        <w:numPr>
          <w:ilvl w:val="1"/>
          <w:numId w:val="11"/>
        </w:numPr>
        <w:tabs>
          <w:tab w:pos="785" w:val="left" w:leader="none"/>
          <w:tab w:pos="841" w:val="left" w:leader="none"/>
        </w:tabs>
        <w:spacing w:line="451" w:lineRule="auto" w:before="0" w:after="0"/>
        <w:ind w:left="785" w:right="2711" w:hanging="303"/>
        <w:jc w:val="left"/>
        <w:rPr>
          <w:sz w:val="24"/>
        </w:rPr>
      </w:pPr>
      <w:r>
        <w:rPr>
          <w:sz w:val="24"/>
        </w:rPr>
        <w:tab/>
        <w:t>Mean</w:t>
      </w:r>
      <w:r>
        <w:rPr>
          <w:spacing w:val="-8"/>
          <w:sz w:val="24"/>
        </w:rPr>
        <w:t> </w:t>
      </w:r>
      <w:r>
        <w:rPr>
          <w:sz w:val="24"/>
        </w:rPr>
        <w:t>concentrations</w:t>
      </w:r>
      <w:r>
        <w:rPr>
          <w:spacing w:val="-5"/>
          <w:sz w:val="24"/>
        </w:rPr>
        <w:t> </w:t>
      </w:r>
      <w:r>
        <w:rPr>
          <w:sz w:val="24"/>
        </w:rPr>
        <w:t>of</w:t>
      </w:r>
      <w:r>
        <w:rPr>
          <w:spacing w:val="-11"/>
          <w:sz w:val="24"/>
        </w:rPr>
        <w:t> </w:t>
      </w:r>
      <w:r>
        <w:rPr>
          <w:sz w:val="24"/>
        </w:rPr>
        <w:t>copper</w:t>
      </w:r>
      <w:r>
        <w:rPr>
          <w:spacing w:val="-2"/>
          <w:sz w:val="24"/>
        </w:rPr>
        <w:t> </w:t>
      </w:r>
      <w:r>
        <w:rPr>
          <w:sz w:val="24"/>
        </w:rPr>
        <w:t>in</w:t>
      </w:r>
      <w:r>
        <w:rPr>
          <w:spacing w:val="-3"/>
          <w:sz w:val="24"/>
        </w:rPr>
        <w:t> </w:t>
      </w:r>
      <w:r>
        <w:rPr>
          <w:sz w:val="24"/>
        </w:rPr>
        <w:t>four brands</w:t>
      </w:r>
      <w:r>
        <w:rPr>
          <w:spacing w:val="-5"/>
          <w:sz w:val="24"/>
        </w:rPr>
        <w:t> </w:t>
      </w:r>
      <w:r>
        <w:rPr>
          <w:sz w:val="24"/>
        </w:rPr>
        <w:t>of</w:t>
      </w:r>
      <w:r>
        <w:rPr>
          <w:spacing w:val="-11"/>
          <w:sz w:val="24"/>
        </w:rPr>
        <w:t> </w:t>
      </w:r>
      <w:r>
        <w:rPr>
          <w:sz w:val="24"/>
        </w:rPr>
        <w:t>compound fish</w:t>
      </w:r>
      <w:r>
        <w:rPr>
          <w:spacing w:val="-3"/>
          <w:sz w:val="24"/>
        </w:rPr>
        <w:t> </w:t>
      </w:r>
      <w:r>
        <w:rPr>
          <w:sz w:val="24"/>
        </w:rPr>
        <w:t>feeds</w:t>
      </w:r>
      <w:r>
        <w:rPr>
          <w:spacing w:val="-1"/>
          <w:sz w:val="24"/>
        </w:rPr>
        <w:t> </w:t>
      </w:r>
      <w:r>
        <w:rPr>
          <w:sz w:val="24"/>
        </w:rPr>
        <w:t>in North central, North western and North eastern Nigeria compared to</w:t>
      </w:r>
    </w:p>
    <w:p>
      <w:pPr>
        <w:pStyle w:val="BodyText"/>
        <w:tabs>
          <w:tab w:pos="8343" w:val="left" w:leader="dot"/>
        </w:tabs>
        <w:spacing w:before="101"/>
        <w:ind w:left="842"/>
      </w:pPr>
      <w:r>
        <w:rPr/>
        <w:t>maximum</w:t>
      </w:r>
      <w:r>
        <w:rPr>
          <w:spacing w:val="-10"/>
        </w:rPr>
        <w:t> </w:t>
      </w:r>
      <w:r>
        <w:rPr/>
        <w:t>permissible</w:t>
      </w:r>
      <w:r>
        <w:rPr>
          <w:spacing w:val="2"/>
        </w:rPr>
        <w:t> </w:t>
      </w:r>
      <w:r>
        <w:rPr/>
        <w:t>limit</w:t>
      </w:r>
      <w:r>
        <w:rPr>
          <w:spacing w:val="7"/>
        </w:rPr>
        <w:t> </w:t>
      </w:r>
      <w:r>
        <w:rPr/>
        <w:t>by</w:t>
      </w:r>
      <w:r>
        <w:rPr>
          <w:spacing w:val="-12"/>
        </w:rPr>
        <w:t> </w:t>
      </w:r>
      <w:r>
        <w:rPr/>
        <w:t>European</w:t>
      </w:r>
      <w:r>
        <w:rPr>
          <w:spacing w:val="-7"/>
        </w:rPr>
        <w:t> </w:t>
      </w:r>
      <w:r>
        <w:rPr/>
        <w:t>Union, </w:t>
      </w:r>
      <w:r>
        <w:rPr>
          <w:spacing w:val="-4"/>
        </w:rPr>
        <w:t>2007</w:t>
      </w:r>
      <w:r>
        <w:rPr/>
        <w:tab/>
      </w:r>
      <w:r>
        <w:rPr>
          <w:spacing w:val="-5"/>
        </w:rPr>
        <w:t>66</w:t>
      </w:r>
    </w:p>
    <w:p>
      <w:pPr>
        <w:pStyle w:val="BodyText"/>
        <w:spacing w:before="192"/>
      </w:pPr>
    </w:p>
    <w:p>
      <w:pPr>
        <w:pStyle w:val="ListParagraph"/>
        <w:numPr>
          <w:ilvl w:val="1"/>
          <w:numId w:val="11"/>
        </w:numPr>
        <w:tabs>
          <w:tab w:pos="842" w:val="left" w:leader="none"/>
        </w:tabs>
        <w:spacing w:line="451" w:lineRule="auto" w:before="0" w:after="0"/>
        <w:ind w:left="842" w:right="2775" w:hanging="360"/>
        <w:jc w:val="left"/>
        <w:rPr>
          <w:sz w:val="24"/>
        </w:rPr>
      </w:pPr>
      <w:r>
        <w:rPr>
          <w:sz w:val="24"/>
        </w:rPr>
        <w:t>Mean</w:t>
      </w:r>
      <w:r>
        <w:rPr>
          <w:spacing w:val="-8"/>
          <w:sz w:val="24"/>
        </w:rPr>
        <w:t> </w:t>
      </w:r>
      <w:r>
        <w:rPr>
          <w:sz w:val="24"/>
        </w:rPr>
        <w:t>concentrations</w:t>
      </w:r>
      <w:r>
        <w:rPr>
          <w:spacing w:val="-5"/>
          <w:sz w:val="24"/>
        </w:rPr>
        <w:t> </w:t>
      </w:r>
      <w:r>
        <w:rPr>
          <w:sz w:val="24"/>
        </w:rPr>
        <w:t>of</w:t>
      </w:r>
      <w:r>
        <w:rPr>
          <w:spacing w:val="-6"/>
          <w:sz w:val="24"/>
        </w:rPr>
        <w:t> </w:t>
      </w:r>
      <w:r>
        <w:rPr>
          <w:sz w:val="24"/>
        </w:rPr>
        <w:t>nickel</w:t>
      </w:r>
      <w:r>
        <w:rPr>
          <w:spacing w:val="-4"/>
          <w:sz w:val="24"/>
        </w:rPr>
        <w:t> </w:t>
      </w:r>
      <w:r>
        <w:rPr>
          <w:sz w:val="24"/>
        </w:rPr>
        <w:t>in</w:t>
      </w:r>
      <w:r>
        <w:rPr>
          <w:spacing w:val="-4"/>
          <w:sz w:val="24"/>
        </w:rPr>
        <w:t> </w:t>
      </w:r>
      <w:r>
        <w:rPr>
          <w:sz w:val="24"/>
        </w:rPr>
        <w:t>four</w:t>
      </w:r>
      <w:r>
        <w:rPr>
          <w:spacing w:val="-3"/>
          <w:sz w:val="24"/>
        </w:rPr>
        <w:t> </w:t>
      </w:r>
      <w:r>
        <w:rPr>
          <w:sz w:val="24"/>
        </w:rPr>
        <w:t>brands</w:t>
      </w:r>
      <w:r>
        <w:rPr>
          <w:spacing w:val="-2"/>
          <w:sz w:val="24"/>
        </w:rPr>
        <w:t> </w:t>
      </w:r>
      <w:r>
        <w:rPr>
          <w:sz w:val="24"/>
        </w:rPr>
        <w:t>of</w:t>
      </w:r>
      <w:r>
        <w:rPr>
          <w:spacing w:val="-11"/>
          <w:sz w:val="24"/>
        </w:rPr>
        <w:t> </w:t>
      </w:r>
      <w:r>
        <w:rPr>
          <w:sz w:val="24"/>
        </w:rPr>
        <w:t>compound fish</w:t>
      </w:r>
      <w:r>
        <w:rPr>
          <w:spacing w:val="-4"/>
          <w:sz w:val="24"/>
        </w:rPr>
        <w:t> </w:t>
      </w:r>
      <w:r>
        <w:rPr>
          <w:sz w:val="24"/>
        </w:rPr>
        <w:t>feeds</w:t>
      </w:r>
      <w:r>
        <w:rPr>
          <w:spacing w:val="-2"/>
          <w:sz w:val="24"/>
        </w:rPr>
        <w:t> </w:t>
      </w:r>
      <w:r>
        <w:rPr>
          <w:sz w:val="24"/>
        </w:rPr>
        <w:t>in North central, North western and North eastern Nigeria compared to</w:t>
      </w:r>
    </w:p>
    <w:p>
      <w:pPr>
        <w:pStyle w:val="BodyText"/>
        <w:tabs>
          <w:tab w:pos="8437" w:val="left" w:leader="none"/>
        </w:tabs>
        <w:spacing w:before="4"/>
        <w:ind w:left="842"/>
      </w:pPr>
      <w:r>
        <w:rPr/>
        <w:t>maximum</w:t>
      </w:r>
      <w:r>
        <w:rPr>
          <w:spacing w:val="-7"/>
        </w:rPr>
        <w:t> </w:t>
      </w:r>
      <w:r>
        <w:rPr/>
        <w:t>permissible</w:t>
      </w:r>
      <w:r>
        <w:rPr>
          <w:spacing w:val="1"/>
        </w:rPr>
        <w:t> </w:t>
      </w:r>
      <w:r>
        <w:rPr/>
        <w:t>limit</w:t>
      </w:r>
      <w:r>
        <w:rPr>
          <w:spacing w:val="7"/>
        </w:rPr>
        <w:t> </w:t>
      </w:r>
      <w:r>
        <w:rPr/>
        <w:t>by</w:t>
      </w:r>
      <w:r>
        <w:rPr>
          <w:spacing w:val="-11"/>
        </w:rPr>
        <w:t> </w:t>
      </w:r>
      <w:r>
        <w:rPr/>
        <w:t>European</w:t>
      </w:r>
      <w:r>
        <w:rPr>
          <w:spacing w:val="-7"/>
        </w:rPr>
        <w:t> </w:t>
      </w:r>
      <w:r>
        <w:rPr/>
        <w:t>Union, </w:t>
      </w:r>
      <w:r>
        <w:rPr>
          <w:spacing w:val="-2"/>
        </w:rPr>
        <w:t>2007……………………</w:t>
      </w:r>
      <w:r>
        <w:rPr/>
        <w:tab/>
      </w:r>
      <w:r>
        <w:rPr>
          <w:spacing w:val="-5"/>
        </w:rPr>
        <w:t>67</w:t>
      </w:r>
    </w:p>
    <w:p>
      <w:pPr>
        <w:spacing w:after="0"/>
        <w:sectPr>
          <w:pgSz w:w="12240" w:h="15840"/>
          <w:pgMar w:header="0" w:footer="1012" w:top="1360" w:bottom="1200" w:left="1020" w:right="720"/>
        </w:sectPr>
      </w:pPr>
    </w:p>
    <w:p>
      <w:pPr>
        <w:pStyle w:val="ListParagraph"/>
        <w:numPr>
          <w:ilvl w:val="1"/>
          <w:numId w:val="11"/>
        </w:numPr>
        <w:tabs>
          <w:tab w:pos="842" w:val="left" w:leader="none"/>
        </w:tabs>
        <w:spacing w:line="451" w:lineRule="auto" w:before="67" w:after="0"/>
        <w:ind w:left="842" w:right="2962" w:hanging="360"/>
        <w:jc w:val="left"/>
        <w:rPr>
          <w:sz w:val="24"/>
        </w:rPr>
      </w:pPr>
      <w:r>
        <w:rPr>
          <w:sz w:val="24"/>
        </w:rPr>
        <w:t>Mean</w:t>
      </w:r>
      <w:r>
        <w:rPr>
          <w:spacing w:val="-9"/>
          <w:sz w:val="24"/>
        </w:rPr>
        <w:t> </w:t>
      </w:r>
      <w:r>
        <w:rPr>
          <w:sz w:val="24"/>
        </w:rPr>
        <w:t>concentrations</w:t>
      </w:r>
      <w:r>
        <w:rPr>
          <w:spacing w:val="-6"/>
          <w:sz w:val="24"/>
        </w:rPr>
        <w:t> </w:t>
      </w:r>
      <w:r>
        <w:rPr>
          <w:sz w:val="24"/>
        </w:rPr>
        <w:t>of</w:t>
      </w:r>
      <w:r>
        <w:rPr>
          <w:spacing w:val="-4"/>
          <w:sz w:val="24"/>
        </w:rPr>
        <w:t> </w:t>
      </w:r>
      <w:r>
        <w:rPr>
          <w:sz w:val="24"/>
        </w:rPr>
        <w:t>lead</w:t>
      </w:r>
      <w:r>
        <w:rPr>
          <w:spacing w:val="-1"/>
          <w:sz w:val="24"/>
        </w:rPr>
        <w:t> </w:t>
      </w:r>
      <w:r>
        <w:rPr>
          <w:sz w:val="24"/>
        </w:rPr>
        <w:t>in</w:t>
      </w:r>
      <w:r>
        <w:rPr>
          <w:spacing w:val="-4"/>
          <w:sz w:val="24"/>
        </w:rPr>
        <w:t> </w:t>
      </w:r>
      <w:r>
        <w:rPr>
          <w:sz w:val="24"/>
        </w:rPr>
        <w:t>four</w:t>
      </w:r>
      <w:r>
        <w:rPr>
          <w:spacing w:val="-3"/>
          <w:sz w:val="24"/>
        </w:rPr>
        <w:t> </w:t>
      </w:r>
      <w:r>
        <w:rPr>
          <w:sz w:val="24"/>
        </w:rPr>
        <w:t>brands</w:t>
      </w:r>
      <w:r>
        <w:rPr>
          <w:spacing w:val="-6"/>
          <w:sz w:val="24"/>
        </w:rPr>
        <w:t> </w:t>
      </w:r>
      <w:r>
        <w:rPr>
          <w:sz w:val="24"/>
        </w:rPr>
        <w:t>of</w:t>
      </w:r>
      <w:r>
        <w:rPr>
          <w:spacing w:val="-7"/>
          <w:sz w:val="24"/>
        </w:rPr>
        <w:t> </w:t>
      </w:r>
      <w:r>
        <w:rPr>
          <w:sz w:val="24"/>
        </w:rPr>
        <w:t>compound</w:t>
      </w:r>
      <w:r>
        <w:rPr>
          <w:spacing w:val="-1"/>
          <w:sz w:val="24"/>
        </w:rPr>
        <w:t> </w:t>
      </w:r>
      <w:r>
        <w:rPr>
          <w:sz w:val="24"/>
        </w:rPr>
        <w:t>fish</w:t>
      </w:r>
      <w:r>
        <w:rPr>
          <w:spacing w:val="-4"/>
          <w:sz w:val="24"/>
        </w:rPr>
        <w:t> </w:t>
      </w:r>
      <w:r>
        <w:rPr>
          <w:sz w:val="24"/>
        </w:rPr>
        <w:t>feeds</w:t>
      </w:r>
      <w:r>
        <w:rPr>
          <w:spacing w:val="-2"/>
          <w:sz w:val="24"/>
        </w:rPr>
        <w:t> </w:t>
      </w:r>
      <w:r>
        <w:rPr>
          <w:sz w:val="24"/>
        </w:rPr>
        <w:t>in North central, North western and North eastern Nigeria compared to</w:t>
      </w:r>
    </w:p>
    <w:p>
      <w:pPr>
        <w:pStyle w:val="BodyText"/>
        <w:tabs>
          <w:tab w:pos="8583" w:val="right" w:leader="dot"/>
        </w:tabs>
        <w:spacing w:before="5"/>
        <w:ind w:left="905"/>
      </w:pPr>
      <w:r>
        <w:rPr/>
        <w:t>maximum</w:t>
      </w:r>
      <w:r>
        <w:rPr>
          <w:spacing w:val="-9"/>
        </w:rPr>
        <w:t> </w:t>
      </w:r>
      <w:r>
        <w:rPr/>
        <w:t>permissible</w:t>
      </w:r>
      <w:r>
        <w:rPr>
          <w:spacing w:val="3"/>
        </w:rPr>
        <w:t> </w:t>
      </w:r>
      <w:r>
        <w:rPr/>
        <w:t>limit</w:t>
      </w:r>
      <w:r>
        <w:rPr>
          <w:spacing w:val="5"/>
        </w:rPr>
        <w:t> </w:t>
      </w:r>
      <w:r>
        <w:rPr/>
        <w:t>by</w:t>
      </w:r>
      <w:r>
        <w:rPr>
          <w:spacing w:val="-5"/>
        </w:rPr>
        <w:t> </w:t>
      </w:r>
      <w:r>
        <w:rPr/>
        <w:t>European</w:t>
      </w:r>
      <w:r>
        <w:rPr>
          <w:spacing w:val="-5"/>
        </w:rPr>
        <w:t> </w:t>
      </w:r>
      <w:r>
        <w:rPr/>
        <w:t>Union,</w:t>
      </w:r>
      <w:r>
        <w:rPr>
          <w:spacing w:val="2"/>
        </w:rPr>
        <w:t> </w:t>
      </w:r>
      <w:r>
        <w:rPr>
          <w:spacing w:val="-4"/>
        </w:rPr>
        <w:t>2007</w:t>
      </w:r>
      <w:r>
        <w:rPr/>
        <w:tab/>
      </w:r>
      <w:r>
        <w:rPr>
          <w:spacing w:val="-5"/>
        </w:rPr>
        <w:t>68</w:t>
      </w:r>
    </w:p>
    <w:p>
      <w:pPr>
        <w:pStyle w:val="ListParagraph"/>
        <w:numPr>
          <w:ilvl w:val="1"/>
          <w:numId w:val="11"/>
        </w:numPr>
        <w:tabs>
          <w:tab w:pos="841" w:val="left" w:leader="none"/>
          <w:tab w:pos="905" w:val="left" w:leader="none"/>
        </w:tabs>
        <w:spacing w:line="451" w:lineRule="auto" w:before="549" w:after="0"/>
        <w:ind w:left="905" w:right="2684" w:hanging="423"/>
        <w:jc w:val="left"/>
        <w:rPr>
          <w:sz w:val="24"/>
        </w:rPr>
      </w:pPr>
      <w:r>
        <w:rPr>
          <w:sz w:val="24"/>
        </w:rPr>
        <w:t>Mean</w:t>
      </w:r>
      <w:r>
        <w:rPr>
          <w:spacing w:val="-8"/>
          <w:sz w:val="24"/>
        </w:rPr>
        <w:t> </w:t>
      </w:r>
      <w:r>
        <w:rPr>
          <w:sz w:val="24"/>
        </w:rPr>
        <w:t>concentrations</w:t>
      </w:r>
      <w:r>
        <w:rPr>
          <w:spacing w:val="-5"/>
          <w:sz w:val="24"/>
        </w:rPr>
        <w:t> </w:t>
      </w:r>
      <w:r>
        <w:rPr>
          <w:sz w:val="24"/>
        </w:rPr>
        <w:t>of</w:t>
      </w:r>
      <w:r>
        <w:rPr>
          <w:spacing w:val="-11"/>
          <w:sz w:val="24"/>
        </w:rPr>
        <w:t> </w:t>
      </w:r>
      <w:r>
        <w:rPr>
          <w:sz w:val="24"/>
        </w:rPr>
        <w:t>arsenic in</w:t>
      </w:r>
      <w:r>
        <w:rPr>
          <w:spacing w:val="-4"/>
          <w:sz w:val="24"/>
        </w:rPr>
        <w:t> </w:t>
      </w:r>
      <w:r>
        <w:rPr>
          <w:sz w:val="24"/>
        </w:rPr>
        <w:t>four</w:t>
      </w:r>
      <w:r>
        <w:rPr>
          <w:spacing w:val="-3"/>
          <w:sz w:val="24"/>
        </w:rPr>
        <w:t> </w:t>
      </w:r>
      <w:r>
        <w:rPr>
          <w:sz w:val="24"/>
        </w:rPr>
        <w:t>brands</w:t>
      </w:r>
      <w:r>
        <w:rPr>
          <w:spacing w:val="-2"/>
          <w:sz w:val="24"/>
        </w:rPr>
        <w:t> </w:t>
      </w:r>
      <w:r>
        <w:rPr>
          <w:sz w:val="24"/>
        </w:rPr>
        <w:t>of</w:t>
      </w:r>
      <w:r>
        <w:rPr>
          <w:spacing w:val="-11"/>
          <w:sz w:val="24"/>
        </w:rPr>
        <w:t> </w:t>
      </w:r>
      <w:r>
        <w:rPr>
          <w:sz w:val="24"/>
        </w:rPr>
        <w:t>compound fish</w:t>
      </w:r>
      <w:r>
        <w:rPr>
          <w:spacing w:val="-4"/>
          <w:sz w:val="24"/>
        </w:rPr>
        <w:t> </w:t>
      </w:r>
      <w:r>
        <w:rPr>
          <w:sz w:val="24"/>
        </w:rPr>
        <w:t>feeds</w:t>
      </w:r>
      <w:r>
        <w:rPr>
          <w:spacing w:val="-2"/>
          <w:sz w:val="24"/>
        </w:rPr>
        <w:t> </w:t>
      </w:r>
      <w:r>
        <w:rPr>
          <w:sz w:val="24"/>
        </w:rPr>
        <w:t>in North central, North western and North eastern Nigeria compared to</w:t>
      </w:r>
    </w:p>
    <w:p>
      <w:pPr>
        <w:pStyle w:val="BodyText"/>
        <w:tabs>
          <w:tab w:pos="8583" w:val="right" w:leader="dot"/>
        </w:tabs>
        <w:spacing w:before="5"/>
        <w:ind w:left="905"/>
      </w:pPr>
      <w:r>
        <w:rPr/>
        <w:t>maximum</w:t>
      </w:r>
      <w:r>
        <w:rPr>
          <w:spacing w:val="-9"/>
        </w:rPr>
        <w:t> </w:t>
      </w:r>
      <w:r>
        <w:rPr/>
        <w:t>permissible</w:t>
      </w:r>
      <w:r>
        <w:rPr>
          <w:spacing w:val="3"/>
        </w:rPr>
        <w:t> </w:t>
      </w:r>
      <w:r>
        <w:rPr/>
        <w:t>limit</w:t>
      </w:r>
      <w:r>
        <w:rPr>
          <w:spacing w:val="5"/>
        </w:rPr>
        <w:t> </w:t>
      </w:r>
      <w:r>
        <w:rPr/>
        <w:t>by</w:t>
      </w:r>
      <w:r>
        <w:rPr>
          <w:spacing w:val="-5"/>
        </w:rPr>
        <w:t> </w:t>
      </w:r>
      <w:r>
        <w:rPr/>
        <w:t>European</w:t>
      </w:r>
      <w:r>
        <w:rPr>
          <w:spacing w:val="-5"/>
        </w:rPr>
        <w:t> </w:t>
      </w:r>
      <w:r>
        <w:rPr/>
        <w:t>Union,</w:t>
      </w:r>
      <w:r>
        <w:rPr>
          <w:spacing w:val="2"/>
        </w:rPr>
        <w:t> </w:t>
      </w:r>
      <w:r>
        <w:rPr>
          <w:spacing w:val="-4"/>
        </w:rPr>
        <w:t>2007</w:t>
      </w:r>
      <w:r>
        <w:rPr/>
        <w:tab/>
      </w:r>
      <w:r>
        <w:rPr>
          <w:spacing w:val="-5"/>
        </w:rPr>
        <w:t>69</w:t>
      </w:r>
    </w:p>
    <w:p>
      <w:pPr>
        <w:pStyle w:val="ListParagraph"/>
        <w:numPr>
          <w:ilvl w:val="1"/>
          <w:numId w:val="11"/>
        </w:numPr>
        <w:tabs>
          <w:tab w:pos="841" w:val="left" w:leader="none"/>
          <w:tab w:pos="905" w:val="left" w:leader="none"/>
        </w:tabs>
        <w:spacing w:line="451" w:lineRule="auto" w:before="554" w:after="0"/>
        <w:ind w:left="905" w:right="2796" w:hanging="423"/>
        <w:jc w:val="left"/>
        <w:rPr>
          <w:sz w:val="24"/>
        </w:rPr>
      </w:pPr>
      <w:r>
        <w:rPr>
          <w:sz w:val="24"/>
        </w:rPr>
        <w:t>Mean concentrations of</w:t>
      </w:r>
      <w:r>
        <w:rPr>
          <w:spacing w:val="-3"/>
          <w:sz w:val="24"/>
        </w:rPr>
        <w:t> </w:t>
      </w:r>
      <w:r>
        <w:rPr>
          <w:sz w:val="24"/>
        </w:rPr>
        <w:t>zinc in four brands of compound poultry feeds in</w:t>
      </w:r>
      <w:r>
        <w:rPr>
          <w:spacing w:val="-7"/>
          <w:sz w:val="24"/>
        </w:rPr>
        <w:t> </w:t>
      </w:r>
      <w:r>
        <w:rPr>
          <w:sz w:val="24"/>
        </w:rPr>
        <w:t>North</w:t>
      </w:r>
      <w:r>
        <w:rPr>
          <w:spacing w:val="-7"/>
          <w:sz w:val="24"/>
        </w:rPr>
        <w:t> </w:t>
      </w:r>
      <w:r>
        <w:rPr>
          <w:sz w:val="24"/>
        </w:rPr>
        <w:t>central,</w:t>
      </w:r>
      <w:r>
        <w:rPr>
          <w:spacing w:val="-1"/>
          <w:sz w:val="24"/>
        </w:rPr>
        <w:t> </w:t>
      </w:r>
      <w:r>
        <w:rPr>
          <w:sz w:val="24"/>
        </w:rPr>
        <w:t>North</w:t>
      </w:r>
      <w:r>
        <w:rPr>
          <w:spacing w:val="-7"/>
          <w:sz w:val="24"/>
        </w:rPr>
        <w:t> </w:t>
      </w:r>
      <w:r>
        <w:rPr>
          <w:sz w:val="24"/>
        </w:rPr>
        <w:t>western</w:t>
      </w:r>
      <w:r>
        <w:rPr>
          <w:spacing w:val="-7"/>
          <w:sz w:val="24"/>
        </w:rPr>
        <w:t> </w:t>
      </w:r>
      <w:r>
        <w:rPr>
          <w:sz w:val="24"/>
        </w:rPr>
        <w:t>and</w:t>
      </w:r>
      <w:r>
        <w:rPr>
          <w:spacing w:val="-2"/>
          <w:sz w:val="24"/>
        </w:rPr>
        <w:t> </w:t>
      </w:r>
      <w:r>
        <w:rPr>
          <w:sz w:val="24"/>
        </w:rPr>
        <w:t>North</w:t>
      </w:r>
      <w:r>
        <w:rPr>
          <w:spacing w:val="-6"/>
          <w:sz w:val="24"/>
        </w:rPr>
        <w:t> </w:t>
      </w:r>
      <w:r>
        <w:rPr>
          <w:sz w:val="24"/>
        </w:rPr>
        <w:t>eastern</w:t>
      </w:r>
      <w:r>
        <w:rPr>
          <w:spacing w:val="-7"/>
          <w:sz w:val="24"/>
        </w:rPr>
        <w:t> </w:t>
      </w:r>
      <w:r>
        <w:rPr>
          <w:sz w:val="24"/>
        </w:rPr>
        <w:t>Nigeria</w:t>
      </w:r>
      <w:r>
        <w:rPr>
          <w:spacing w:val="-3"/>
          <w:sz w:val="24"/>
        </w:rPr>
        <w:t> </w:t>
      </w:r>
      <w:r>
        <w:rPr>
          <w:sz w:val="24"/>
        </w:rPr>
        <w:t>compared</w:t>
      </w:r>
      <w:r>
        <w:rPr>
          <w:spacing w:val="-2"/>
          <w:sz w:val="24"/>
        </w:rPr>
        <w:t> </w:t>
      </w:r>
      <w:r>
        <w:rPr>
          <w:sz w:val="24"/>
        </w:rPr>
        <w:t>to</w:t>
      </w:r>
    </w:p>
    <w:p>
      <w:pPr>
        <w:pStyle w:val="BodyText"/>
        <w:tabs>
          <w:tab w:pos="8583" w:val="right" w:leader="dot"/>
        </w:tabs>
        <w:spacing w:before="5"/>
        <w:ind w:left="905"/>
      </w:pPr>
      <w:r>
        <w:rPr/>
        <w:t>maximum</w:t>
      </w:r>
      <w:r>
        <w:rPr>
          <w:spacing w:val="-9"/>
        </w:rPr>
        <w:t> </w:t>
      </w:r>
      <w:r>
        <w:rPr/>
        <w:t>permissible</w:t>
      </w:r>
      <w:r>
        <w:rPr>
          <w:spacing w:val="3"/>
        </w:rPr>
        <w:t> </w:t>
      </w:r>
      <w:r>
        <w:rPr/>
        <w:t>limit</w:t>
      </w:r>
      <w:r>
        <w:rPr>
          <w:spacing w:val="5"/>
        </w:rPr>
        <w:t> </w:t>
      </w:r>
      <w:r>
        <w:rPr/>
        <w:t>by</w:t>
      </w:r>
      <w:r>
        <w:rPr>
          <w:spacing w:val="-5"/>
        </w:rPr>
        <w:t> </w:t>
      </w:r>
      <w:r>
        <w:rPr/>
        <w:t>European</w:t>
      </w:r>
      <w:r>
        <w:rPr>
          <w:spacing w:val="-5"/>
        </w:rPr>
        <w:t> </w:t>
      </w:r>
      <w:r>
        <w:rPr/>
        <w:t>Union,</w:t>
      </w:r>
      <w:r>
        <w:rPr>
          <w:spacing w:val="2"/>
        </w:rPr>
        <w:t> </w:t>
      </w:r>
      <w:r>
        <w:rPr>
          <w:spacing w:val="-4"/>
        </w:rPr>
        <w:t>2007</w:t>
      </w:r>
      <w:r>
        <w:rPr/>
        <w:tab/>
      </w:r>
      <w:r>
        <w:rPr>
          <w:spacing w:val="-5"/>
        </w:rPr>
        <w:t>71</w:t>
      </w:r>
    </w:p>
    <w:p>
      <w:pPr>
        <w:pStyle w:val="ListParagraph"/>
        <w:numPr>
          <w:ilvl w:val="1"/>
          <w:numId w:val="11"/>
        </w:numPr>
        <w:tabs>
          <w:tab w:pos="842" w:val="left" w:leader="none"/>
        </w:tabs>
        <w:spacing w:line="451" w:lineRule="auto" w:before="549" w:after="0"/>
        <w:ind w:left="842" w:right="2382" w:hanging="360"/>
        <w:jc w:val="left"/>
        <w:rPr>
          <w:sz w:val="24"/>
        </w:rPr>
      </w:pPr>
      <w:r>
        <w:rPr>
          <w:sz w:val="24"/>
        </w:rPr>
        <w:t>Mean</w:t>
      </w:r>
      <w:r>
        <w:rPr>
          <w:spacing w:val="-7"/>
          <w:sz w:val="24"/>
        </w:rPr>
        <w:t> </w:t>
      </w:r>
      <w:r>
        <w:rPr>
          <w:sz w:val="24"/>
        </w:rPr>
        <w:t>concentrations</w:t>
      </w:r>
      <w:r>
        <w:rPr>
          <w:spacing w:val="-5"/>
          <w:sz w:val="24"/>
        </w:rPr>
        <w:t> </w:t>
      </w:r>
      <w:r>
        <w:rPr>
          <w:sz w:val="24"/>
        </w:rPr>
        <w:t>of</w:t>
      </w:r>
      <w:r>
        <w:rPr>
          <w:spacing w:val="-10"/>
          <w:sz w:val="24"/>
        </w:rPr>
        <w:t> </w:t>
      </w:r>
      <w:r>
        <w:rPr>
          <w:sz w:val="24"/>
        </w:rPr>
        <w:t>copper</w:t>
      </w:r>
      <w:r>
        <w:rPr>
          <w:spacing w:val="-2"/>
          <w:sz w:val="24"/>
        </w:rPr>
        <w:t> </w:t>
      </w:r>
      <w:r>
        <w:rPr>
          <w:sz w:val="24"/>
        </w:rPr>
        <w:t>in</w:t>
      </w:r>
      <w:r>
        <w:rPr>
          <w:spacing w:val="-3"/>
          <w:sz w:val="24"/>
        </w:rPr>
        <w:t> </w:t>
      </w:r>
      <w:r>
        <w:rPr>
          <w:sz w:val="24"/>
        </w:rPr>
        <w:t>four</w:t>
      </w:r>
      <w:r>
        <w:rPr>
          <w:spacing w:val="-2"/>
          <w:sz w:val="24"/>
        </w:rPr>
        <w:t> </w:t>
      </w:r>
      <w:r>
        <w:rPr>
          <w:sz w:val="24"/>
        </w:rPr>
        <w:t>brands</w:t>
      </w:r>
      <w:r>
        <w:rPr>
          <w:spacing w:val="-5"/>
          <w:sz w:val="24"/>
        </w:rPr>
        <w:t> </w:t>
      </w:r>
      <w:r>
        <w:rPr>
          <w:sz w:val="24"/>
        </w:rPr>
        <w:t>of</w:t>
      </w:r>
      <w:r>
        <w:rPr>
          <w:spacing w:val="-10"/>
          <w:sz w:val="24"/>
        </w:rPr>
        <w:t> </w:t>
      </w:r>
      <w:r>
        <w:rPr>
          <w:sz w:val="24"/>
        </w:rPr>
        <w:t>compound</w:t>
      </w:r>
      <w:r>
        <w:rPr>
          <w:spacing w:val="-3"/>
          <w:sz w:val="24"/>
        </w:rPr>
        <w:t> </w:t>
      </w:r>
      <w:r>
        <w:rPr>
          <w:sz w:val="24"/>
        </w:rPr>
        <w:t>poultry</w:t>
      </w:r>
      <w:r>
        <w:rPr>
          <w:spacing w:val="-7"/>
          <w:sz w:val="24"/>
        </w:rPr>
        <w:t> </w:t>
      </w:r>
      <w:r>
        <w:rPr>
          <w:sz w:val="24"/>
        </w:rPr>
        <w:t>feeds</w:t>
      </w:r>
      <w:r>
        <w:rPr>
          <w:spacing w:val="-1"/>
          <w:sz w:val="24"/>
        </w:rPr>
        <w:t> </w:t>
      </w:r>
      <w:r>
        <w:rPr>
          <w:sz w:val="24"/>
        </w:rPr>
        <w:t>in North central, North western and North eastern Nigeria compared to</w:t>
      </w:r>
    </w:p>
    <w:p>
      <w:pPr>
        <w:pStyle w:val="BodyText"/>
        <w:tabs>
          <w:tab w:pos="8741" w:val="right" w:leader="dot"/>
        </w:tabs>
        <w:spacing w:before="5"/>
        <w:ind w:left="905"/>
      </w:pPr>
      <w:r>
        <w:rPr/>
        <w:t>maximum</w:t>
      </w:r>
      <w:r>
        <w:rPr>
          <w:spacing w:val="-9"/>
        </w:rPr>
        <w:t> </w:t>
      </w:r>
      <w:r>
        <w:rPr/>
        <w:t>permissible</w:t>
      </w:r>
      <w:r>
        <w:rPr>
          <w:spacing w:val="3"/>
        </w:rPr>
        <w:t> </w:t>
      </w:r>
      <w:r>
        <w:rPr/>
        <w:t>limit</w:t>
      </w:r>
      <w:r>
        <w:rPr>
          <w:spacing w:val="5"/>
        </w:rPr>
        <w:t> </w:t>
      </w:r>
      <w:r>
        <w:rPr/>
        <w:t>by</w:t>
      </w:r>
      <w:r>
        <w:rPr>
          <w:spacing w:val="-5"/>
        </w:rPr>
        <w:t> </w:t>
      </w:r>
      <w:r>
        <w:rPr/>
        <w:t>European</w:t>
      </w:r>
      <w:r>
        <w:rPr>
          <w:spacing w:val="-5"/>
        </w:rPr>
        <w:t> </w:t>
      </w:r>
      <w:r>
        <w:rPr/>
        <w:t>Union,</w:t>
      </w:r>
      <w:r>
        <w:rPr>
          <w:spacing w:val="2"/>
        </w:rPr>
        <w:t> </w:t>
      </w:r>
      <w:r>
        <w:rPr>
          <w:spacing w:val="-4"/>
        </w:rPr>
        <w:t>2007</w:t>
      </w:r>
      <w:r>
        <w:rPr/>
        <w:tab/>
      </w:r>
      <w:r>
        <w:rPr>
          <w:spacing w:val="-5"/>
        </w:rPr>
        <w:t>72</w:t>
      </w:r>
    </w:p>
    <w:p>
      <w:pPr>
        <w:pStyle w:val="ListParagraph"/>
        <w:numPr>
          <w:ilvl w:val="1"/>
          <w:numId w:val="11"/>
        </w:numPr>
        <w:tabs>
          <w:tab w:pos="841" w:val="left" w:leader="none"/>
          <w:tab w:pos="905" w:val="left" w:leader="none"/>
        </w:tabs>
        <w:spacing w:line="451" w:lineRule="auto" w:before="554" w:after="0"/>
        <w:ind w:left="905" w:right="2445" w:hanging="423"/>
        <w:jc w:val="left"/>
        <w:rPr>
          <w:sz w:val="24"/>
        </w:rPr>
      </w:pPr>
      <w:r>
        <w:rPr>
          <w:sz w:val="24"/>
        </w:rPr>
        <w:t>Mean</w:t>
      </w:r>
      <w:r>
        <w:rPr>
          <w:spacing w:val="-8"/>
          <w:sz w:val="24"/>
        </w:rPr>
        <w:t> </w:t>
      </w:r>
      <w:r>
        <w:rPr>
          <w:sz w:val="24"/>
        </w:rPr>
        <w:t>concentrations</w:t>
      </w:r>
      <w:r>
        <w:rPr>
          <w:spacing w:val="-5"/>
          <w:sz w:val="24"/>
        </w:rPr>
        <w:t> </w:t>
      </w:r>
      <w:r>
        <w:rPr>
          <w:sz w:val="24"/>
        </w:rPr>
        <w:t>of</w:t>
      </w:r>
      <w:r>
        <w:rPr>
          <w:spacing w:val="-6"/>
          <w:sz w:val="24"/>
        </w:rPr>
        <w:t> </w:t>
      </w:r>
      <w:r>
        <w:rPr>
          <w:sz w:val="24"/>
        </w:rPr>
        <w:t>nickel</w:t>
      </w:r>
      <w:r>
        <w:rPr>
          <w:spacing w:val="-3"/>
          <w:sz w:val="24"/>
        </w:rPr>
        <w:t> </w:t>
      </w:r>
      <w:r>
        <w:rPr>
          <w:sz w:val="24"/>
        </w:rPr>
        <w:t>in</w:t>
      </w:r>
      <w:r>
        <w:rPr>
          <w:spacing w:val="-3"/>
          <w:sz w:val="24"/>
        </w:rPr>
        <w:t> </w:t>
      </w:r>
      <w:r>
        <w:rPr>
          <w:sz w:val="24"/>
        </w:rPr>
        <w:t>four</w:t>
      </w:r>
      <w:r>
        <w:rPr>
          <w:spacing w:val="-2"/>
          <w:sz w:val="24"/>
        </w:rPr>
        <w:t> </w:t>
      </w:r>
      <w:r>
        <w:rPr>
          <w:sz w:val="24"/>
        </w:rPr>
        <w:t>brands</w:t>
      </w:r>
      <w:r>
        <w:rPr>
          <w:spacing w:val="-1"/>
          <w:sz w:val="24"/>
        </w:rPr>
        <w:t> </w:t>
      </w:r>
      <w:r>
        <w:rPr>
          <w:sz w:val="24"/>
        </w:rPr>
        <w:t>of</w:t>
      </w:r>
      <w:r>
        <w:rPr>
          <w:spacing w:val="-10"/>
          <w:sz w:val="24"/>
        </w:rPr>
        <w:t> </w:t>
      </w:r>
      <w:r>
        <w:rPr>
          <w:sz w:val="24"/>
        </w:rPr>
        <w:t>compound</w:t>
      </w:r>
      <w:r>
        <w:rPr>
          <w:spacing w:val="-3"/>
          <w:sz w:val="24"/>
        </w:rPr>
        <w:t> </w:t>
      </w:r>
      <w:r>
        <w:rPr>
          <w:sz w:val="24"/>
        </w:rPr>
        <w:t>poultry</w:t>
      </w:r>
      <w:r>
        <w:rPr>
          <w:spacing w:val="-8"/>
          <w:sz w:val="24"/>
        </w:rPr>
        <w:t> </w:t>
      </w:r>
      <w:r>
        <w:rPr>
          <w:sz w:val="24"/>
        </w:rPr>
        <w:t>feeds</w:t>
      </w:r>
      <w:r>
        <w:rPr>
          <w:spacing w:val="-1"/>
          <w:sz w:val="24"/>
        </w:rPr>
        <w:t> </w:t>
      </w:r>
      <w:r>
        <w:rPr>
          <w:sz w:val="24"/>
        </w:rPr>
        <w:t>in North central, North western and North eastern Nigeria compared to</w:t>
      </w:r>
    </w:p>
    <w:p>
      <w:pPr>
        <w:pStyle w:val="BodyText"/>
        <w:tabs>
          <w:tab w:pos="8583" w:val="right" w:leader="dot"/>
        </w:tabs>
        <w:spacing w:line="276" w:lineRule="exact"/>
        <w:ind w:left="905"/>
      </w:pPr>
      <w:r>
        <w:rPr/>
        <w:t>maximum</w:t>
      </w:r>
      <w:r>
        <w:rPr>
          <w:spacing w:val="-12"/>
        </w:rPr>
        <w:t> </w:t>
      </w:r>
      <w:r>
        <w:rPr/>
        <w:t>permissible</w:t>
      </w:r>
      <w:r>
        <w:rPr>
          <w:spacing w:val="4"/>
        </w:rPr>
        <w:t> </w:t>
      </w:r>
      <w:r>
        <w:rPr/>
        <w:t>limit</w:t>
      </w:r>
      <w:r>
        <w:rPr>
          <w:spacing w:val="4"/>
        </w:rPr>
        <w:t> </w:t>
      </w:r>
      <w:r>
        <w:rPr/>
        <w:t>by</w:t>
      </w:r>
      <w:r>
        <w:rPr>
          <w:spacing w:val="-5"/>
        </w:rPr>
        <w:t> </w:t>
      </w:r>
      <w:r>
        <w:rPr/>
        <w:t>European</w:t>
      </w:r>
      <w:r>
        <w:rPr>
          <w:spacing w:val="-5"/>
        </w:rPr>
        <w:t> </w:t>
      </w:r>
      <w:r>
        <w:rPr/>
        <w:t>Union,</w:t>
      </w:r>
      <w:r>
        <w:rPr>
          <w:spacing w:val="2"/>
        </w:rPr>
        <w:t> </w:t>
      </w:r>
      <w:r>
        <w:rPr>
          <w:spacing w:val="-4"/>
        </w:rPr>
        <w:t>2007</w:t>
      </w:r>
      <w:r>
        <w:rPr/>
        <w:tab/>
      </w:r>
      <w:r>
        <w:rPr>
          <w:spacing w:val="-5"/>
        </w:rPr>
        <w:t>73</w:t>
      </w:r>
    </w:p>
    <w:p>
      <w:pPr>
        <w:pStyle w:val="ListParagraph"/>
        <w:numPr>
          <w:ilvl w:val="1"/>
          <w:numId w:val="11"/>
        </w:numPr>
        <w:tabs>
          <w:tab w:pos="842" w:val="left" w:leader="none"/>
        </w:tabs>
        <w:spacing w:line="451" w:lineRule="auto" w:before="555" w:after="0"/>
        <w:ind w:left="842" w:right="2626" w:hanging="360"/>
        <w:jc w:val="left"/>
        <w:rPr>
          <w:sz w:val="24"/>
        </w:rPr>
      </w:pPr>
      <w:r>
        <w:rPr>
          <w:sz w:val="24"/>
        </w:rPr>
        <w:t>Mean</w:t>
      </w:r>
      <w:r>
        <w:rPr>
          <w:spacing w:val="-8"/>
          <w:sz w:val="24"/>
        </w:rPr>
        <w:t> </w:t>
      </w:r>
      <w:r>
        <w:rPr>
          <w:sz w:val="24"/>
        </w:rPr>
        <w:t>concentrations</w:t>
      </w:r>
      <w:r>
        <w:rPr>
          <w:spacing w:val="-5"/>
          <w:sz w:val="24"/>
        </w:rPr>
        <w:t> </w:t>
      </w:r>
      <w:r>
        <w:rPr>
          <w:sz w:val="24"/>
        </w:rPr>
        <w:t>of</w:t>
      </w:r>
      <w:r>
        <w:rPr>
          <w:spacing w:val="-6"/>
          <w:sz w:val="24"/>
        </w:rPr>
        <w:t> </w:t>
      </w:r>
      <w:r>
        <w:rPr>
          <w:sz w:val="24"/>
        </w:rPr>
        <w:t>lead in</w:t>
      </w:r>
      <w:r>
        <w:rPr>
          <w:spacing w:val="-4"/>
          <w:sz w:val="24"/>
        </w:rPr>
        <w:t> </w:t>
      </w:r>
      <w:r>
        <w:rPr>
          <w:sz w:val="24"/>
        </w:rPr>
        <w:t>four</w:t>
      </w:r>
      <w:r>
        <w:rPr>
          <w:spacing w:val="-3"/>
          <w:sz w:val="24"/>
        </w:rPr>
        <w:t> </w:t>
      </w:r>
      <w:r>
        <w:rPr>
          <w:sz w:val="24"/>
        </w:rPr>
        <w:t>brands</w:t>
      </w:r>
      <w:r>
        <w:rPr>
          <w:spacing w:val="-5"/>
          <w:sz w:val="24"/>
        </w:rPr>
        <w:t> </w:t>
      </w:r>
      <w:r>
        <w:rPr>
          <w:sz w:val="24"/>
        </w:rPr>
        <w:t>of</w:t>
      </w:r>
      <w:r>
        <w:rPr>
          <w:spacing w:val="-6"/>
          <w:sz w:val="24"/>
        </w:rPr>
        <w:t> </w:t>
      </w:r>
      <w:r>
        <w:rPr>
          <w:sz w:val="24"/>
        </w:rPr>
        <w:t>compound</w:t>
      </w:r>
      <w:r>
        <w:rPr>
          <w:spacing w:val="-4"/>
          <w:sz w:val="24"/>
        </w:rPr>
        <w:t> </w:t>
      </w:r>
      <w:r>
        <w:rPr>
          <w:sz w:val="24"/>
        </w:rPr>
        <w:t>poultry</w:t>
      </w:r>
      <w:r>
        <w:rPr>
          <w:spacing w:val="-3"/>
          <w:sz w:val="24"/>
        </w:rPr>
        <w:t> </w:t>
      </w:r>
      <w:r>
        <w:rPr>
          <w:sz w:val="24"/>
        </w:rPr>
        <w:t>feeds</w:t>
      </w:r>
      <w:r>
        <w:rPr>
          <w:spacing w:val="-2"/>
          <w:sz w:val="24"/>
        </w:rPr>
        <w:t> </w:t>
      </w:r>
      <w:r>
        <w:rPr>
          <w:sz w:val="24"/>
        </w:rPr>
        <w:t>in North central, North western and North eastern Nigeria compared to</w:t>
      </w:r>
    </w:p>
    <w:p>
      <w:pPr>
        <w:pStyle w:val="BodyText"/>
        <w:tabs>
          <w:tab w:pos="8559" w:val="right" w:leader="dot"/>
        </w:tabs>
        <w:spacing w:before="4"/>
        <w:ind w:left="905"/>
      </w:pPr>
      <w:r>
        <w:rPr/>
        <w:t>maximum</w:t>
      </w:r>
      <w:r>
        <w:rPr>
          <w:spacing w:val="-9"/>
        </w:rPr>
        <w:t> </w:t>
      </w:r>
      <w:r>
        <w:rPr/>
        <w:t>permissible</w:t>
      </w:r>
      <w:r>
        <w:rPr>
          <w:spacing w:val="3"/>
        </w:rPr>
        <w:t> </w:t>
      </w:r>
      <w:r>
        <w:rPr/>
        <w:t>limit</w:t>
      </w:r>
      <w:r>
        <w:rPr>
          <w:spacing w:val="5"/>
        </w:rPr>
        <w:t> </w:t>
      </w:r>
      <w:r>
        <w:rPr/>
        <w:t>by</w:t>
      </w:r>
      <w:r>
        <w:rPr>
          <w:spacing w:val="-5"/>
        </w:rPr>
        <w:t> </w:t>
      </w:r>
      <w:r>
        <w:rPr/>
        <w:t>European</w:t>
      </w:r>
      <w:r>
        <w:rPr>
          <w:spacing w:val="-5"/>
        </w:rPr>
        <w:t> </w:t>
      </w:r>
      <w:r>
        <w:rPr/>
        <w:t>Union,</w:t>
      </w:r>
      <w:r>
        <w:rPr>
          <w:spacing w:val="2"/>
        </w:rPr>
        <w:t> </w:t>
      </w:r>
      <w:r>
        <w:rPr>
          <w:spacing w:val="-4"/>
        </w:rPr>
        <w:t>2007</w:t>
      </w:r>
      <w:r>
        <w:rPr/>
        <w:tab/>
      </w:r>
      <w:r>
        <w:rPr>
          <w:spacing w:val="-5"/>
        </w:rPr>
        <w:t>74</w:t>
      </w:r>
    </w:p>
    <w:p>
      <w:pPr>
        <w:pStyle w:val="ListParagraph"/>
        <w:numPr>
          <w:ilvl w:val="1"/>
          <w:numId w:val="11"/>
        </w:numPr>
        <w:tabs>
          <w:tab w:pos="963" w:val="left" w:leader="none"/>
        </w:tabs>
        <w:spacing w:line="451" w:lineRule="auto" w:before="555" w:after="0"/>
        <w:ind w:left="963" w:right="2234" w:hanging="481"/>
        <w:jc w:val="left"/>
        <w:rPr>
          <w:sz w:val="24"/>
        </w:rPr>
      </w:pPr>
      <w:r>
        <w:rPr>
          <w:sz w:val="24"/>
        </w:rPr>
        <w:t>Mean</w:t>
      </w:r>
      <w:r>
        <w:rPr>
          <w:spacing w:val="-8"/>
          <w:sz w:val="24"/>
        </w:rPr>
        <w:t> </w:t>
      </w:r>
      <w:r>
        <w:rPr>
          <w:sz w:val="24"/>
        </w:rPr>
        <w:t>concentrations</w:t>
      </w:r>
      <w:r>
        <w:rPr>
          <w:spacing w:val="-5"/>
          <w:sz w:val="24"/>
        </w:rPr>
        <w:t> </w:t>
      </w:r>
      <w:r>
        <w:rPr>
          <w:sz w:val="24"/>
        </w:rPr>
        <w:t>of</w:t>
      </w:r>
      <w:r>
        <w:rPr>
          <w:spacing w:val="-10"/>
          <w:sz w:val="24"/>
        </w:rPr>
        <w:t> </w:t>
      </w:r>
      <w:r>
        <w:rPr>
          <w:sz w:val="24"/>
        </w:rPr>
        <w:t>arsenic in</w:t>
      </w:r>
      <w:r>
        <w:rPr>
          <w:spacing w:val="-3"/>
          <w:sz w:val="24"/>
        </w:rPr>
        <w:t> </w:t>
      </w:r>
      <w:r>
        <w:rPr>
          <w:sz w:val="24"/>
        </w:rPr>
        <w:t>four</w:t>
      </w:r>
      <w:r>
        <w:rPr>
          <w:spacing w:val="-2"/>
          <w:sz w:val="24"/>
        </w:rPr>
        <w:t> </w:t>
      </w:r>
      <w:r>
        <w:rPr>
          <w:sz w:val="24"/>
        </w:rPr>
        <w:t>brands</w:t>
      </w:r>
      <w:r>
        <w:rPr>
          <w:spacing w:val="-5"/>
          <w:sz w:val="24"/>
        </w:rPr>
        <w:t> </w:t>
      </w:r>
      <w:r>
        <w:rPr>
          <w:sz w:val="24"/>
        </w:rPr>
        <w:t>of</w:t>
      </w:r>
      <w:r>
        <w:rPr>
          <w:spacing w:val="-10"/>
          <w:sz w:val="24"/>
        </w:rPr>
        <w:t> </w:t>
      </w:r>
      <w:r>
        <w:rPr>
          <w:sz w:val="24"/>
        </w:rPr>
        <w:t>compound</w:t>
      </w:r>
      <w:r>
        <w:rPr>
          <w:spacing w:val="-3"/>
          <w:sz w:val="24"/>
        </w:rPr>
        <w:t> </w:t>
      </w:r>
      <w:r>
        <w:rPr>
          <w:sz w:val="24"/>
        </w:rPr>
        <w:t>poultry</w:t>
      </w:r>
      <w:r>
        <w:rPr>
          <w:spacing w:val="-8"/>
          <w:sz w:val="24"/>
        </w:rPr>
        <w:t> </w:t>
      </w:r>
      <w:r>
        <w:rPr>
          <w:sz w:val="24"/>
        </w:rPr>
        <w:t>feeds</w:t>
      </w:r>
      <w:r>
        <w:rPr>
          <w:spacing w:val="-1"/>
          <w:sz w:val="24"/>
        </w:rPr>
        <w:t> </w:t>
      </w:r>
      <w:r>
        <w:rPr>
          <w:sz w:val="24"/>
        </w:rPr>
        <w:t>in North central, North western and North eastern Nigeria compared to</w:t>
      </w:r>
    </w:p>
    <w:p>
      <w:pPr>
        <w:pStyle w:val="BodyText"/>
        <w:tabs>
          <w:tab w:pos="8583" w:val="right" w:leader="dot"/>
        </w:tabs>
        <w:spacing w:line="275" w:lineRule="exact"/>
        <w:ind w:left="1025"/>
      </w:pPr>
      <w:r>
        <w:rPr/>
        <w:t>maximum</w:t>
      </w:r>
      <w:r>
        <w:rPr>
          <w:spacing w:val="-10"/>
        </w:rPr>
        <w:t> </w:t>
      </w:r>
      <w:r>
        <w:rPr/>
        <w:t>permissible</w:t>
      </w:r>
      <w:r>
        <w:rPr>
          <w:spacing w:val="3"/>
        </w:rPr>
        <w:t> </w:t>
      </w:r>
      <w:r>
        <w:rPr/>
        <w:t>limit</w:t>
      </w:r>
      <w:r>
        <w:rPr>
          <w:spacing w:val="3"/>
        </w:rPr>
        <w:t> </w:t>
      </w:r>
      <w:r>
        <w:rPr/>
        <w:t>by</w:t>
      </w:r>
      <w:r>
        <w:rPr>
          <w:spacing w:val="-6"/>
        </w:rPr>
        <w:t> </w:t>
      </w:r>
      <w:r>
        <w:rPr/>
        <w:t>European</w:t>
      </w:r>
      <w:r>
        <w:rPr>
          <w:spacing w:val="-5"/>
        </w:rPr>
        <w:t> </w:t>
      </w:r>
      <w:r>
        <w:rPr/>
        <w:t>Union,</w:t>
      </w:r>
      <w:r>
        <w:rPr>
          <w:spacing w:val="1"/>
        </w:rPr>
        <w:t> </w:t>
      </w:r>
      <w:r>
        <w:rPr>
          <w:spacing w:val="-4"/>
        </w:rPr>
        <w:t>2007</w:t>
      </w:r>
      <w:r>
        <w:rPr/>
        <w:tab/>
      </w:r>
      <w:r>
        <w:rPr>
          <w:spacing w:val="-5"/>
        </w:rPr>
        <w:t>75</w:t>
      </w:r>
    </w:p>
    <w:p>
      <w:pPr>
        <w:spacing w:after="0" w:line="275" w:lineRule="exact"/>
        <w:sectPr>
          <w:pgSz w:w="12240" w:h="15840"/>
          <w:pgMar w:header="0" w:footer="1012" w:top="1360" w:bottom="1200" w:left="1020" w:right="720"/>
        </w:sectPr>
      </w:pPr>
    </w:p>
    <w:p>
      <w:pPr>
        <w:pStyle w:val="ListParagraph"/>
        <w:numPr>
          <w:ilvl w:val="1"/>
          <w:numId w:val="12"/>
        </w:numPr>
        <w:tabs>
          <w:tab w:pos="1023" w:val="left" w:leader="none"/>
        </w:tabs>
        <w:spacing w:line="240" w:lineRule="auto" w:before="164" w:after="0"/>
        <w:ind w:left="1023" w:right="0" w:hanging="541"/>
        <w:jc w:val="left"/>
        <w:rPr>
          <w:sz w:val="24"/>
        </w:rPr>
      </w:pPr>
      <w:r>
        <w:rPr>
          <w:sz w:val="24"/>
        </w:rPr>
        <w:t>Mean</w:t>
      </w:r>
      <w:r>
        <w:rPr>
          <w:spacing w:val="-6"/>
          <w:sz w:val="24"/>
        </w:rPr>
        <w:t> </w:t>
      </w:r>
      <w:r>
        <w:rPr>
          <w:sz w:val="24"/>
        </w:rPr>
        <w:t>concentration</w:t>
      </w:r>
      <w:r>
        <w:rPr>
          <w:spacing w:val="-6"/>
          <w:sz w:val="24"/>
        </w:rPr>
        <w:t> </w:t>
      </w:r>
      <w:r>
        <w:rPr>
          <w:sz w:val="24"/>
        </w:rPr>
        <w:t>of</w:t>
      </w:r>
      <w:r>
        <w:rPr>
          <w:spacing w:val="-9"/>
          <w:sz w:val="24"/>
        </w:rPr>
        <w:t> </w:t>
      </w:r>
      <w:r>
        <w:rPr>
          <w:sz w:val="24"/>
        </w:rPr>
        <w:t>zinc</w:t>
      </w:r>
      <w:r>
        <w:rPr>
          <w:spacing w:val="3"/>
          <w:sz w:val="24"/>
        </w:rPr>
        <w:t> </w:t>
      </w:r>
      <w:r>
        <w:rPr>
          <w:sz w:val="24"/>
        </w:rPr>
        <w:t>in</w:t>
      </w:r>
      <w:r>
        <w:rPr>
          <w:spacing w:val="-1"/>
          <w:sz w:val="24"/>
        </w:rPr>
        <w:t> </w:t>
      </w:r>
      <w:r>
        <w:rPr>
          <w:sz w:val="24"/>
        </w:rPr>
        <w:t>forage</w:t>
      </w:r>
      <w:r>
        <w:rPr>
          <w:spacing w:val="-2"/>
          <w:sz w:val="24"/>
        </w:rPr>
        <w:t> </w:t>
      </w:r>
      <w:r>
        <w:rPr>
          <w:sz w:val="24"/>
        </w:rPr>
        <w:t>grasses</w:t>
      </w:r>
      <w:r>
        <w:rPr>
          <w:spacing w:val="1"/>
          <w:sz w:val="24"/>
        </w:rPr>
        <w:t> </w:t>
      </w:r>
      <w:r>
        <w:rPr>
          <w:sz w:val="24"/>
        </w:rPr>
        <w:t>across</w:t>
      </w:r>
      <w:r>
        <w:rPr>
          <w:spacing w:val="-2"/>
          <w:sz w:val="24"/>
        </w:rPr>
        <w:t> </w:t>
      </w:r>
      <w:r>
        <w:rPr>
          <w:sz w:val="24"/>
        </w:rPr>
        <w:t>grazing</w:t>
      </w:r>
      <w:r>
        <w:rPr>
          <w:spacing w:val="-1"/>
          <w:sz w:val="24"/>
        </w:rPr>
        <w:t> </w:t>
      </w:r>
      <w:r>
        <w:rPr>
          <w:sz w:val="24"/>
        </w:rPr>
        <w:t>areas</w:t>
      </w:r>
      <w:r>
        <w:rPr>
          <w:spacing w:val="1"/>
          <w:sz w:val="24"/>
        </w:rPr>
        <w:t> </w:t>
      </w:r>
      <w:r>
        <w:rPr>
          <w:spacing w:val="-5"/>
          <w:sz w:val="24"/>
        </w:rPr>
        <w:t>in</w:t>
      </w:r>
    </w:p>
    <w:p>
      <w:pPr>
        <w:pStyle w:val="BodyText"/>
      </w:pPr>
    </w:p>
    <w:p>
      <w:pPr>
        <w:pStyle w:val="BodyText"/>
        <w:spacing w:before="1"/>
        <w:ind w:left="482"/>
      </w:pPr>
      <w:r>
        <w:rPr/>
        <w:t>Northern</w:t>
      </w:r>
      <w:r>
        <w:rPr>
          <w:spacing w:val="-8"/>
        </w:rPr>
        <w:t> </w:t>
      </w:r>
      <w:r>
        <w:rPr/>
        <w:t>Nigeria</w:t>
      </w:r>
      <w:r>
        <w:rPr>
          <w:spacing w:val="-1"/>
        </w:rPr>
        <w:t> </w:t>
      </w:r>
      <w:r>
        <w:rPr/>
        <w:t>and</w:t>
      </w:r>
      <w:r>
        <w:rPr>
          <w:spacing w:val="3"/>
        </w:rPr>
        <w:t> </w:t>
      </w:r>
      <w:r>
        <w:rPr/>
        <w:t>maximum</w:t>
      </w:r>
      <w:r>
        <w:rPr>
          <w:spacing w:val="-6"/>
        </w:rPr>
        <w:t> </w:t>
      </w:r>
      <w:r>
        <w:rPr/>
        <w:t>permissible</w:t>
      </w:r>
      <w:r>
        <w:rPr>
          <w:spacing w:val="4"/>
        </w:rPr>
        <w:t> </w:t>
      </w:r>
      <w:r>
        <w:rPr/>
        <w:t>limit</w:t>
      </w:r>
      <w:r>
        <w:rPr>
          <w:spacing w:val="9"/>
        </w:rPr>
        <w:t> </w:t>
      </w:r>
      <w:r>
        <w:rPr/>
        <w:t>by</w:t>
      </w:r>
      <w:r>
        <w:rPr>
          <w:spacing w:val="-11"/>
        </w:rPr>
        <w:t> </w:t>
      </w:r>
      <w:r>
        <w:rPr/>
        <w:t>European</w:t>
      </w:r>
      <w:r>
        <w:rPr>
          <w:spacing w:val="-5"/>
        </w:rPr>
        <w:t> </w:t>
      </w:r>
      <w:r>
        <w:rPr/>
        <w:t>Union,</w:t>
      </w:r>
      <w:r>
        <w:rPr>
          <w:spacing w:val="1"/>
        </w:rPr>
        <w:t> </w:t>
      </w:r>
      <w:r>
        <w:rPr/>
        <w:t>2007</w:t>
      </w:r>
      <w:r>
        <w:rPr>
          <w:spacing w:val="1"/>
        </w:rPr>
        <w:t> </w:t>
      </w:r>
      <w:r>
        <w:rPr/>
        <w:t>……</w:t>
      </w:r>
      <w:r>
        <w:rPr>
          <w:spacing w:val="9"/>
        </w:rPr>
        <w:t> </w:t>
      </w:r>
      <w:r>
        <w:rPr>
          <w:spacing w:val="-5"/>
        </w:rPr>
        <w:t>77</w:t>
      </w:r>
    </w:p>
    <w:p>
      <w:pPr>
        <w:pStyle w:val="BodyText"/>
        <w:spacing w:before="273"/>
      </w:pPr>
    </w:p>
    <w:p>
      <w:pPr>
        <w:pStyle w:val="ListParagraph"/>
        <w:numPr>
          <w:ilvl w:val="1"/>
          <w:numId w:val="12"/>
        </w:numPr>
        <w:tabs>
          <w:tab w:pos="1024" w:val="left" w:leader="none"/>
        </w:tabs>
        <w:spacing w:line="240" w:lineRule="auto" w:before="0" w:after="0"/>
        <w:ind w:left="1024" w:right="0" w:hanging="542"/>
        <w:jc w:val="left"/>
        <w:rPr>
          <w:sz w:val="24"/>
        </w:rPr>
      </w:pPr>
      <w:r>
        <w:rPr>
          <w:sz w:val="24"/>
        </w:rPr>
        <w:t>Mean</w:t>
      </w:r>
      <w:r>
        <w:rPr>
          <w:spacing w:val="-8"/>
          <w:sz w:val="24"/>
        </w:rPr>
        <w:t> </w:t>
      </w:r>
      <w:r>
        <w:rPr>
          <w:sz w:val="24"/>
        </w:rPr>
        <w:t>concentration</w:t>
      </w:r>
      <w:r>
        <w:rPr>
          <w:spacing w:val="-5"/>
          <w:sz w:val="24"/>
        </w:rPr>
        <w:t> </w:t>
      </w:r>
      <w:r>
        <w:rPr>
          <w:sz w:val="24"/>
        </w:rPr>
        <w:t>of</w:t>
      </w:r>
      <w:r>
        <w:rPr>
          <w:spacing w:val="-8"/>
          <w:sz w:val="24"/>
        </w:rPr>
        <w:t> </w:t>
      </w:r>
      <w:r>
        <w:rPr>
          <w:sz w:val="24"/>
        </w:rPr>
        <w:t>copper</w:t>
      </w:r>
      <w:r>
        <w:rPr>
          <w:spacing w:val="2"/>
          <w:sz w:val="24"/>
        </w:rPr>
        <w:t> </w:t>
      </w:r>
      <w:r>
        <w:rPr>
          <w:sz w:val="24"/>
        </w:rPr>
        <w:t>in</w:t>
      </w:r>
      <w:r>
        <w:rPr>
          <w:spacing w:val="-1"/>
          <w:sz w:val="24"/>
        </w:rPr>
        <w:t> </w:t>
      </w:r>
      <w:r>
        <w:rPr>
          <w:sz w:val="24"/>
        </w:rPr>
        <w:t>forage</w:t>
      </w:r>
      <w:r>
        <w:rPr>
          <w:spacing w:val="-1"/>
          <w:sz w:val="24"/>
        </w:rPr>
        <w:t> </w:t>
      </w:r>
      <w:r>
        <w:rPr>
          <w:sz w:val="24"/>
        </w:rPr>
        <w:t>grasses</w:t>
      </w:r>
      <w:r>
        <w:rPr>
          <w:spacing w:val="-2"/>
          <w:sz w:val="24"/>
        </w:rPr>
        <w:t> </w:t>
      </w:r>
      <w:r>
        <w:rPr>
          <w:sz w:val="24"/>
        </w:rPr>
        <w:t>across</w:t>
      </w:r>
      <w:r>
        <w:rPr>
          <w:spacing w:val="-3"/>
          <w:sz w:val="24"/>
        </w:rPr>
        <w:t> </w:t>
      </w:r>
      <w:r>
        <w:rPr>
          <w:sz w:val="24"/>
        </w:rPr>
        <w:t>grazing areas</w:t>
      </w:r>
      <w:r>
        <w:rPr>
          <w:spacing w:val="2"/>
          <w:sz w:val="24"/>
        </w:rPr>
        <w:t> </w:t>
      </w:r>
      <w:r>
        <w:rPr>
          <w:spacing w:val="-5"/>
          <w:sz w:val="24"/>
        </w:rPr>
        <w:t>in</w:t>
      </w:r>
    </w:p>
    <w:p>
      <w:pPr>
        <w:pStyle w:val="BodyText"/>
      </w:pPr>
    </w:p>
    <w:p>
      <w:pPr>
        <w:pStyle w:val="BodyText"/>
        <w:ind w:left="482"/>
      </w:pPr>
      <w:r>
        <w:rPr/>
        <w:t>Northern</w:t>
      </w:r>
      <w:r>
        <w:rPr>
          <w:spacing w:val="-8"/>
        </w:rPr>
        <w:t> </w:t>
      </w:r>
      <w:r>
        <w:rPr/>
        <w:t>Nigeria</w:t>
      </w:r>
      <w:r>
        <w:rPr>
          <w:spacing w:val="-2"/>
        </w:rPr>
        <w:t> </w:t>
      </w:r>
      <w:r>
        <w:rPr/>
        <w:t>and</w:t>
      </w:r>
      <w:r>
        <w:rPr>
          <w:spacing w:val="3"/>
        </w:rPr>
        <w:t> </w:t>
      </w:r>
      <w:r>
        <w:rPr/>
        <w:t>maximum</w:t>
      </w:r>
      <w:r>
        <w:rPr>
          <w:spacing w:val="-6"/>
        </w:rPr>
        <w:t> </w:t>
      </w:r>
      <w:r>
        <w:rPr/>
        <w:t>permissible</w:t>
      </w:r>
      <w:r>
        <w:rPr>
          <w:spacing w:val="3"/>
        </w:rPr>
        <w:t> </w:t>
      </w:r>
      <w:r>
        <w:rPr/>
        <w:t>limit</w:t>
      </w:r>
      <w:r>
        <w:rPr>
          <w:spacing w:val="9"/>
        </w:rPr>
        <w:t> </w:t>
      </w:r>
      <w:r>
        <w:rPr/>
        <w:t>by</w:t>
      </w:r>
      <w:r>
        <w:rPr>
          <w:spacing w:val="-10"/>
        </w:rPr>
        <w:t> </w:t>
      </w:r>
      <w:r>
        <w:rPr/>
        <w:t>European</w:t>
      </w:r>
      <w:r>
        <w:rPr>
          <w:spacing w:val="-6"/>
        </w:rPr>
        <w:t> </w:t>
      </w:r>
      <w:r>
        <w:rPr/>
        <w:t>Union,</w:t>
      </w:r>
      <w:r>
        <w:rPr>
          <w:spacing w:val="1"/>
        </w:rPr>
        <w:t> </w:t>
      </w:r>
      <w:r>
        <w:rPr/>
        <w:t>2007 …….</w:t>
      </w:r>
      <w:r>
        <w:rPr>
          <w:spacing w:val="57"/>
        </w:rPr>
        <w:t> </w:t>
      </w:r>
      <w:r>
        <w:rPr>
          <w:spacing w:val="-5"/>
        </w:rPr>
        <w:t>78</w:t>
      </w:r>
    </w:p>
    <w:p>
      <w:pPr>
        <w:pStyle w:val="BodyText"/>
      </w:pPr>
    </w:p>
    <w:p>
      <w:pPr>
        <w:pStyle w:val="BodyText"/>
        <w:spacing w:before="3"/>
      </w:pPr>
    </w:p>
    <w:p>
      <w:pPr>
        <w:pStyle w:val="ListParagraph"/>
        <w:numPr>
          <w:ilvl w:val="1"/>
          <w:numId w:val="12"/>
        </w:numPr>
        <w:tabs>
          <w:tab w:pos="1023" w:val="left" w:leader="none"/>
        </w:tabs>
        <w:spacing w:line="240" w:lineRule="auto" w:before="0" w:after="0"/>
        <w:ind w:left="1023" w:right="0" w:hanging="541"/>
        <w:jc w:val="left"/>
        <w:rPr>
          <w:sz w:val="24"/>
        </w:rPr>
      </w:pPr>
      <w:r>
        <w:rPr>
          <w:sz w:val="24"/>
        </w:rPr>
        <w:t>Mean</w:t>
      </w:r>
      <w:r>
        <w:rPr>
          <w:spacing w:val="-8"/>
          <w:sz w:val="24"/>
        </w:rPr>
        <w:t> </w:t>
      </w:r>
      <w:r>
        <w:rPr>
          <w:sz w:val="24"/>
        </w:rPr>
        <w:t>concentration</w:t>
      </w:r>
      <w:r>
        <w:rPr>
          <w:spacing w:val="-5"/>
          <w:sz w:val="24"/>
        </w:rPr>
        <w:t> </w:t>
      </w:r>
      <w:r>
        <w:rPr>
          <w:sz w:val="24"/>
        </w:rPr>
        <w:t>of</w:t>
      </w:r>
      <w:r>
        <w:rPr>
          <w:spacing w:val="-4"/>
          <w:sz w:val="24"/>
        </w:rPr>
        <w:t> </w:t>
      </w:r>
      <w:r>
        <w:rPr>
          <w:sz w:val="24"/>
        </w:rPr>
        <w:t>nickel</w:t>
      </w:r>
      <w:r>
        <w:rPr>
          <w:spacing w:val="-1"/>
          <w:sz w:val="24"/>
        </w:rPr>
        <w:t> </w:t>
      </w:r>
      <w:r>
        <w:rPr>
          <w:sz w:val="24"/>
        </w:rPr>
        <w:t>in forage</w:t>
      </w:r>
      <w:r>
        <w:rPr>
          <w:spacing w:val="-2"/>
          <w:sz w:val="24"/>
        </w:rPr>
        <w:t> </w:t>
      </w:r>
      <w:r>
        <w:rPr>
          <w:sz w:val="24"/>
        </w:rPr>
        <w:t>grasses</w:t>
      </w:r>
      <w:r>
        <w:rPr>
          <w:spacing w:val="-2"/>
          <w:sz w:val="24"/>
        </w:rPr>
        <w:t> </w:t>
      </w:r>
      <w:r>
        <w:rPr>
          <w:sz w:val="24"/>
        </w:rPr>
        <w:t>across</w:t>
      </w:r>
      <w:r>
        <w:rPr>
          <w:spacing w:val="-3"/>
          <w:sz w:val="24"/>
        </w:rPr>
        <w:t> </w:t>
      </w:r>
      <w:r>
        <w:rPr>
          <w:sz w:val="24"/>
        </w:rPr>
        <w:t>grazing</w:t>
      </w:r>
      <w:r>
        <w:rPr>
          <w:spacing w:val="-1"/>
          <w:sz w:val="24"/>
        </w:rPr>
        <w:t> </w:t>
      </w:r>
      <w:r>
        <w:rPr>
          <w:sz w:val="24"/>
        </w:rPr>
        <w:t>areas</w:t>
      </w:r>
      <w:r>
        <w:rPr>
          <w:spacing w:val="2"/>
          <w:sz w:val="24"/>
        </w:rPr>
        <w:t> </w:t>
      </w:r>
      <w:r>
        <w:rPr>
          <w:spacing w:val="-5"/>
          <w:sz w:val="24"/>
        </w:rPr>
        <w:t>in</w:t>
      </w:r>
    </w:p>
    <w:p>
      <w:pPr>
        <w:pStyle w:val="BodyText"/>
      </w:pPr>
    </w:p>
    <w:p>
      <w:pPr>
        <w:pStyle w:val="BodyText"/>
        <w:ind w:left="482"/>
      </w:pPr>
      <w:r>
        <w:rPr/>
        <w:t>Northern</w:t>
      </w:r>
      <w:r>
        <w:rPr>
          <w:spacing w:val="-8"/>
        </w:rPr>
        <w:t> </w:t>
      </w:r>
      <w:r>
        <w:rPr/>
        <w:t>Nigeria</w:t>
      </w:r>
      <w:r>
        <w:rPr>
          <w:spacing w:val="-1"/>
        </w:rPr>
        <w:t> </w:t>
      </w:r>
      <w:r>
        <w:rPr/>
        <w:t>and</w:t>
      </w:r>
      <w:r>
        <w:rPr>
          <w:spacing w:val="3"/>
        </w:rPr>
        <w:t> </w:t>
      </w:r>
      <w:r>
        <w:rPr/>
        <w:t>maximum</w:t>
      </w:r>
      <w:r>
        <w:rPr>
          <w:spacing w:val="-6"/>
        </w:rPr>
        <w:t> </w:t>
      </w:r>
      <w:r>
        <w:rPr/>
        <w:t>permissible</w:t>
      </w:r>
      <w:r>
        <w:rPr>
          <w:spacing w:val="4"/>
        </w:rPr>
        <w:t> </w:t>
      </w:r>
      <w:r>
        <w:rPr/>
        <w:t>limit</w:t>
      </w:r>
      <w:r>
        <w:rPr>
          <w:spacing w:val="9"/>
        </w:rPr>
        <w:t> </w:t>
      </w:r>
      <w:r>
        <w:rPr/>
        <w:t>by</w:t>
      </w:r>
      <w:r>
        <w:rPr>
          <w:spacing w:val="-11"/>
        </w:rPr>
        <w:t> </w:t>
      </w:r>
      <w:r>
        <w:rPr/>
        <w:t>European</w:t>
      </w:r>
      <w:r>
        <w:rPr>
          <w:spacing w:val="-5"/>
        </w:rPr>
        <w:t> </w:t>
      </w:r>
      <w:r>
        <w:rPr/>
        <w:t>Union,</w:t>
      </w:r>
      <w:r>
        <w:rPr>
          <w:spacing w:val="1"/>
        </w:rPr>
        <w:t> </w:t>
      </w:r>
      <w:r>
        <w:rPr/>
        <w:t>2007…….</w:t>
      </w:r>
      <w:r>
        <w:rPr>
          <w:spacing w:val="71"/>
        </w:rPr>
        <w:t> </w:t>
      </w:r>
      <w:r>
        <w:rPr>
          <w:spacing w:val="-5"/>
        </w:rPr>
        <w:t>79</w:t>
      </w:r>
    </w:p>
    <w:p>
      <w:pPr>
        <w:pStyle w:val="BodyText"/>
        <w:spacing w:before="274"/>
      </w:pPr>
    </w:p>
    <w:p>
      <w:pPr>
        <w:pStyle w:val="ListParagraph"/>
        <w:numPr>
          <w:ilvl w:val="1"/>
          <w:numId w:val="12"/>
        </w:numPr>
        <w:tabs>
          <w:tab w:pos="1023" w:val="left" w:leader="none"/>
        </w:tabs>
        <w:spacing w:line="240" w:lineRule="auto" w:before="1" w:after="0"/>
        <w:ind w:left="1023" w:right="0" w:hanging="541"/>
        <w:jc w:val="left"/>
        <w:rPr>
          <w:sz w:val="24"/>
        </w:rPr>
      </w:pPr>
      <w:r>
        <w:rPr>
          <w:sz w:val="24"/>
        </w:rPr>
        <w:t>Mean</w:t>
      </w:r>
      <w:r>
        <w:rPr>
          <w:spacing w:val="-7"/>
          <w:sz w:val="24"/>
        </w:rPr>
        <w:t> </w:t>
      </w:r>
      <w:r>
        <w:rPr>
          <w:sz w:val="24"/>
        </w:rPr>
        <w:t>concentration</w:t>
      </w:r>
      <w:r>
        <w:rPr>
          <w:spacing w:val="-6"/>
          <w:sz w:val="24"/>
        </w:rPr>
        <w:t> </w:t>
      </w:r>
      <w:r>
        <w:rPr>
          <w:sz w:val="24"/>
        </w:rPr>
        <w:t>of</w:t>
      </w:r>
      <w:r>
        <w:rPr>
          <w:spacing w:val="-4"/>
          <w:sz w:val="24"/>
        </w:rPr>
        <w:t> </w:t>
      </w:r>
      <w:r>
        <w:rPr>
          <w:sz w:val="24"/>
        </w:rPr>
        <w:t>lead</w:t>
      </w:r>
      <w:r>
        <w:rPr>
          <w:spacing w:val="2"/>
          <w:sz w:val="24"/>
        </w:rPr>
        <w:t> </w:t>
      </w:r>
      <w:r>
        <w:rPr>
          <w:sz w:val="24"/>
        </w:rPr>
        <w:t>in</w:t>
      </w:r>
      <w:r>
        <w:rPr>
          <w:spacing w:val="-1"/>
          <w:sz w:val="24"/>
        </w:rPr>
        <w:t> </w:t>
      </w:r>
      <w:r>
        <w:rPr>
          <w:sz w:val="24"/>
        </w:rPr>
        <w:t>forage</w:t>
      </w:r>
      <w:r>
        <w:rPr>
          <w:spacing w:val="-3"/>
          <w:sz w:val="24"/>
        </w:rPr>
        <w:t> </w:t>
      </w:r>
      <w:r>
        <w:rPr>
          <w:sz w:val="24"/>
        </w:rPr>
        <w:t>grasses</w:t>
      </w:r>
      <w:r>
        <w:rPr>
          <w:spacing w:val="1"/>
          <w:sz w:val="24"/>
        </w:rPr>
        <w:t> </w:t>
      </w:r>
      <w:r>
        <w:rPr>
          <w:sz w:val="24"/>
        </w:rPr>
        <w:t>across</w:t>
      </w:r>
      <w:r>
        <w:rPr>
          <w:spacing w:val="-3"/>
          <w:sz w:val="24"/>
        </w:rPr>
        <w:t> </w:t>
      </w:r>
      <w:r>
        <w:rPr>
          <w:sz w:val="24"/>
        </w:rPr>
        <w:t>grazing</w:t>
      </w:r>
      <w:r>
        <w:rPr>
          <w:spacing w:val="-2"/>
          <w:sz w:val="24"/>
        </w:rPr>
        <w:t> </w:t>
      </w:r>
      <w:r>
        <w:rPr>
          <w:sz w:val="24"/>
        </w:rPr>
        <w:t>areas</w:t>
      </w:r>
      <w:r>
        <w:rPr>
          <w:spacing w:val="1"/>
          <w:sz w:val="24"/>
        </w:rPr>
        <w:t> </w:t>
      </w:r>
      <w:r>
        <w:rPr>
          <w:spacing w:val="-5"/>
          <w:sz w:val="24"/>
        </w:rPr>
        <w:t>in</w:t>
      </w:r>
    </w:p>
    <w:p>
      <w:pPr>
        <w:pStyle w:val="BodyText"/>
        <w:tabs>
          <w:tab w:pos="8525" w:val="left" w:leader="dot"/>
        </w:tabs>
        <w:spacing w:before="276"/>
        <w:ind w:left="420"/>
      </w:pPr>
      <w:r>
        <w:rPr/>
        <w:t>Northern</w:t>
      </w:r>
      <w:r>
        <w:rPr>
          <w:spacing w:val="-7"/>
        </w:rPr>
        <w:t> </w:t>
      </w:r>
      <w:r>
        <w:rPr/>
        <w:t>Nigeria</w:t>
      </w:r>
      <w:r>
        <w:rPr>
          <w:spacing w:val="-2"/>
        </w:rPr>
        <w:t> </w:t>
      </w:r>
      <w:r>
        <w:rPr/>
        <w:t>and</w:t>
      </w:r>
      <w:r>
        <w:rPr>
          <w:spacing w:val="4"/>
        </w:rPr>
        <w:t> </w:t>
      </w:r>
      <w:r>
        <w:rPr/>
        <w:t>maximum</w:t>
      </w:r>
      <w:r>
        <w:rPr>
          <w:spacing w:val="-9"/>
        </w:rPr>
        <w:t> </w:t>
      </w:r>
      <w:r>
        <w:rPr/>
        <w:t>permissible</w:t>
      </w:r>
      <w:r>
        <w:rPr>
          <w:spacing w:val="4"/>
        </w:rPr>
        <w:t> </w:t>
      </w:r>
      <w:r>
        <w:rPr/>
        <w:t>limit</w:t>
      </w:r>
      <w:r>
        <w:rPr>
          <w:spacing w:val="5"/>
        </w:rPr>
        <w:t> </w:t>
      </w:r>
      <w:r>
        <w:rPr/>
        <w:t>by</w:t>
      </w:r>
      <w:r>
        <w:rPr>
          <w:spacing w:val="-10"/>
        </w:rPr>
        <w:t> </w:t>
      </w:r>
      <w:r>
        <w:rPr/>
        <w:t>European</w:t>
      </w:r>
      <w:r>
        <w:rPr>
          <w:spacing w:val="-5"/>
        </w:rPr>
        <w:t> </w:t>
      </w:r>
      <w:r>
        <w:rPr/>
        <w:t>Union,</w:t>
      </w:r>
      <w:r>
        <w:rPr>
          <w:spacing w:val="2"/>
        </w:rPr>
        <w:t> </w:t>
      </w:r>
      <w:r>
        <w:rPr>
          <w:spacing w:val="-4"/>
        </w:rPr>
        <w:t>2007</w:t>
      </w:r>
      <w:r>
        <w:rPr/>
        <w:tab/>
      </w:r>
      <w:r>
        <w:rPr>
          <w:spacing w:val="-5"/>
        </w:rPr>
        <w:t>80</w:t>
      </w:r>
    </w:p>
    <w:p>
      <w:pPr>
        <w:pStyle w:val="BodyText"/>
      </w:pPr>
    </w:p>
    <w:p>
      <w:pPr>
        <w:pStyle w:val="BodyText"/>
        <w:spacing w:before="2"/>
      </w:pPr>
    </w:p>
    <w:p>
      <w:pPr>
        <w:pStyle w:val="ListParagraph"/>
        <w:numPr>
          <w:ilvl w:val="1"/>
          <w:numId w:val="12"/>
        </w:numPr>
        <w:tabs>
          <w:tab w:pos="1023" w:val="left" w:leader="none"/>
        </w:tabs>
        <w:spacing w:line="240" w:lineRule="auto" w:before="0" w:after="0"/>
        <w:ind w:left="1023" w:right="0" w:hanging="541"/>
        <w:jc w:val="left"/>
        <w:rPr>
          <w:sz w:val="24"/>
        </w:rPr>
      </w:pPr>
      <w:r>
        <w:rPr>
          <w:sz w:val="24"/>
        </w:rPr>
        <w:t>Mean</w:t>
      </w:r>
      <w:r>
        <w:rPr>
          <w:spacing w:val="-8"/>
          <w:sz w:val="24"/>
        </w:rPr>
        <w:t> </w:t>
      </w:r>
      <w:r>
        <w:rPr>
          <w:sz w:val="24"/>
        </w:rPr>
        <w:t>concentration</w:t>
      </w:r>
      <w:r>
        <w:rPr>
          <w:spacing w:val="-6"/>
          <w:sz w:val="24"/>
        </w:rPr>
        <w:t> </w:t>
      </w:r>
      <w:r>
        <w:rPr>
          <w:sz w:val="24"/>
        </w:rPr>
        <w:t>of</w:t>
      </w:r>
      <w:r>
        <w:rPr>
          <w:spacing w:val="-8"/>
          <w:sz w:val="24"/>
        </w:rPr>
        <w:t> </w:t>
      </w:r>
      <w:r>
        <w:rPr>
          <w:sz w:val="24"/>
        </w:rPr>
        <w:t>arsenic</w:t>
      </w:r>
      <w:r>
        <w:rPr>
          <w:spacing w:val="3"/>
          <w:sz w:val="24"/>
        </w:rPr>
        <w:t> </w:t>
      </w:r>
      <w:r>
        <w:rPr>
          <w:sz w:val="24"/>
        </w:rPr>
        <w:t>in</w:t>
      </w:r>
      <w:r>
        <w:rPr>
          <w:spacing w:val="-1"/>
          <w:sz w:val="24"/>
        </w:rPr>
        <w:t> </w:t>
      </w:r>
      <w:r>
        <w:rPr>
          <w:sz w:val="24"/>
        </w:rPr>
        <w:t>forage</w:t>
      </w:r>
      <w:r>
        <w:rPr>
          <w:spacing w:val="-2"/>
          <w:sz w:val="24"/>
        </w:rPr>
        <w:t> </w:t>
      </w:r>
      <w:r>
        <w:rPr>
          <w:sz w:val="24"/>
        </w:rPr>
        <w:t>grasses</w:t>
      </w:r>
      <w:r>
        <w:rPr>
          <w:spacing w:val="-3"/>
          <w:sz w:val="24"/>
        </w:rPr>
        <w:t> </w:t>
      </w:r>
      <w:r>
        <w:rPr>
          <w:sz w:val="24"/>
        </w:rPr>
        <w:t>across</w:t>
      </w:r>
      <w:r>
        <w:rPr>
          <w:spacing w:val="-3"/>
          <w:sz w:val="24"/>
        </w:rPr>
        <w:t> </w:t>
      </w:r>
      <w:r>
        <w:rPr>
          <w:sz w:val="24"/>
        </w:rPr>
        <w:t>grazing</w:t>
      </w:r>
      <w:r>
        <w:rPr>
          <w:spacing w:val="-1"/>
          <w:sz w:val="24"/>
        </w:rPr>
        <w:t> </w:t>
      </w:r>
      <w:r>
        <w:rPr>
          <w:sz w:val="24"/>
        </w:rPr>
        <w:t>areas</w:t>
      </w:r>
      <w:r>
        <w:rPr>
          <w:spacing w:val="2"/>
          <w:sz w:val="24"/>
        </w:rPr>
        <w:t> </w:t>
      </w:r>
      <w:r>
        <w:rPr>
          <w:spacing w:val="-5"/>
          <w:sz w:val="24"/>
        </w:rPr>
        <w:t>in</w:t>
      </w:r>
    </w:p>
    <w:p>
      <w:pPr>
        <w:pStyle w:val="BodyText"/>
      </w:pPr>
    </w:p>
    <w:p>
      <w:pPr>
        <w:pStyle w:val="BodyText"/>
        <w:tabs>
          <w:tab w:pos="8631" w:val="left" w:leader="dot"/>
        </w:tabs>
        <w:ind w:left="420"/>
      </w:pPr>
      <w:r>
        <w:rPr/>
        <w:t>Northern</w:t>
      </w:r>
      <w:r>
        <w:rPr>
          <w:spacing w:val="-7"/>
        </w:rPr>
        <w:t> </w:t>
      </w:r>
      <w:r>
        <w:rPr/>
        <w:t>Nigeria</w:t>
      </w:r>
      <w:r>
        <w:rPr>
          <w:spacing w:val="-1"/>
        </w:rPr>
        <w:t> </w:t>
      </w:r>
      <w:r>
        <w:rPr/>
        <w:t>and</w:t>
      </w:r>
      <w:r>
        <w:rPr>
          <w:spacing w:val="3"/>
        </w:rPr>
        <w:t> </w:t>
      </w:r>
      <w:r>
        <w:rPr/>
        <w:t>maximum</w:t>
      </w:r>
      <w:r>
        <w:rPr>
          <w:spacing w:val="-9"/>
        </w:rPr>
        <w:t> </w:t>
      </w:r>
      <w:r>
        <w:rPr/>
        <w:t>permissible</w:t>
      </w:r>
      <w:r>
        <w:rPr>
          <w:spacing w:val="4"/>
        </w:rPr>
        <w:t> </w:t>
      </w:r>
      <w:r>
        <w:rPr/>
        <w:t>limit</w:t>
      </w:r>
      <w:r>
        <w:rPr>
          <w:spacing w:val="4"/>
        </w:rPr>
        <w:t> </w:t>
      </w:r>
      <w:r>
        <w:rPr/>
        <w:t>by</w:t>
      </w:r>
      <w:r>
        <w:rPr>
          <w:spacing w:val="-10"/>
        </w:rPr>
        <w:t> </w:t>
      </w:r>
      <w:r>
        <w:rPr/>
        <w:t>European</w:t>
      </w:r>
      <w:r>
        <w:rPr>
          <w:spacing w:val="-5"/>
        </w:rPr>
        <w:t> </w:t>
      </w:r>
      <w:r>
        <w:rPr/>
        <w:t>Union,</w:t>
      </w:r>
      <w:r>
        <w:rPr>
          <w:spacing w:val="2"/>
        </w:rPr>
        <w:t> </w:t>
      </w:r>
      <w:r>
        <w:rPr>
          <w:spacing w:val="-4"/>
        </w:rPr>
        <w:t>2007</w:t>
      </w:r>
      <w:r>
        <w:rPr/>
        <w:tab/>
      </w:r>
      <w:r>
        <w:rPr>
          <w:spacing w:val="-5"/>
        </w:rPr>
        <w:t>81</w:t>
      </w:r>
    </w:p>
    <w:p>
      <w:pPr>
        <w:pStyle w:val="BodyText"/>
        <w:spacing w:before="77"/>
      </w:pPr>
    </w:p>
    <w:p>
      <w:pPr>
        <w:pStyle w:val="ListParagraph"/>
        <w:numPr>
          <w:ilvl w:val="1"/>
          <w:numId w:val="12"/>
        </w:numPr>
        <w:tabs>
          <w:tab w:pos="904" w:val="left" w:leader="none"/>
          <w:tab w:pos="8688" w:val="left" w:leader="dot"/>
        </w:tabs>
        <w:spacing w:line="240" w:lineRule="auto" w:before="0" w:after="0"/>
        <w:ind w:left="904" w:right="0" w:hanging="484"/>
        <w:jc w:val="left"/>
        <w:rPr>
          <w:sz w:val="24"/>
        </w:rPr>
      </w:pPr>
      <w:r>
        <w:rPr>
          <w:sz w:val="24"/>
        </w:rPr>
        <w:t>Mean</w:t>
      </w:r>
      <w:r>
        <w:rPr>
          <w:spacing w:val="-8"/>
          <w:sz w:val="24"/>
        </w:rPr>
        <w:t> </w:t>
      </w:r>
      <w:r>
        <w:rPr>
          <w:sz w:val="24"/>
        </w:rPr>
        <w:t>zinc</w:t>
      </w:r>
      <w:r>
        <w:rPr>
          <w:spacing w:val="-2"/>
          <w:sz w:val="24"/>
        </w:rPr>
        <w:t> </w:t>
      </w:r>
      <w:r>
        <w:rPr>
          <w:sz w:val="24"/>
        </w:rPr>
        <w:t>concentrations</w:t>
      </w:r>
      <w:r>
        <w:rPr>
          <w:spacing w:val="1"/>
          <w:sz w:val="24"/>
        </w:rPr>
        <w:t> </w:t>
      </w:r>
      <w:r>
        <w:rPr>
          <w:sz w:val="24"/>
        </w:rPr>
        <w:t>in</w:t>
      </w:r>
      <w:r>
        <w:rPr>
          <w:spacing w:val="-6"/>
          <w:sz w:val="24"/>
        </w:rPr>
        <w:t> </w:t>
      </w:r>
      <w:r>
        <w:rPr>
          <w:sz w:val="24"/>
        </w:rPr>
        <w:t>poultry</w:t>
      </w:r>
      <w:r>
        <w:rPr>
          <w:spacing w:val="-10"/>
          <w:sz w:val="24"/>
        </w:rPr>
        <w:t> </w:t>
      </w:r>
      <w:r>
        <w:rPr>
          <w:sz w:val="24"/>
        </w:rPr>
        <w:t>and</w:t>
      </w:r>
      <w:r>
        <w:rPr>
          <w:spacing w:val="-1"/>
          <w:sz w:val="24"/>
        </w:rPr>
        <w:t> </w:t>
      </w:r>
      <w:r>
        <w:rPr>
          <w:sz w:val="24"/>
        </w:rPr>
        <w:t>cattle</w:t>
      </w:r>
      <w:r>
        <w:rPr>
          <w:spacing w:val="2"/>
          <w:sz w:val="24"/>
        </w:rPr>
        <w:t> </w:t>
      </w:r>
      <w:r>
        <w:rPr>
          <w:sz w:val="24"/>
        </w:rPr>
        <w:t>manure</w:t>
      </w:r>
      <w:r>
        <w:rPr>
          <w:spacing w:val="7"/>
          <w:sz w:val="24"/>
        </w:rPr>
        <w:t> </w:t>
      </w:r>
      <w:r>
        <w:rPr>
          <w:sz w:val="24"/>
        </w:rPr>
        <w:t>in</w:t>
      </w:r>
      <w:r>
        <w:rPr>
          <w:spacing w:val="-6"/>
          <w:sz w:val="24"/>
        </w:rPr>
        <w:t> </w:t>
      </w:r>
      <w:r>
        <w:rPr>
          <w:sz w:val="24"/>
        </w:rPr>
        <w:t>Northern</w:t>
      </w:r>
      <w:r>
        <w:rPr>
          <w:spacing w:val="-5"/>
          <w:sz w:val="24"/>
        </w:rPr>
        <w:t> </w:t>
      </w:r>
      <w:r>
        <w:rPr>
          <w:spacing w:val="-2"/>
          <w:sz w:val="24"/>
        </w:rPr>
        <w:t>Nigeria</w:t>
      </w:r>
      <w:r>
        <w:rPr>
          <w:sz w:val="24"/>
        </w:rPr>
        <w:tab/>
      </w:r>
      <w:r>
        <w:rPr>
          <w:spacing w:val="-5"/>
          <w:sz w:val="24"/>
        </w:rPr>
        <w:t>83</w:t>
      </w:r>
    </w:p>
    <w:p>
      <w:pPr>
        <w:pStyle w:val="ListParagraph"/>
        <w:numPr>
          <w:ilvl w:val="1"/>
          <w:numId w:val="12"/>
        </w:numPr>
        <w:tabs>
          <w:tab w:pos="904" w:val="left" w:leader="none"/>
        </w:tabs>
        <w:spacing w:line="240" w:lineRule="auto" w:before="243" w:after="0"/>
        <w:ind w:left="904" w:right="0" w:hanging="484"/>
        <w:jc w:val="left"/>
        <w:rPr>
          <w:sz w:val="24"/>
        </w:rPr>
      </w:pPr>
      <w:r>
        <w:rPr>
          <w:sz w:val="24"/>
        </w:rPr>
        <w:t>Mean</w:t>
      </w:r>
      <w:r>
        <w:rPr>
          <w:spacing w:val="-6"/>
          <w:sz w:val="24"/>
        </w:rPr>
        <w:t> </w:t>
      </w:r>
      <w:r>
        <w:rPr>
          <w:sz w:val="24"/>
        </w:rPr>
        <w:t>copper concentrations</w:t>
      </w:r>
      <w:r>
        <w:rPr>
          <w:spacing w:val="1"/>
          <w:sz w:val="24"/>
        </w:rPr>
        <w:t> </w:t>
      </w:r>
      <w:r>
        <w:rPr>
          <w:sz w:val="24"/>
        </w:rPr>
        <w:t>in</w:t>
      </w:r>
      <w:r>
        <w:rPr>
          <w:spacing w:val="-6"/>
          <w:sz w:val="24"/>
        </w:rPr>
        <w:t> </w:t>
      </w:r>
      <w:r>
        <w:rPr>
          <w:sz w:val="24"/>
        </w:rPr>
        <w:t>poultry</w:t>
      </w:r>
      <w:r>
        <w:rPr>
          <w:spacing w:val="-10"/>
          <w:sz w:val="24"/>
        </w:rPr>
        <w:t> </w:t>
      </w:r>
      <w:r>
        <w:rPr>
          <w:sz w:val="24"/>
        </w:rPr>
        <w:t>and</w:t>
      </w:r>
      <w:r>
        <w:rPr>
          <w:spacing w:val="-2"/>
          <w:sz w:val="24"/>
        </w:rPr>
        <w:t> </w:t>
      </w:r>
      <w:r>
        <w:rPr>
          <w:sz w:val="24"/>
        </w:rPr>
        <w:t>cattle</w:t>
      </w:r>
      <w:r>
        <w:rPr>
          <w:spacing w:val="3"/>
          <w:sz w:val="24"/>
        </w:rPr>
        <w:t> </w:t>
      </w:r>
      <w:r>
        <w:rPr>
          <w:sz w:val="24"/>
        </w:rPr>
        <w:t>manure</w:t>
      </w:r>
      <w:r>
        <w:rPr>
          <w:spacing w:val="8"/>
          <w:sz w:val="24"/>
        </w:rPr>
        <w:t> </w:t>
      </w:r>
      <w:r>
        <w:rPr>
          <w:sz w:val="24"/>
        </w:rPr>
        <w:t>in</w:t>
      </w:r>
      <w:r>
        <w:rPr>
          <w:spacing w:val="-6"/>
          <w:sz w:val="24"/>
        </w:rPr>
        <w:t> </w:t>
      </w:r>
      <w:r>
        <w:rPr>
          <w:sz w:val="24"/>
        </w:rPr>
        <w:t>Northern</w:t>
      </w:r>
      <w:r>
        <w:rPr>
          <w:spacing w:val="-6"/>
          <w:sz w:val="24"/>
        </w:rPr>
        <w:t> </w:t>
      </w:r>
      <w:r>
        <w:rPr>
          <w:sz w:val="24"/>
        </w:rPr>
        <w:t>Nigeria…</w:t>
      </w:r>
      <w:r>
        <w:rPr>
          <w:spacing w:val="58"/>
          <w:sz w:val="24"/>
        </w:rPr>
        <w:t> </w:t>
      </w:r>
      <w:r>
        <w:rPr>
          <w:spacing w:val="-5"/>
          <w:sz w:val="24"/>
        </w:rPr>
        <w:t>84</w:t>
      </w:r>
    </w:p>
    <w:p>
      <w:pPr>
        <w:pStyle w:val="ListParagraph"/>
        <w:numPr>
          <w:ilvl w:val="1"/>
          <w:numId w:val="12"/>
        </w:numPr>
        <w:tabs>
          <w:tab w:pos="904" w:val="left" w:leader="none"/>
          <w:tab w:pos="8708" w:val="left" w:leader="dot"/>
        </w:tabs>
        <w:spacing w:line="240" w:lineRule="auto" w:before="243" w:after="0"/>
        <w:ind w:left="904" w:right="0" w:hanging="484"/>
        <w:jc w:val="left"/>
        <w:rPr>
          <w:sz w:val="24"/>
        </w:rPr>
      </w:pPr>
      <w:r>
        <w:rPr>
          <w:sz w:val="24"/>
        </w:rPr>
        <w:t>Mean</w:t>
      </w:r>
      <w:r>
        <w:rPr>
          <w:spacing w:val="-8"/>
          <w:sz w:val="24"/>
        </w:rPr>
        <w:t> </w:t>
      </w:r>
      <w:r>
        <w:rPr>
          <w:sz w:val="24"/>
        </w:rPr>
        <w:t>nickel</w:t>
      </w:r>
      <w:r>
        <w:rPr>
          <w:spacing w:val="-9"/>
          <w:sz w:val="24"/>
        </w:rPr>
        <w:t> </w:t>
      </w:r>
      <w:r>
        <w:rPr>
          <w:sz w:val="24"/>
        </w:rPr>
        <w:t>concentrations</w:t>
      </w:r>
      <w:r>
        <w:rPr>
          <w:spacing w:val="2"/>
          <w:sz w:val="24"/>
        </w:rPr>
        <w:t> </w:t>
      </w:r>
      <w:r>
        <w:rPr>
          <w:sz w:val="24"/>
        </w:rPr>
        <w:t>in</w:t>
      </w:r>
      <w:r>
        <w:rPr>
          <w:spacing w:val="-6"/>
          <w:sz w:val="24"/>
        </w:rPr>
        <w:t> </w:t>
      </w:r>
      <w:r>
        <w:rPr>
          <w:sz w:val="24"/>
        </w:rPr>
        <w:t>poultry</w:t>
      </w:r>
      <w:r>
        <w:rPr>
          <w:spacing w:val="-10"/>
          <w:sz w:val="24"/>
        </w:rPr>
        <w:t> </w:t>
      </w:r>
      <w:r>
        <w:rPr>
          <w:sz w:val="24"/>
        </w:rPr>
        <w:t>and cattle</w:t>
      </w:r>
      <w:r>
        <w:rPr>
          <w:spacing w:val="3"/>
          <w:sz w:val="24"/>
        </w:rPr>
        <w:t> </w:t>
      </w:r>
      <w:r>
        <w:rPr>
          <w:sz w:val="24"/>
        </w:rPr>
        <w:t>manure</w:t>
      </w:r>
      <w:r>
        <w:rPr>
          <w:spacing w:val="8"/>
          <w:sz w:val="24"/>
        </w:rPr>
        <w:t> </w:t>
      </w:r>
      <w:r>
        <w:rPr>
          <w:sz w:val="24"/>
        </w:rPr>
        <w:t>in</w:t>
      </w:r>
      <w:r>
        <w:rPr>
          <w:spacing w:val="-5"/>
          <w:sz w:val="24"/>
        </w:rPr>
        <w:t> </w:t>
      </w:r>
      <w:r>
        <w:rPr>
          <w:sz w:val="24"/>
        </w:rPr>
        <w:t>Northern</w:t>
      </w:r>
      <w:r>
        <w:rPr>
          <w:spacing w:val="-5"/>
          <w:sz w:val="24"/>
        </w:rPr>
        <w:t> </w:t>
      </w:r>
      <w:r>
        <w:rPr>
          <w:spacing w:val="-2"/>
          <w:sz w:val="24"/>
        </w:rPr>
        <w:t>Nigeria</w:t>
      </w:r>
      <w:r>
        <w:rPr>
          <w:sz w:val="24"/>
        </w:rPr>
        <w:tab/>
      </w:r>
      <w:r>
        <w:rPr>
          <w:spacing w:val="-5"/>
          <w:sz w:val="24"/>
        </w:rPr>
        <w:t>85</w:t>
      </w:r>
    </w:p>
    <w:p>
      <w:pPr>
        <w:pStyle w:val="ListParagraph"/>
        <w:numPr>
          <w:ilvl w:val="1"/>
          <w:numId w:val="12"/>
        </w:numPr>
        <w:tabs>
          <w:tab w:pos="904" w:val="left" w:leader="none"/>
          <w:tab w:pos="8746" w:val="left" w:leader="dot"/>
        </w:tabs>
        <w:spacing w:line="240" w:lineRule="auto" w:before="237" w:after="0"/>
        <w:ind w:left="904" w:right="0" w:hanging="484"/>
        <w:jc w:val="left"/>
        <w:rPr>
          <w:sz w:val="24"/>
        </w:rPr>
      </w:pPr>
      <w:r>
        <w:rPr>
          <w:sz w:val="24"/>
        </w:rPr>
        <w:t>Mean</w:t>
      </w:r>
      <w:r>
        <w:rPr>
          <w:spacing w:val="-4"/>
          <w:sz w:val="24"/>
        </w:rPr>
        <w:t> </w:t>
      </w:r>
      <w:r>
        <w:rPr>
          <w:sz w:val="24"/>
        </w:rPr>
        <w:t>lead</w:t>
      </w:r>
      <w:r>
        <w:rPr>
          <w:spacing w:val="-2"/>
          <w:sz w:val="24"/>
        </w:rPr>
        <w:t> </w:t>
      </w:r>
      <w:r>
        <w:rPr>
          <w:sz w:val="24"/>
        </w:rPr>
        <w:t>concentrations in</w:t>
      </w:r>
      <w:r>
        <w:rPr>
          <w:spacing w:val="-6"/>
          <w:sz w:val="24"/>
        </w:rPr>
        <w:t> </w:t>
      </w:r>
      <w:r>
        <w:rPr>
          <w:sz w:val="24"/>
        </w:rPr>
        <w:t>poultry</w:t>
      </w:r>
      <w:r>
        <w:rPr>
          <w:spacing w:val="-11"/>
          <w:sz w:val="24"/>
        </w:rPr>
        <w:t> </w:t>
      </w:r>
      <w:r>
        <w:rPr>
          <w:sz w:val="24"/>
        </w:rPr>
        <w:t>and</w:t>
      </w:r>
      <w:r>
        <w:rPr>
          <w:spacing w:val="-2"/>
          <w:sz w:val="24"/>
        </w:rPr>
        <w:t> </w:t>
      </w:r>
      <w:r>
        <w:rPr>
          <w:sz w:val="24"/>
        </w:rPr>
        <w:t>cattle</w:t>
      </w:r>
      <w:r>
        <w:rPr>
          <w:spacing w:val="2"/>
          <w:sz w:val="24"/>
        </w:rPr>
        <w:t> </w:t>
      </w:r>
      <w:r>
        <w:rPr>
          <w:sz w:val="24"/>
        </w:rPr>
        <w:t>manure</w:t>
      </w:r>
      <w:r>
        <w:rPr>
          <w:spacing w:val="6"/>
          <w:sz w:val="24"/>
        </w:rPr>
        <w:t> </w:t>
      </w:r>
      <w:r>
        <w:rPr>
          <w:sz w:val="24"/>
        </w:rPr>
        <w:t>in</w:t>
      </w:r>
      <w:r>
        <w:rPr>
          <w:spacing w:val="-6"/>
          <w:sz w:val="24"/>
        </w:rPr>
        <w:t> </w:t>
      </w:r>
      <w:r>
        <w:rPr>
          <w:sz w:val="24"/>
        </w:rPr>
        <w:t>Northern</w:t>
      </w:r>
      <w:r>
        <w:rPr>
          <w:spacing w:val="-6"/>
          <w:sz w:val="24"/>
        </w:rPr>
        <w:t> </w:t>
      </w:r>
      <w:r>
        <w:rPr>
          <w:spacing w:val="-2"/>
          <w:sz w:val="24"/>
        </w:rPr>
        <w:t>Nigeria</w:t>
      </w:r>
      <w:r>
        <w:rPr>
          <w:sz w:val="24"/>
        </w:rPr>
        <w:tab/>
      </w:r>
      <w:r>
        <w:rPr>
          <w:spacing w:val="-5"/>
          <w:sz w:val="24"/>
        </w:rPr>
        <w:t>86</w:t>
      </w:r>
    </w:p>
    <w:p>
      <w:pPr>
        <w:pStyle w:val="ListParagraph"/>
        <w:numPr>
          <w:ilvl w:val="1"/>
          <w:numId w:val="12"/>
        </w:numPr>
        <w:tabs>
          <w:tab w:pos="904" w:val="left" w:leader="none"/>
          <w:tab w:pos="8727" w:val="left" w:leader="dot"/>
        </w:tabs>
        <w:spacing w:line="240" w:lineRule="auto" w:before="248" w:after="0"/>
        <w:ind w:left="904" w:right="0" w:hanging="484"/>
        <w:jc w:val="left"/>
        <w:rPr>
          <w:sz w:val="24"/>
        </w:rPr>
      </w:pPr>
      <w:r>
        <w:rPr>
          <w:sz w:val="24"/>
        </w:rPr>
        <w:t>Mean</w:t>
      </w:r>
      <w:r>
        <w:rPr>
          <w:spacing w:val="-8"/>
          <w:sz w:val="24"/>
        </w:rPr>
        <w:t> </w:t>
      </w:r>
      <w:r>
        <w:rPr>
          <w:sz w:val="24"/>
        </w:rPr>
        <w:t>arsenic</w:t>
      </w:r>
      <w:r>
        <w:rPr>
          <w:spacing w:val="-2"/>
          <w:sz w:val="24"/>
        </w:rPr>
        <w:t> </w:t>
      </w:r>
      <w:r>
        <w:rPr>
          <w:sz w:val="24"/>
        </w:rPr>
        <w:t>concentrations</w:t>
      </w:r>
      <w:r>
        <w:rPr>
          <w:spacing w:val="1"/>
          <w:sz w:val="24"/>
        </w:rPr>
        <w:t> </w:t>
      </w:r>
      <w:r>
        <w:rPr>
          <w:sz w:val="24"/>
        </w:rPr>
        <w:t>in</w:t>
      </w:r>
      <w:r>
        <w:rPr>
          <w:spacing w:val="-6"/>
          <w:sz w:val="24"/>
        </w:rPr>
        <w:t> </w:t>
      </w:r>
      <w:r>
        <w:rPr>
          <w:sz w:val="24"/>
        </w:rPr>
        <w:t>poultry</w:t>
      </w:r>
      <w:r>
        <w:rPr>
          <w:spacing w:val="-10"/>
          <w:sz w:val="24"/>
        </w:rPr>
        <w:t> </w:t>
      </w:r>
      <w:r>
        <w:rPr>
          <w:sz w:val="24"/>
        </w:rPr>
        <w:t>and</w:t>
      </w:r>
      <w:r>
        <w:rPr>
          <w:spacing w:val="-2"/>
          <w:sz w:val="24"/>
        </w:rPr>
        <w:t> </w:t>
      </w:r>
      <w:r>
        <w:rPr>
          <w:sz w:val="24"/>
        </w:rPr>
        <w:t>cattle</w:t>
      </w:r>
      <w:r>
        <w:rPr>
          <w:spacing w:val="3"/>
          <w:sz w:val="24"/>
        </w:rPr>
        <w:t> </w:t>
      </w:r>
      <w:r>
        <w:rPr>
          <w:sz w:val="24"/>
        </w:rPr>
        <w:t>manure</w:t>
      </w:r>
      <w:r>
        <w:rPr>
          <w:spacing w:val="7"/>
          <w:sz w:val="24"/>
        </w:rPr>
        <w:t> </w:t>
      </w:r>
      <w:r>
        <w:rPr>
          <w:sz w:val="24"/>
        </w:rPr>
        <w:t>in</w:t>
      </w:r>
      <w:r>
        <w:rPr>
          <w:spacing w:val="-6"/>
          <w:sz w:val="24"/>
        </w:rPr>
        <w:t> </w:t>
      </w:r>
      <w:r>
        <w:rPr>
          <w:sz w:val="24"/>
        </w:rPr>
        <w:t>Northern</w:t>
      </w:r>
      <w:r>
        <w:rPr>
          <w:spacing w:val="-5"/>
          <w:sz w:val="24"/>
        </w:rPr>
        <w:t> </w:t>
      </w:r>
      <w:r>
        <w:rPr>
          <w:spacing w:val="-2"/>
          <w:sz w:val="24"/>
        </w:rPr>
        <w:t>Nigeria</w:t>
      </w:r>
      <w:r>
        <w:rPr>
          <w:sz w:val="24"/>
        </w:rPr>
        <w:tab/>
      </w:r>
      <w:r>
        <w:rPr>
          <w:spacing w:val="-5"/>
          <w:sz w:val="24"/>
        </w:rPr>
        <w:t>87</w:t>
      </w:r>
    </w:p>
    <w:p>
      <w:pPr>
        <w:pStyle w:val="BodyText"/>
        <w:spacing w:before="197"/>
      </w:pPr>
    </w:p>
    <w:p>
      <w:pPr>
        <w:pStyle w:val="ListParagraph"/>
        <w:numPr>
          <w:ilvl w:val="1"/>
          <w:numId w:val="12"/>
        </w:numPr>
        <w:tabs>
          <w:tab w:pos="904" w:val="left" w:leader="none"/>
        </w:tabs>
        <w:spacing w:line="240" w:lineRule="auto" w:before="0" w:after="0"/>
        <w:ind w:left="904" w:right="0" w:hanging="484"/>
        <w:jc w:val="left"/>
        <w:rPr>
          <w:sz w:val="24"/>
        </w:rPr>
      </w:pPr>
      <w:r>
        <w:rPr>
          <w:sz w:val="24"/>
        </w:rPr>
        <w:t>Seasonal</w:t>
      </w:r>
      <w:r>
        <w:rPr>
          <w:spacing w:val="-8"/>
          <w:sz w:val="24"/>
        </w:rPr>
        <w:t> </w:t>
      </w:r>
      <w:r>
        <w:rPr>
          <w:sz w:val="24"/>
        </w:rPr>
        <w:t>mean</w:t>
      </w:r>
      <w:r>
        <w:rPr>
          <w:spacing w:val="-6"/>
          <w:sz w:val="24"/>
        </w:rPr>
        <w:t> </w:t>
      </w:r>
      <w:r>
        <w:rPr>
          <w:sz w:val="24"/>
        </w:rPr>
        <w:t>concentrations</w:t>
      </w:r>
      <w:r>
        <w:rPr>
          <w:spacing w:val="-3"/>
          <w:sz w:val="24"/>
        </w:rPr>
        <w:t> </w:t>
      </w:r>
      <w:r>
        <w:rPr>
          <w:sz w:val="24"/>
        </w:rPr>
        <w:t>of</w:t>
      </w:r>
      <w:r>
        <w:rPr>
          <w:spacing w:val="-9"/>
          <w:sz w:val="24"/>
        </w:rPr>
        <w:t> </w:t>
      </w:r>
      <w:r>
        <w:rPr>
          <w:sz w:val="24"/>
        </w:rPr>
        <w:t>zinc</w:t>
      </w:r>
      <w:r>
        <w:rPr>
          <w:spacing w:val="3"/>
          <w:sz w:val="24"/>
        </w:rPr>
        <w:t> </w:t>
      </w:r>
      <w:r>
        <w:rPr>
          <w:sz w:val="24"/>
        </w:rPr>
        <w:t>in</w:t>
      </w:r>
      <w:r>
        <w:rPr>
          <w:spacing w:val="-1"/>
          <w:sz w:val="24"/>
        </w:rPr>
        <w:t> </w:t>
      </w:r>
      <w:r>
        <w:rPr>
          <w:sz w:val="24"/>
        </w:rPr>
        <w:t>Rivers</w:t>
      </w:r>
      <w:r>
        <w:rPr>
          <w:spacing w:val="-3"/>
          <w:sz w:val="24"/>
        </w:rPr>
        <w:t> </w:t>
      </w:r>
      <w:r>
        <w:rPr>
          <w:sz w:val="24"/>
        </w:rPr>
        <w:t>Kaduna,</w:t>
      </w:r>
      <w:r>
        <w:rPr>
          <w:spacing w:val="1"/>
          <w:sz w:val="24"/>
        </w:rPr>
        <w:t> </w:t>
      </w:r>
      <w:r>
        <w:rPr>
          <w:sz w:val="24"/>
        </w:rPr>
        <w:t>Sokoto</w:t>
      </w:r>
      <w:r>
        <w:rPr>
          <w:spacing w:val="-1"/>
          <w:sz w:val="24"/>
        </w:rPr>
        <w:t> </w:t>
      </w:r>
      <w:r>
        <w:rPr>
          <w:sz w:val="24"/>
        </w:rPr>
        <w:t>and</w:t>
      </w:r>
      <w:r>
        <w:rPr>
          <w:spacing w:val="-1"/>
          <w:sz w:val="24"/>
        </w:rPr>
        <w:t> </w:t>
      </w:r>
      <w:r>
        <w:rPr>
          <w:spacing w:val="-2"/>
          <w:sz w:val="24"/>
        </w:rPr>
        <w:t>Ngadda</w:t>
      </w:r>
    </w:p>
    <w:p>
      <w:pPr>
        <w:pStyle w:val="BodyText"/>
        <w:tabs>
          <w:tab w:pos="8766" w:val="left" w:leader="dot"/>
        </w:tabs>
        <w:spacing w:before="247"/>
        <w:ind w:left="905"/>
      </w:pPr>
      <w:r>
        <w:rPr/>
        <w:t>and</w:t>
      </w:r>
      <w:r>
        <w:rPr>
          <w:spacing w:val="-3"/>
        </w:rPr>
        <w:t> </w:t>
      </w:r>
      <w:r>
        <w:rPr/>
        <w:t>maximum</w:t>
      </w:r>
      <w:r>
        <w:rPr>
          <w:spacing w:val="-12"/>
        </w:rPr>
        <w:t> </w:t>
      </w:r>
      <w:r>
        <w:rPr/>
        <w:t>permissible</w:t>
      </w:r>
      <w:r>
        <w:rPr>
          <w:spacing w:val="-1"/>
        </w:rPr>
        <w:t> </w:t>
      </w:r>
      <w:r>
        <w:rPr/>
        <w:t>limit</w:t>
      </w:r>
      <w:r>
        <w:rPr>
          <w:spacing w:val="5"/>
        </w:rPr>
        <w:t> </w:t>
      </w:r>
      <w:r>
        <w:rPr/>
        <w:t>by</w:t>
      </w:r>
      <w:r>
        <w:rPr>
          <w:spacing w:val="-9"/>
        </w:rPr>
        <w:t> </w:t>
      </w:r>
      <w:r>
        <w:rPr/>
        <w:t>World health</w:t>
      </w:r>
      <w:r>
        <w:rPr>
          <w:spacing w:val="-7"/>
        </w:rPr>
        <w:t> </w:t>
      </w:r>
      <w:r>
        <w:rPr/>
        <w:t>organization, </w:t>
      </w:r>
      <w:r>
        <w:rPr>
          <w:spacing w:val="-4"/>
        </w:rPr>
        <w:t>2007</w:t>
      </w:r>
      <w:r>
        <w:rPr/>
        <w:tab/>
      </w:r>
      <w:r>
        <w:rPr>
          <w:spacing w:val="-5"/>
        </w:rPr>
        <w:t>90</w:t>
      </w:r>
    </w:p>
    <w:p>
      <w:pPr>
        <w:pStyle w:val="BodyText"/>
      </w:pPr>
    </w:p>
    <w:p>
      <w:pPr>
        <w:pStyle w:val="BodyText"/>
        <w:spacing w:before="3"/>
      </w:pPr>
    </w:p>
    <w:p>
      <w:pPr>
        <w:pStyle w:val="ListParagraph"/>
        <w:numPr>
          <w:ilvl w:val="1"/>
          <w:numId w:val="12"/>
        </w:numPr>
        <w:tabs>
          <w:tab w:pos="962" w:val="left" w:leader="none"/>
        </w:tabs>
        <w:spacing w:line="240" w:lineRule="auto" w:before="0" w:after="0"/>
        <w:ind w:left="962" w:right="0" w:hanging="480"/>
        <w:jc w:val="left"/>
        <w:rPr>
          <w:sz w:val="24"/>
        </w:rPr>
      </w:pPr>
      <w:r>
        <w:rPr>
          <w:sz w:val="24"/>
        </w:rPr>
        <w:t>Seasonal</w:t>
      </w:r>
      <w:r>
        <w:rPr>
          <w:spacing w:val="-8"/>
          <w:sz w:val="24"/>
        </w:rPr>
        <w:t> </w:t>
      </w:r>
      <w:r>
        <w:rPr>
          <w:sz w:val="24"/>
        </w:rPr>
        <w:t>mean</w:t>
      </w:r>
      <w:r>
        <w:rPr>
          <w:spacing w:val="-5"/>
          <w:sz w:val="24"/>
        </w:rPr>
        <w:t> </w:t>
      </w:r>
      <w:r>
        <w:rPr>
          <w:sz w:val="24"/>
        </w:rPr>
        <w:t>concentrations</w:t>
      </w:r>
      <w:r>
        <w:rPr>
          <w:spacing w:val="-3"/>
          <w:sz w:val="24"/>
        </w:rPr>
        <w:t> </w:t>
      </w:r>
      <w:r>
        <w:rPr>
          <w:sz w:val="24"/>
        </w:rPr>
        <w:t>of</w:t>
      </w:r>
      <w:r>
        <w:rPr>
          <w:spacing w:val="-8"/>
          <w:sz w:val="24"/>
        </w:rPr>
        <w:t> </w:t>
      </w:r>
      <w:r>
        <w:rPr>
          <w:sz w:val="24"/>
        </w:rPr>
        <w:t>copper</w:t>
      </w:r>
      <w:r>
        <w:rPr>
          <w:spacing w:val="1"/>
          <w:sz w:val="24"/>
        </w:rPr>
        <w:t> </w:t>
      </w:r>
      <w:r>
        <w:rPr>
          <w:sz w:val="24"/>
        </w:rPr>
        <w:t>in</w:t>
      </w:r>
      <w:r>
        <w:rPr>
          <w:spacing w:val="-5"/>
          <w:sz w:val="24"/>
        </w:rPr>
        <w:t> </w:t>
      </w:r>
      <w:r>
        <w:rPr>
          <w:sz w:val="24"/>
        </w:rPr>
        <w:t>Rivers</w:t>
      </w:r>
      <w:r>
        <w:rPr>
          <w:spacing w:val="1"/>
          <w:sz w:val="24"/>
        </w:rPr>
        <w:t> </w:t>
      </w:r>
      <w:r>
        <w:rPr>
          <w:sz w:val="24"/>
        </w:rPr>
        <w:t>Kaduna,</w:t>
      </w:r>
      <w:r>
        <w:rPr>
          <w:spacing w:val="2"/>
          <w:sz w:val="24"/>
        </w:rPr>
        <w:t> </w:t>
      </w:r>
      <w:r>
        <w:rPr>
          <w:sz w:val="24"/>
        </w:rPr>
        <w:t>Sokoto</w:t>
      </w:r>
      <w:r>
        <w:rPr>
          <w:spacing w:val="-1"/>
          <w:sz w:val="24"/>
        </w:rPr>
        <w:t> </w:t>
      </w:r>
      <w:r>
        <w:rPr>
          <w:sz w:val="24"/>
        </w:rPr>
        <w:t>and </w:t>
      </w:r>
      <w:r>
        <w:rPr>
          <w:spacing w:val="-2"/>
          <w:sz w:val="24"/>
        </w:rPr>
        <w:t>Ngadda</w:t>
      </w:r>
    </w:p>
    <w:p>
      <w:pPr>
        <w:pStyle w:val="BodyText"/>
        <w:tabs>
          <w:tab w:pos="8886" w:val="left" w:leader="dot"/>
        </w:tabs>
        <w:spacing w:before="242"/>
        <w:ind w:left="905"/>
      </w:pPr>
      <w:r>
        <w:rPr/>
        <w:t>and</w:t>
      </w:r>
      <w:r>
        <w:rPr>
          <w:spacing w:val="-3"/>
        </w:rPr>
        <w:t> </w:t>
      </w:r>
      <w:r>
        <w:rPr/>
        <w:t>maximum</w:t>
      </w:r>
      <w:r>
        <w:rPr>
          <w:spacing w:val="-12"/>
        </w:rPr>
        <w:t> </w:t>
      </w:r>
      <w:r>
        <w:rPr/>
        <w:t>permissible</w:t>
      </w:r>
      <w:r>
        <w:rPr>
          <w:spacing w:val="-1"/>
        </w:rPr>
        <w:t> </w:t>
      </w:r>
      <w:r>
        <w:rPr/>
        <w:t>limit</w:t>
      </w:r>
      <w:r>
        <w:rPr>
          <w:spacing w:val="5"/>
        </w:rPr>
        <w:t> </w:t>
      </w:r>
      <w:r>
        <w:rPr/>
        <w:t>by</w:t>
      </w:r>
      <w:r>
        <w:rPr>
          <w:spacing w:val="-9"/>
        </w:rPr>
        <w:t> </w:t>
      </w:r>
      <w:r>
        <w:rPr/>
        <w:t>World health</w:t>
      </w:r>
      <w:r>
        <w:rPr>
          <w:spacing w:val="-7"/>
        </w:rPr>
        <w:t> </w:t>
      </w:r>
      <w:r>
        <w:rPr/>
        <w:t>organization, </w:t>
      </w:r>
      <w:r>
        <w:rPr>
          <w:spacing w:val="-4"/>
        </w:rPr>
        <w:t>2007</w:t>
      </w:r>
      <w:r>
        <w:rPr/>
        <w:tab/>
      </w:r>
      <w:r>
        <w:rPr>
          <w:spacing w:val="-5"/>
        </w:rPr>
        <w:t>91</w:t>
      </w:r>
    </w:p>
    <w:p>
      <w:pPr>
        <w:spacing w:after="0"/>
        <w:sectPr>
          <w:pgSz w:w="12240" w:h="15840"/>
          <w:pgMar w:header="0" w:footer="1012" w:top="1820" w:bottom="1200" w:left="1020" w:right="720"/>
        </w:sectPr>
      </w:pPr>
    </w:p>
    <w:p>
      <w:pPr>
        <w:pStyle w:val="ListParagraph"/>
        <w:numPr>
          <w:ilvl w:val="1"/>
          <w:numId w:val="12"/>
        </w:numPr>
        <w:tabs>
          <w:tab w:pos="904" w:val="left" w:leader="none"/>
        </w:tabs>
        <w:spacing w:line="240" w:lineRule="auto" w:before="126" w:after="0"/>
        <w:ind w:left="904" w:right="0" w:hanging="484"/>
        <w:jc w:val="left"/>
        <w:rPr>
          <w:sz w:val="24"/>
        </w:rPr>
      </w:pPr>
      <w:r>
        <w:rPr>
          <w:sz w:val="24"/>
        </w:rPr>
        <w:t>Seasonal</w:t>
      </w:r>
      <w:r>
        <w:rPr>
          <w:spacing w:val="-8"/>
          <w:sz w:val="24"/>
        </w:rPr>
        <w:t> </w:t>
      </w:r>
      <w:r>
        <w:rPr>
          <w:sz w:val="24"/>
        </w:rPr>
        <w:t>mean</w:t>
      </w:r>
      <w:r>
        <w:rPr>
          <w:spacing w:val="-6"/>
          <w:sz w:val="24"/>
        </w:rPr>
        <w:t> </w:t>
      </w:r>
      <w:r>
        <w:rPr>
          <w:sz w:val="24"/>
        </w:rPr>
        <w:t>concentrations</w:t>
      </w:r>
      <w:r>
        <w:rPr>
          <w:spacing w:val="-3"/>
          <w:sz w:val="24"/>
        </w:rPr>
        <w:t> </w:t>
      </w:r>
      <w:r>
        <w:rPr>
          <w:sz w:val="24"/>
        </w:rPr>
        <w:t>of</w:t>
      </w:r>
      <w:r>
        <w:rPr>
          <w:spacing w:val="-9"/>
          <w:sz w:val="24"/>
        </w:rPr>
        <w:t> </w:t>
      </w:r>
      <w:r>
        <w:rPr>
          <w:sz w:val="24"/>
        </w:rPr>
        <w:t>nickel</w:t>
      </w:r>
      <w:r>
        <w:rPr>
          <w:spacing w:val="-1"/>
          <w:sz w:val="24"/>
        </w:rPr>
        <w:t> </w:t>
      </w:r>
      <w:r>
        <w:rPr>
          <w:sz w:val="24"/>
        </w:rPr>
        <w:t>in</w:t>
      </w:r>
      <w:r>
        <w:rPr>
          <w:spacing w:val="-5"/>
          <w:sz w:val="24"/>
        </w:rPr>
        <w:t> </w:t>
      </w:r>
      <w:r>
        <w:rPr>
          <w:sz w:val="24"/>
        </w:rPr>
        <w:t>Rivers Kaduna,</w:t>
      </w:r>
      <w:r>
        <w:rPr>
          <w:spacing w:val="1"/>
          <w:sz w:val="24"/>
        </w:rPr>
        <w:t> </w:t>
      </w:r>
      <w:r>
        <w:rPr>
          <w:sz w:val="24"/>
        </w:rPr>
        <w:t>Sokoto</w:t>
      </w:r>
      <w:r>
        <w:rPr>
          <w:spacing w:val="-1"/>
          <w:sz w:val="24"/>
        </w:rPr>
        <w:t> </w:t>
      </w:r>
      <w:r>
        <w:rPr>
          <w:sz w:val="24"/>
        </w:rPr>
        <w:t>and</w:t>
      </w:r>
      <w:r>
        <w:rPr>
          <w:spacing w:val="-1"/>
          <w:sz w:val="24"/>
        </w:rPr>
        <w:t> </w:t>
      </w:r>
      <w:r>
        <w:rPr>
          <w:spacing w:val="-2"/>
          <w:sz w:val="24"/>
        </w:rPr>
        <w:t>Ngadda</w:t>
      </w:r>
    </w:p>
    <w:p>
      <w:pPr>
        <w:pStyle w:val="BodyText"/>
        <w:tabs>
          <w:tab w:pos="9006" w:val="right" w:leader="dot"/>
        </w:tabs>
        <w:spacing w:before="247"/>
        <w:ind w:left="905"/>
      </w:pPr>
      <w:r>
        <w:rPr/>
        <w:t>and</w:t>
      </w:r>
      <w:r>
        <w:rPr>
          <w:spacing w:val="-2"/>
        </w:rPr>
        <w:t> </w:t>
      </w:r>
      <w:r>
        <w:rPr/>
        <w:t>maximum</w:t>
      </w:r>
      <w:r>
        <w:rPr>
          <w:spacing w:val="-12"/>
        </w:rPr>
        <w:t> </w:t>
      </w:r>
      <w:r>
        <w:rPr/>
        <w:t>permissible</w:t>
      </w:r>
      <w:r>
        <w:rPr>
          <w:spacing w:val="-1"/>
        </w:rPr>
        <w:t> </w:t>
      </w:r>
      <w:r>
        <w:rPr/>
        <w:t>limit</w:t>
      </w:r>
      <w:r>
        <w:rPr>
          <w:spacing w:val="4"/>
        </w:rPr>
        <w:t> </w:t>
      </w:r>
      <w:r>
        <w:rPr/>
        <w:t>by</w:t>
      </w:r>
      <w:r>
        <w:rPr>
          <w:spacing w:val="-9"/>
        </w:rPr>
        <w:t> </w:t>
      </w:r>
      <w:r>
        <w:rPr/>
        <w:t>World</w:t>
      </w:r>
      <w:r>
        <w:rPr>
          <w:spacing w:val="-1"/>
        </w:rPr>
        <w:t> </w:t>
      </w:r>
      <w:r>
        <w:rPr/>
        <w:t>health</w:t>
      </w:r>
      <w:r>
        <w:rPr>
          <w:spacing w:val="-3"/>
        </w:rPr>
        <w:t> </w:t>
      </w:r>
      <w:r>
        <w:rPr/>
        <w:t>organization,</w:t>
      </w:r>
      <w:r>
        <w:rPr>
          <w:spacing w:val="-1"/>
        </w:rPr>
        <w:t> </w:t>
      </w:r>
      <w:r>
        <w:rPr>
          <w:spacing w:val="-4"/>
        </w:rPr>
        <w:t>2007</w:t>
      </w:r>
      <w:r>
        <w:rPr/>
        <w:tab/>
      </w:r>
      <w:r>
        <w:rPr>
          <w:spacing w:val="-5"/>
        </w:rPr>
        <w:t>92</w:t>
      </w:r>
    </w:p>
    <w:p>
      <w:pPr>
        <w:pStyle w:val="ListParagraph"/>
        <w:numPr>
          <w:ilvl w:val="1"/>
          <w:numId w:val="12"/>
        </w:numPr>
        <w:tabs>
          <w:tab w:pos="961" w:val="left" w:leader="none"/>
        </w:tabs>
        <w:spacing w:line="240" w:lineRule="auto" w:before="550" w:after="0"/>
        <w:ind w:left="961" w:right="0" w:hanging="479"/>
        <w:jc w:val="left"/>
        <w:rPr>
          <w:sz w:val="24"/>
        </w:rPr>
      </w:pPr>
      <w:r>
        <w:rPr>
          <w:sz w:val="24"/>
        </w:rPr>
        <w:t>Seasonal</w:t>
      </w:r>
      <w:r>
        <w:rPr>
          <w:spacing w:val="-8"/>
          <w:sz w:val="24"/>
        </w:rPr>
        <w:t> </w:t>
      </w:r>
      <w:r>
        <w:rPr>
          <w:sz w:val="24"/>
        </w:rPr>
        <w:t>mean</w:t>
      </w:r>
      <w:r>
        <w:rPr>
          <w:spacing w:val="-6"/>
          <w:sz w:val="24"/>
        </w:rPr>
        <w:t> </w:t>
      </w:r>
      <w:r>
        <w:rPr>
          <w:sz w:val="24"/>
        </w:rPr>
        <w:t>concentrations</w:t>
      </w:r>
      <w:r>
        <w:rPr>
          <w:spacing w:val="-3"/>
          <w:sz w:val="24"/>
        </w:rPr>
        <w:t> </w:t>
      </w:r>
      <w:r>
        <w:rPr>
          <w:sz w:val="24"/>
        </w:rPr>
        <w:t>of</w:t>
      </w:r>
      <w:r>
        <w:rPr>
          <w:spacing w:val="-3"/>
          <w:sz w:val="24"/>
        </w:rPr>
        <w:t> </w:t>
      </w:r>
      <w:r>
        <w:rPr>
          <w:sz w:val="24"/>
        </w:rPr>
        <w:t>lead</w:t>
      </w:r>
      <w:r>
        <w:rPr>
          <w:spacing w:val="4"/>
          <w:sz w:val="24"/>
        </w:rPr>
        <w:t> </w:t>
      </w:r>
      <w:r>
        <w:rPr>
          <w:sz w:val="24"/>
        </w:rPr>
        <w:t>in</w:t>
      </w:r>
      <w:r>
        <w:rPr>
          <w:spacing w:val="-6"/>
          <w:sz w:val="24"/>
        </w:rPr>
        <w:t> </w:t>
      </w:r>
      <w:r>
        <w:rPr>
          <w:sz w:val="24"/>
        </w:rPr>
        <w:t>Rivers</w:t>
      </w:r>
      <w:r>
        <w:rPr>
          <w:spacing w:val="-3"/>
          <w:sz w:val="24"/>
        </w:rPr>
        <w:t> </w:t>
      </w:r>
      <w:r>
        <w:rPr>
          <w:sz w:val="24"/>
        </w:rPr>
        <w:t>Kaduna,</w:t>
      </w:r>
      <w:r>
        <w:rPr>
          <w:spacing w:val="1"/>
          <w:sz w:val="24"/>
        </w:rPr>
        <w:t> </w:t>
      </w:r>
      <w:r>
        <w:rPr>
          <w:sz w:val="24"/>
        </w:rPr>
        <w:t>Sokoto</w:t>
      </w:r>
      <w:r>
        <w:rPr>
          <w:spacing w:val="-1"/>
          <w:sz w:val="24"/>
        </w:rPr>
        <w:t> </w:t>
      </w:r>
      <w:r>
        <w:rPr>
          <w:sz w:val="24"/>
        </w:rPr>
        <w:t>and </w:t>
      </w:r>
      <w:r>
        <w:rPr>
          <w:spacing w:val="-2"/>
          <w:sz w:val="24"/>
        </w:rPr>
        <w:t>Ngadda</w:t>
      </w:r>
    </w:p>
    <w:p>
      <w:pPr>
        <w:pStyle w:val="BodyText"/>
        <w:tabs>
          <w:tab w:pos="9006" w:val="right" w:leader="dot"/>
        </w:tabs>
        <w:spacing w:before="247"/>
        <w:ind w:left="1025"/>
      </w:pPr>
      <w:r>
        <w:rPr/>
        <w:t>and</w:t>
      </w:r>
      <w:r>
        <w:rPr>
          <w:spacing w:val="-2"/>
        </w:rPr>
        <w:t> </w:t>
      </w:r>
      <w:r>
        <w:rPr/>
        <w:t>maximum</w:t>
      </w:r>
      <w:r>
        <w:rPr>
          <w:spacing w:val="-12"/>
        </w:rPr>
        <w:t> </w:t>
      </w:r>
      <w:r>
        <w:rPr/>
        <w:t>permissible limit</w:t>
      </w:r>
      <w:r>
        <w:rPr>
          <w:spacing w:val="6"/>
        </w:rPr>
        <w:t> </w:t>
      </w:r>
      <w:r>
        <w:rPr/>
        <w:t>by</w:t>
      </w:r>
      <w:r>
        <w:rPr>
          <w:spacing w:val="-8"/>
        </w:rPr>
        <w:t> </w:t>
      </w:r>
      <w:r>
        <w:rPr/>
        <w:t>World health</w:t>
      </w:r>
      <w:r>
        <w:rPr>
          <w:spacing w:val="-7"/>
        </w:rPr>
        <w:t> </w:t>
      </w:r>
      <w:r>
        <w:rPr/>
        <w:t>organization,</w:t>
      </w:r>
      <w:r>
        <w:rPr>
          <w:spacing w:val="1"/>
        </w:rPr>
        <w:t> </w:t>
      </w:r>
      <w:r>
        <w:rPr>
          <w:spacing w:val="-4"/>
        </w:rPr>
        <w:t>2007</w:t>
      </w:r>
      <w:r>
        <w:rPr/>
        <w:tab/>
      </w:r>
      <w:r>
        <w:rPr>
          <w:spacing w:val="-5"/>
        </w:rPr>
        <w:t>93</w:t>
      </w:r>
    </w:p>
    <w:p>
      <w:pPr>
        <w:pStyle w:val="ListParagraph"/>
        <w:numPr>
          <w:ilvl w:val="1"/>
          <w:numId w:val="12"/>
        </w:numPr>
        <w:tabs>
          <w:tab w:pos="961" w:val="left" w:leader="none"/>
        </w:tabs>
        <w:spacing w:line="240" w:lineRule="auto" w:before="555" w:after="0"/>
        <w:ind w:left="961" w:right="0" w:hanging="479"/>
        <w:jc w:val="left"/>
        <w:rPr>
          <w:sz w:val="24"/>
        </w:rPr>
      </w:pPr>
      <w:r>
        <w:rPr>
          <w:sz w:val="24"/>
        </w:rPr>
        <w:t>Seasonal</w:t>
      </w:r>
      <w:r>
        <w:rPr>
          <w:spacing w:val="-9"/>
          <w:sz w:val="24"/>
        </w:rPr>
        <w:t> </w:t>
      </w:r>
      <w:r>
        <w:rPr>
          <w:sz w:val="24"/>
        </w:rPr>
        <w:t>mean</w:t>
      </w:r>
      <w:r>
        <w:rPr>
          <w:spacing w:val="-6"/>
          <w:sz w:val="24"/>
        </w:rPr>
        <w:t> </w:t>
      </w:r>
      <w:r>
        <w:rPr>
          <w:sz w:val="24"/>
        </w:rPr>
        <w:t>concentrations</w:t>
      </w:r>
      <w:r>
        <w:rPr>
          <w:spacing w:val="-3"/>
          <w:sz w:val="24"/>
        </w:rPr>
        <w:t> </w:t>
      </w:r>
      <w:r>
        <w:rPr>
          <w:sz w:val="24"/>
        </w:rPr>
        <w:t>of</w:t>
      </w:r>
      <w:r>
        <w:rPr>
          <w:spacing w:val="-9"/>
          <w:sz w:val="24"/>
        </w:rPr>
        <w:t> </w:t>
      </w:r>
      <w:r>
        <w:rPr>
          <w:sz w:val="24"/>
        </w:rPr>
        <w:t>arsenic</w:t>
      </w:r>
      <w:r>
        <w:rPr>
          <w:spacing w:val="3"/>
          <w:sz w:val="24"/>
        </w:rPr>
        <w:t> </w:t>
      </w:r>
      <w:r>
        <w:rPr>
          <w:sz w:val="24"/>
        </w:rPr>
        <w:t>in</w:t>
      </w:r>
      <w:r>
        <w:rPr>
          <w:spacing w:val="-6"/>
          <w:sz w:val="24"/>
        </w:rPr>
        <w:t> </w:t>
      </w:r>
      <w:r>
        <w:rPr>
          <w:sz w:val="24"/>
        </w:rPr>
        <w:t>Rivers Kaduna,</w:t>
      </w:r>
      <w:r>
        <w:rPr>
          <w:spacing w:val="1"/>
          <w:sz w:val="24"/>
        </w:rPr>
        <w:t> </w:t>
      </w:r>
      <w:r>
        <w:rPr>
          <w:sz w:val="24"/>
        </w:rPr>
        <w:t>Sokoto</w:t>
      </w:r>
      <w:r>
        <w:rPr>
          <w:spacing w:val="-1"/>
          <w:sz w:val="24"/>
        </w:rPr>
        <w:t> </w:t>
      </w:r>
      <w:r>
        <w:rPr>
          <w:sz w:val="24"/>
        </w:rPr>
        <w:t>and</w:t>
      </w:r>
      <w:r>
        <w:rPr>
          <w:spacing w:val="-1"/>
          <w:sz w:val="24"/>
        </w:rPr>
        <w:t> </w:t>
      </w:r>
      <w:r>
        <w:rPr>
          <w:spacing w:val="-2"/>
          <w:sz w:val="24"/>
        </w:rPr>
        <w:t>Ngadda</w:t>
      </w:r>
    </w:p>
    <w:p>
      <w:pPr>
        <w:pStyle w:val="BodyText"/>
        <w:tabs>
          <w:tab w:pos="9006" w:val="right" w:leader="dot"/>
        </w:tabs>
        <w:spacing w:before="247"/>
        <w:ind w:left="1025"/>
      </w:pPr>
      <w:r>
        <w:rPr/>
        <w:t>and</w:t>
      </w:r>
      <w:r>
        <w:rPr>
          <w:spacing w:val="-2"/>
        </w:rPr>
        <w:t> </w:t>
      </w:r>
      <w:r>
        <w:rPr/>
        <w:t>maximum</w:t>
      </w:r>
      <w:r>
        <w:rPr>
          <w:spacing w:val="-12"/>
        </w:rPr>
        <w:t> </w:t>
      </w:r>
      <w:r>
        <w:rPr/>
        <w:t>permissible limit</w:t>
      </w:r>
      <w:r>
        <w:rPr>
          <w:spacing w:val="6"/>
        </w:rPr>
        <w:t> </w:t>
      </w:r>
      <w:r>
        <w:rPr/>
        <w:t>by</w:t>
      </w:r>
      <w:r>
        <w:rPr>
          <w:spacing w:val="-8"/>
        </w:rPr>
        <w:t> </w:t>
      </w:r>
      <w:r>
        <w:rPr/>
        <w:t>World health</w:t>
      </w:r>
      <w:r>
        <w:rPr>
          <w:spacing w:val="-7"/>
        </w:rPr>
        <w:t> </w:t>
      </w:r>
      <w:r>
        <w:rPr/>
        <w:t>organization,</w:t>
      </w:r>
      <w:r>
        <w:rPr>
          <w:spacing w:val="1"/>
        </w:rPr>
        <w:t> </w:t>
      </w:r>
      <w:r>
        <w:rPr>
          <w:spacing w:val="-4"/>
        </w:rPr>
        <w:t>2007</w:t>
      </w:r>
      <w:r>
        <w:rPr/>
        <w:tab/>
      </w:r>
      <w:r>
        <w:rPr>
          <w:spacing w:val="-5"/>
        </w:rPr>
        <w:t>94</w:t>
      </w:r>
    </w:p>
    <w:p>
      <w:pPr>
        <w:spacing w:after="0"/>
        <w:sectPr>
          <w:pgSz w:w="12240" w:h="15840"/>
          <w:pgMar w:header="0" w:footer="1012" w:top="1820" w:bottom="1200" w:left="1020" w:right="720"/>
        </w:sectPr>
      </w:pPr>
    </w:p>
    <w:p>
      <w:pPr>
        <w:pStyle w:val="Heading2"/>
        <w:tabs>
          <w:tab w:pos="8766" w:val="left" w:leader="none"/>
        </w:tabs>
        <w:spacing w:before="72"/>
        <w:ind w:left="665"/>
      </w:pPr>
      <w:r>
        <w:rPr/>
        <w:t>List of</w:t>
      </w:r>
      <w:r>
        <w:rPr>
          <w:spacing w:val="-2"/>
        </w:rPr>
        <w:t> Tables</w:t>
      </w:r>
      <w:r>
        <w:rPr/>
        <w:tab/>
      </w:r>
      <w:r>
        <w:rPr>
          <w:spacing w:val="-4"/>
        </w:rPr>
        <w:t>Page</w:t>
      </w:r>
    </w:p>
    <w:p>
      <w:pPr>
        <w:pStyle w:val="ListParagraph"/>
        <w:numPr>
          <w:ilvl w:val="1"/>
          <w:numId w:val="13"/>
        </w:numPr>
        <w:tabs>
          <w:tab w:pos="841" w:val="left" w:leader="none"/>
        </w:tabs>
        <w:spacing w:line="240" w:lineRule="auto" w:before="238" w:after="0"/>
        <w:ind w:left="841" w:right="0" w:hanging="359"/>
        <w:jc w:val="left"/>
        <w:rPr>
          <w:sz w:val="24"/>
        </w:rPr>
      </w:pPr>
      <w:r>
        <w:rPr>
          <w:sz w:val="24"/>
        </w:rPr>
        <w:t>Percentage</w:t>
      </w:r>
      <w:r>
        <w:rPr>
          <w:spacing w:val="-5"/>
          <w:sz w:val="24"/>
        </w:rPr>
        <w:t> </w:t>
      </w:r>
      <w:r>
        <w:rPr>
          <w:sz w:val="24"/>
        </w:rPr>
        <w:t>recovery</w:t>
      </w:r>
      <w:r>
        <w:rPr>
          <w:spacing w:val="-12"/>
          <w:sz w:val="24"/>
        </w:rPr>
        <w:t> </w:t>
      </w:r>
      <w:r>
        <w:rPr>
          <w:sz w:val="24"/>
        </w:rPr>
        <w:t>and</w:t>
      </w:r>
      <w:r>
        <w:rPr>
          <w:spacing w:val="-3"/>
          <w:sz w:val="24"/>
        </w:rPr>
        <w:t> </w:t>
      </w:r>
      <w:r>
        <w:rPr>
          <w:sz w:val="24"/>
        </w:rPr>
        <w:t>precision</w:t>
      </w:r>
      <w:r>
        <w:rPr>
          <w:spacing w:val="-3"/>
          <w:sz w:val="24"/>
        </w:rPr>
        <w:t> </w:t>
      </w:r>
      <w:r>
        <w:rPr>
          <w:sz w:val="24"/>
        </w:rPr>
        <w:t>for</w:t>
      </w:r>
      <w:r>
        <w:rPr>
          <w:spacing w:val="-2"/>
          <w:sz w:val="24"/>
        </w:rPr>
        <w:t> </w:t>
      </w:r>
      <w:r>
        <w:rPr>
          <w:sz w:val="24"/>
        </w:rPr>
        <w:t>zinc,</w:t>
      </w:r>
      <w:r>
        <w:rPr>
          <w:spacing w:val="-1"/>
          <w:sz w:val="24"/>
        </w:rPr>
        <w:t> </w:t>
      </w:r>
      <w:r>
        <w:rPr>
          <w:sz w:val="24"/>
        </w:rPr>
        <w:t>copper,</w:t>
      </w:r>
      <w:r>
        <w:rPr>
          <w:spacing w:val="-2"/>
          <w:sz w:val="24"/>
        </w:rPr>
        <w:t> </w:t>
      </w:r>
      <w:r>
        <w:rPr>
          <w:sz w:val="24"/>
        </w:rPr>
        <w:t>nickel,</w:t>
      </w:r>
      <w:r>
        <w:rPr>
          <w:spacing w:val="4"/>
          <w:sz w:val="24"/>
        </w:rPr>
        <w:t> </w:t>
      </w:r>
      <w:r>
        <w:rPr>
          <w:sz w:val="24"/>
        </w:rPr>
        <w:t>lead</w:t>
      </w:r>
      <w:r>
        <w:rPr>
          <w:spacing w:val="-3"/>
          <w:sz w:val="24"/>
        </w:rPr>
        <w:t> </w:t>
      </w:r>
      <w:r>
        <w:rPr>
          <w:sz w:val="24"/>
        </w:rPr>
        <w:t>and</w:t>
      </w:r>
      <w:r>
        <w:rPr>
          <w:spacing w:val="-3"/>
          <w:sz w:val="24"/>
        </w:rPr>
        <w:t> </w:t>
      </w:r>
      <w:r>
        <w:rPr>
          <w:spacing w:val="-2"/>
          <w:sz w:val="24"/>
        </w:rPr>
        <w:t>arsenic</w:t>
      </w:r>
    </w:p>
    <w:p>
      <w:pPr>
        <w:pStyle w:val="BodyText"/>
        <w:tabs>
          <w:tab w:pos="3858" w:val="left" w:leader="none"/>
          <w:tab w:pos="8958" w:val="left" w:leader="none"/>
        </w:tabs>
        <w:spacing w:before="247"/>
        <w:ind w:left="842"/>
      </w:pPr>
      <w:r>
        <w:rPr/>
        <w:t>in</w:t>
      </w:r>
      <w:r>
        <w:rPr>
          <w:spacing w:val="-3"/>
        </w:rPr>
        <w:t> </w:t>
      </w:r>
      <w:r>
        <w:rPr/>
        <w:t>feeds</w:t>
      </w:r>
      <w:r>
        <w:rPr>
          <w:spacing w:val="-5"/>
        </w:rPr>
        <w:t> </w:t>
      </w:r>
      <w:r>
        <w:rPr/>
        <w:t>and</w:t>
      </w:r>
      <w:r>
        <w:rPr>
          <w:spacing w:val="1"/>
        </w:rPr>
        <w:t> </w:t>
      </w:r>
      <w:r>
        <w:rPr/>
        <w:t>manure</w:t>
      </w:r>
      <w:r>
        <w:rPr>
          <w:spacing w:val="-3"/>
        </w:rPr>
        <w:t> </w:t>
      </w:r>
      <w:r>
        <w:rPr>
          <w:spacing w:val="-2"/>
        </w:rPr>
        <w:t>samples</w:t>
      </w:r>
      <w:r>
        <w:rPr/>
        <w:tab/>
        <w:t>…………………………………………</w:t>
      </w:r>
      <w:r>
        <w:rPr>
          <w:spacing w:val="-3"/>
        </w:rPr>
        <w:t> </w:t>
      </w:r>
      <w:r>
        <w:rPr>
          <w:spacing w:val="-5"/>
        </w:rPr>
        <w:t>………</w:t>
      </w:r>
      <w:r>
        <w:rPr/>
        <w:tab/>
      </w:r>
      <w:r>
        <w:rPr>
          <w:spacing w:val="-5"/>
        </w:rPr>
        <w:t>63</w:t>
      </w:r>
    </w:p>
    <w:p>
      <w:pPr>
        <w:pStyle w:val="BodyText"/>
        <w:spacing w:before="274"/>
      </w:pPr>
    </w:p>
    <w:p>
      <w:pPr>
        <w:pStyle w:val="BodyText"/>
        <w:tabs>
          <w:tab w:pos="9020" w:val="left" w:leader="none"/>
        </w:tabs>
        <w:ind w:left="482"/>
      </w:pPr>
      <w:r>
        <w:rPr/>
        <w:t>4.6</w:t>
      </w:r>
      <w:r>
        <w:rPr>
          <w:spacing w:val="-6"/>
        </w:rPr>
        <w:t> </w:t>
      </w:r>
      <w:r>
        <w:rPr/>
        <w:t>Levels</w:t>
      </w:r>
      <w:r>
        <w:rPr>
          <w:spacing w:val="-2"/>
        </w:rPr>
        <w:t> </w:t>
      </w:r>
      <w:r>
        <w:rPr/>
        <w:t>of</w:t>
      </w:r>
      <w:r>
        <w:rPr>
          <w:spacing w:val="-8"/>
        </w:rPr>
        <w:t> </w:t>
      </w:r>
      <w:r>
        <w:rPr/>
        <w:t>pH and Temperature</w:t>
      </w:r>
      <w:r>
        <w:rPr>
          <w:spacing w:val="-1"/>
        </w:rPr>
        <w:t> </w:t>
      </w:r>
      <w:r>
        <w:rPr/>
        <w:t>ºC</w:t>
      </w:r>
      <w:r>
        <w:rPr>
          <w:spacing w:val="-3"/>
        </w:rPr>
        <w:t> </w:t>
      </w:r>
      <w:r>
        <w:rPr/>
        <w:t>measured</w:t>
      </w:r>
      <w:r>
        <w:rPr>
          <w:spacing w:val="4"/>
        </w:rPr>
        <w:t> </w:t>
      </w:r>
      <w:r>
        <w:rPr/>
        <w:t>in</w:t>
      </w:r>
      <w:r>
        <w:rPr>
          <w:spacing w:val="-1"/>
        </w:rPr>
        <w:t> </w:t>
      </w:r>
      <w:r>
        <w:rPr/>
        <w:t>water</w:t>
      </w:r>
      <w:r>
        <w:rPr>
          <w:spacing w:val="-3"/>
        </w:rPr>
        <w:t> </w:t>
      </w:r>
      <w:r>
        <w:rPr/>
        <w:t>samples</w:t>
      </w:r>
      <w:r>
        <w:rPr>
          <w:spacing w:val="-1"/>
        </w:rPr>
        <w:t> </w:t>
      </w:r>
      <w:r>
        <w:rPr>
          <w:spacing w:val="-2"/>
        </w:rPr>
        <w:t>………………….</w:t>
      </w:r>
      <w:r>
        <w:rPr/>
        <w:tab/>
      </w:r>
      <w:r>
        <w:rPr>
          <w:spacing w:val="-5"/>
        </w:rPr>
        <w:t>89</w:t>
      </w:r>
    </w:p>
    <w:p>
      <w:pPr>
        <w:spacing w:after="0"/>
        <w:sectPr>
          <w:pgSz w:w="12240" w:h="15840"/>
          <w:pgMar w:header="0" w:footer="1012" w:top="1360" w:bottom="1200" w:left="1020" w:right="720"/>
        </w:sectPr>
      </w:pPr>
    </w:p>
    <w:p>
      <w:pPr>
        <w:pStyle w:val="Heading2"/>
        <w:tabs>
          <w:tab w:pos="8468" w:val="left" w:leader="none"/>
        </w:tabs>
        <w:spacing w:before="72"/>
        <w:ind w:left="963"/>
      </w:pPr>
      <w:r>
        <w:rPr/>
        <w:t>List of</w:t>
      </w:r>
      <w:r>
        <w:rPr>
          <w:spacing w:val="-2"/>
        </w:rPr>
        <w:t> Appendices</w:t>
      </w:r>
      <w:r>
        <w:rPr/>
        <w:tab/>
      </w:r>
      <w:r>
        <w:rPr>
          <w:spacing w:val="-4"/>
        </w:rPr>
        <w:t>Page</w:t>
      </w:r>
    </w:p>
    <w:p>
      <w:pPr>
        <w:pStyle w:val="BodyText"/>
        <w:spacing w:before="62"/>
        <w:rPr>
          <w:b/>
        </w:rPr>
      </w:pPr>
    </w:p>
    <w:p>
      <w:pPr>
        <w:pStyle w:val="ListParagraph"/>
        <w:numPr>
          <w:ilvl w:val="0"/>
          <w:numId w:val="14"/>
        </w:numPr>
        <w:tabs>
          <w:tab w:pos="1443" w:val="left" w:leader="none"/>
          <w:tab w:pos="1500" w:val="left" w:leader="none"/>
        </w:tabs>
        <w:spacing w:line="360" w:lineRule="auto" w:before="0" w:after="0"/>
        <w:ind w:left="1443" w:right="2665" w:hanging="303"/>
        <w:jc w:val="left"/>
        <w:rPr>
          <w:sz w:val="24"/>
        </w:rPr>
      </w:pPr>
      <w:r>
        <w:rPr>
          <w:sz w:val="24"/>
        </w:rPr>
        <w:tab/>
        <w:t>Atomic</w:t>
      </w:r>
      <w:r>
        <w:rPr>
          <w:spacing w:val="-8"/>
          <w:sz w:val="24"/>
        </w:rPr>
        <w:t> </w:t>
      </w:r>
      <w:r>
        <w:rPr>
          <w:sz w:val="24"/>
        </w:rPr>
        <w:t>absorption</w:t>
      </w:r>
      <w:r>
        <w:rPr>
          <w:spacing w:val="-11"/>
          <w:sz w:val="24"/>
        </w:rPr>
        <w:t> </w:t>
      </w:r>
      <w:r>
        <w:rPr>
          <w:sz w:val="24"/>
        </w:rPr>
        <w:t>Spectroscopic</w:t>
      </w:r>
      <w:r>
        <w:rPr>
          <w:spacing w:val="-8"/>
          <w:sz w:val="24"/>
        </w:rPr>
        <w:t> </w:t>
      </w:r>
      <w:r>
        <w:rPr>
          <w:sz w:val="24"/>
        </w:rPr>
        <w:t>print</w:t>
      </w:r>
      <w:r>
        <w:rPr>
          <w:spacing w:val="-3"/>
          <w:sz w:val="24"/>
        </w:rPr>
        <w:t> </w:t>
      </w:r>
      <w:r>
        <w:rPr>
          <w:sz w:val="24"/>
        </w:rPr>
        <w:t>out</w:t>
      </w:r>
      <w:r>
        <w:rPr>
          <w:spacing w:val="-7"/>
          <w:sz w:val="24"/>
        </w:rPr>
        <w:t> </w:t>
      </w:r>
      <w:r>
        <w:rPr>
          <w:sz w:val="24"/>
        </w:rPr>
        <w:t>(AAS) from</w:t>
      </w:r>
      <w:r>
        <w:rPr>
          <w:spacing w:val="-11"/>
          <w:sz w:val="24"/>
        </w:rPr>
        <w:t> </w:t>
      </w:r>
      <w:r>
        <w:rPr>
          <w:sz w:val="24"/>
        </w:rPr>
        <w:t>Advanced chemistry laboratory Sheda, Abuja of zinc concentrations in</w:t>
      </w:r>
    </w:p>
    <w:p>
      <w:pPr>
        <w:pStyle w:val="BodyText"/>
        <w:tabs>
          <w:tab w:pos="8487" w:val="left" w:leader="dot"/>
        </w:tabs>
        <w:spacing w:line="274" w:lineRule="exact"/>
        <w:ind w:left="1443"/>
      </w:pPr>
      <w:r>
        <w:rPr/>
        <w:t>fish</w:t>
      </w:r>
      <w:r>
        <w:rPr>
          <w:spacing w:val="-3"/>
        </w:rPr>
        <w:t> </w:t>
      </w:r>
      <w:r>
        <w:rPr/>
        <w:t>feed</w:t>
      </w:r>
      <w:r>
        <w:rPr>
          <w:spacing w:val="-2"/>
        </w:rPr>
        <w:t> </w:t>
      </w:r>
      <w:r>
        <w:rPr/>
        <w:t>samples</w:t>
      </w:r>
      <w:r>
        <w:rPr>
          <w:spacing w:val="3"/>
        </w:rPr>
        <w:t> </w:t>
      </w:r>
      <w:r>
        <w:rPr/>
        <w:t>in</w:t>
      </w:r>
      <w:r>
        <w:rPr>
          <w:spacing w:val="-7"/>
        </w:rPr>
        <w:t> </w:t>
      </w:r>
      <w:r>
        <w:rPr/>
        <w:t>Northern</w:t>
      </w:r>
      <w:r>
        <w:rPr>
          <w:spacing w:val="-6"/>
        </w:rPr>
        <w:t> </w:t>
      </w:r>
      <w:r>
        <w:rPr>
          <w:spacing w:val="-2"/>
        </w:rPr>
        <w:t>Nigeria</w:t>
      </w:r>
      <w:r>
        <w:rPr/>
        <w:tab/>
      </w:r>
      <w:r>
        <w:rPr>
          <w:spacing w:val="-2"/>
        </w:rPr>
        <w:t>xviii.</w:t>
      </w:r>
    </w:p>
    <w:p>
      <w:pPr>
        <w:pStyle w:val="BodyText"/>
      </w:pPr>
    </w:p>
    <w:p>
      <w:pPr>
        <w:pStyle w:val="ListParagraph"/>
        <w:numPr>
          <w:ilvl w:val="0"/>
          <w:numId w:val="14"/>
        </w:numPr>
        <w:tabs>
          <w:tab w:pos="1500" w:val="left" w:leader="none"/>
          <w:tab w:pos="1563" w:val="left" w:leader="none"/>
        </w:tabs>
        <w:spacing w:line="362" w:lineRule="auto" w:before="1" w:after="0"/>
        <w:ind w:left="1563" w:right="2664" w:hanging="423"/>
        <w:jc w:val="left"/>
        <w:rPr>
          <w:sz w:val="24"/>
        </w:rPr>
      </w:pPr>
      <w:r>
        <w:rPr>
          <w:sz w:val="24"/>
        </w:rPr>
        <w:t>Atomic</w:t>
      </w:r>
      <w:r>
        <w:rPr>
          <w:spacing w:val="-8"/>
          <w:sz w:val="24"/>
        </w:rPr>
        <w:t> </w:t>
      </w:r>
      <w:r>
        <w:rPr>
          <w:sz w:val="24"/>
        </w:rPr>
        <w:t>absorption</w:t>
      </w:r>
      <w:r>
        <w:rPr>
          <w:spacing w:val="-11"/>
          <w:sz w:val="24"/>
        </w:rPr>
        <w:t> </w:t>
      </w:r>
      <w:r>
        <w:rPr>
          <w:sz w:val="24"/>
        </w:rPr>
        <w:t>Spectroscopic</w:t>
      </w:r>
      <w:r>
        <w:rPr>
          <w:spacing w:val="-8"/>
          <w:sz w:val="24"/>
        </w:rPr>
        <w:t> </w:t>
      </w:r>
      <w:r>
        <w:rPr>
          <w:sz w:val="24"/>
        </w:rPr>
        <w:t>print</w:t>
      </w:r>
      <w:r>
        <w:rPr>
          <w:spacing w:val="-3"/>
          <w:sz w:val="24"/>
        </w:rPr>
        <w:t> </w:t>
      </w:r>
      <w:r>
        <w:rPr>
          <w:sz w:val="24"/>
        </w:rPr>
        <w:t>out</w:t>
      </w:r>
      <w:r>
        <w:rPr>
          <w:spacing w:val="-7"/>
          <w:sz w:val="24"/>
        </w:rPr>
        <w:t> </w:t>
      </w:r>
      <w:r>
        <w:rPr>
          <w:sz w:val="24"/>
        </w:rPr>
        <w:t>(AAS)</w:t>
      </w:r>
      <w:r>
        <w:rPr>
          <w:spacing w:val="-6"/>
          <w:sz w:val="24"/>
        </w:rPr>
        <w:t> </w:t>
      </w:r>
      <w:r>
        <w:rPr>
          <w:sz w:val="24"/>
        </w:rPr>
        <w:t>from</w:t>
      </w:r>
      <w:r>
        <w:rPr>
          <w:spacing w:val="-4"/>
          <w:sz w:val="24"/>
        </w:rPr>
        <w:t> </w:t>
      </w:r>
      <w:r>
        <w:rPr>
          <w:sz w:val="24"/>
        </w:rPr>
        <w:t>Advanced chemistry laboratory Sheda, Abuja of zinc</w:t>
      </w:r>
    </w:p>
    <w:p>
      <w:pPr>
        <w:pStyle w:val="BodyText"/>
        <w:tabs>
          <w:tab w:pos="8511" w:val="left" w:leader="dot"/>
        </w:tabs>
        <w:spacing w:line="273" w:lineRule="exact"/>
        <w:ind w:left="1501"/>
      </w:pPr>
      <w:r>
        <w:rPr/>
        <w:t>concentrations</w:t>
      </w:r>
      <w:r>
        <w:rPr>
          <w:spacing w:val="-3"/>
        </w:rPr>
        <w:t> </w:t>
      </w:r>
      <w:r>
        <w:rPr/>
        <w:t>in</w:t>
      </w:r>
      <w:r>
        <w:rPr>
          <w:spacing w:val="-2"/>
        </w:rPr>
        <w:t> </w:t>
      </w:r>
      <w:r>
        <w:rPr/>
        <w:t>fish</w:t>
      </w:r>
      <w:r>
        <w:rPr>
          <w:spacing w:val="-2"/>
        </w:rPr>
        <w:t> </w:t>
      </w:r>
      <w:r>
        <w:rPr/>
        <w:t>feed</w:t>
      </w:r>
      <w:r>
        <w:rPr>
          <w:spacing w:val="-2"/>
        </w:rPr>
        <w:t> </w:t>
      </w:r>
      <w:r>
        <w:rPr/>
        <w:t>samples in</w:t>
      </w:r>
      <w:r>
        <w:rPr>
          <w:spacing w:val="-7"/>
        </w:rPr>
        <w:t> </w:t>
      </w:r>
      <w:r>
        <w:rPr/>
        <w:t>Northern</w:t>
      </w:r>
      <w:r>
        <w:rPr>
          <w:spacing w:val="-6"/>
        </w:rPr>
        <w:t> </w:t>
      </w:r>
      <w:r>
        <w:rPr>
          <w:spacing w:val="-2"/>
        </w:rPr>
        <w:t>Nigeria</w:t>
      </w:r>
      <w:r>
        <w:rPr/>
        <w:tab/>
      </w:r>
      <w:r>
        <w:rPr>
          <w:spacing w:val="-4"/>
        </w:rPr>
        <w:t>xix.</w:t>
      </w:r>
    </w:p>
    <w:p>
      <w:pPr>
        <w:pStyle w:val="ListParagraph"/>
        <w:numPr>
          <w:ilvl w:val="0"/>
          <w:numId w:val="14"/>
        </w:numPr>
        <w:tabs>
          <w:tab w:pos="1501" w:val="left" w:leader="none"/>
        </w:tabs>
        <w:spacing w:line="360" w:lineRule="auto" w:before="276" w:after="0"/>
        <w:ind w:left="1501" w:right="2666" w:hanging="360"/>
        <w:jc w:val="left"/>
        <w:rPr>
          <w:sz w:val="24"/>
        </w:rPr>
      </w:pPr>
      <w:r>
        <w:rPr>
          <w:sz w:val="24"/>
        </w:rPr>
        <w:t>Atomic</w:t>
      </w:r>
      <w:r>
        <w:rPr>
          <w:spacing w:val="-8"/>
          <w:sz w:val="24"/>
        </w:rPr>
        <w:t> </w:t>
      </w:r>
      <w:r>
        <w:rPr>
          <w:sz w:val="24"/>
        </w:rPr>
        <w:t>absorption</w:t>
      </w:r>
      <w:r>
        <w:rPr>
          <w:spacing w:val="-11"/>
          <w:sz w:val="24"/>
        </w:rPr>
        <w:t> </w:t>
      </w:r>
      <w:r>
        <w:rPr>
          <w:sz w:val="24"/>
        </w:rPr>
        <w:t>Spectroscopic</w:t>
      </w:r>
      <w:r>
        <w:rPr>
          <w:spacing w:val="-8"/>
          <w:sz w:val="24"/>
        </w:rPr>
        <w:t> </w:t>
      </w:r>
      <w:r>
        <w:rPr>
          <w:sz w:val="24"/>
        </w:rPr>
        <w:t>print</w:t>
      </w:r>
      <w:r>
        <w:rPr>
          <w:spacing w:val="-3"/>
          <w:sz w:val="24"/>
        </w:rPr>
        <w:t> </w:t>
      </w:r>
      <w:r>
        <w:rPr>
          <w:sz w:val="24"/>
        </w:rPr>
        <w:t>out</w:t>
      </w:r>
      <w:r>
        <w:rPr>
          <w:spacing w:val="-1"/>
          <w:sz w:val="24"/>
        </w:rPr>
        <w:t> </w:t>
      </w:r>
      <w:r>
        <w:rPr>
          <w:sz w:val="24"/>
        </w:rPr>
        <w:t>(AAS)</w:t>
      </w:r>
      <w:r>
        <w:rPr>
          <w:spacing w:val="-6"/>
          <w:sz w:val="24"/>
        </w:rPr>
        <w:t> </w:t>
      </w:r>
      <w:r>
        <w:rPr>
          <w:sz w:val="24"/>
        </w:rPr>
        <w:t>from</w:t>
      </w:r>
      <w:r>
        <w:rPr>
          <w:spacing w:val="-11"/>
          <w:sz w:val="24"/>
        </w:rPr>
        <w:t> </w:t>
      </w:r>
      <w:r>
        <w:rPr>
          <w:sz w:val="24"/>
        </w:rPr>
        <w:t>Advanced chemistry laboratory Sheda, Abuja of copper</w:t>
      </w:r>
    </w:p>
    <w:p>
      <w:pPr>
        <w:pStyle w:val="BodyText"/>
        <w:tabs>
          <w:tab w:pos="8525" w:val="left" w:leader="dot"/>
        </w:tabs>
        <w:spacing w:line="274" w:lineRule="exact"/>
        <w:ind w:left="1501"/>
      </w:pPr>
      <w:r>
        <w:rPr/>
        <w:t>concentrations</w:t>
      </w:r>
      <w:r>
        <w:rPr>
          <w:spacing w:val="-2"/>
        </w:rPr>
        <w:t> </w:t>
      </w:r>
      <w:r>
        <w:rPr/>
        <w:t>in</w:t>
      </w:r>
      <w:r>
        <w:rPr>
          <w:spacing w:val="-6"/>
        </w:rPr>
        <w:t> </w:t>
      </w:r>
      <w:r>
        <w:rPr/>
        <w:t>poultry</w:t>
      </w:r>
      <w:r>
        <w:rPr>
          <w:spacing w:val="-7"/>
        </w:rPr>
        <w:t> </w:t>
      </w:r>
      <w:r>
        <w:rPr/>
        <w:t>feed</w:t>
      </w:r>
      <w:r>
        <w:rPr>
          <w:spacing w:val="-1"/>
        </w:rPr>
        <w:t> </w:t>
      </w:r>
      <w:r>
        <w:rPr/>
        <w:t>samples in</w:t>
      </w:r>
      <w:r>
        <w:rPr>
          <w:spacing w:val="-6"/>
        </w:rPr>
        <w:t> </w:t>
      </w:r>
      <w:r>
        <w:rPr/>
        <w:t>Northern</w:t>
      </w:r>
      <w:r>
        <w:rPr>
          <w:spacing w:val="-1"/>
        </w:rPr>
        <w:t> </w:t>
      </w:r>
      <w:r>
        <w:rPr>
          <w:spacing w:val="-2"/>
        </w:rPr>
        <w:t>Nigeria</w:t>
      </w:r>
      <w:r>
        <w:rPr/>
        <w:tab/>
      </w:r>
      <w:r>
        <w:rPr>
          <w:spacing w:val="-5"/>
        </w:rPr>
        <w:t>xx.</w:t>
      </w:r>
    </w:p>
    <w:p>
      <w:pPr>
        <w:pStyle w:val="BodyText"/>
      </w:pPr>
    </w:p>
    <w:p>
      <w:pPr>
        <w:pStyle w:val="ListParagraph"/>
        <w:numPr>
          <w:ilvl w:val="0"/>
          <w:numId w:val="14"/>
        </w:numPr>
        <w:tabs>
          <w:tab w:pos="1500" w:val="left" w:leader="none"/>
          <w:tab w:pos="1563" w:val="left" w:leader="none"/>
        </w:tabs>
        <w:spacing w:line="362" w:lineRule="auto" w:before="0" w:after="0"/>
        <w:ind w:left="1563" w:right="2672" w:hanging="423"/>
        <w:jc w:val="left"/>
        <w:rPr>
          <w:sz w:val="24"/>
        </w:rPr>
      </w:pPr>
      <w:r>
        <w:rPr>
          <w:sz w:val="24"/>
        </w:rPr>
        <w:t>Atomic</w:t>
      </w:r>
      <w:r>
        <w:rPr>
          <w:spacing w:val="-8"/>
          <w:sz w:val="24"/>
        </w:rPr>
        <w:t> </w:t>
      </w:r>
      <w:r>
        <w:rPr>
          <w:sz w:val="24"/>
        </w:rPr>
        <w:t>absorption</w:t>
      </w:r>
      <w:r>
        <w:rPr>
          <w:spacing w:val="-11"/>
          <w:sz w:val="24"/>
        </w:rPr>
        <w:t> </w:t>
      </w:r>
      <w:r>
        <w:rPr>
          <w:sz w:val="24"/>
        </w:rPr>
        <w:t>Spectroscopic</w:t>
      </w:r>
      <w:r>
        <w:rPr>
          <w:spacing w:val="-8"/>
          <w:sz w:val="24"/>
        </w:rPr>
        <w:t> </w:t>
      </w:r>
      <w:r>
        <w:rPr>
          <w:sz w:val="24"/>
        </w:rPr>
        <w:t>print</w:t>
      </w:r>
      <w:r>
        <w:rPr>
          <w:spacing w:val="-3"/>
          <w:sz w:val="24"/>
        </w:rPr>
        <w:t> </w:t>
      </w:r>
      <w:r>
        <w:rPr>
          <w:sz w:val="24"/>
        </w:rPr>
        <w:t>out</w:t>
      </w:r>
      <w:r>
        <w:rPr>
          <w:spacing w:val="-7"/>
          <w:sz w:val="24"/>
        </w:rPr>
        <w:t> </w:t>
      </w:r>
      <w:r>
        <w:rPr>
          <w:sz w:val="24"/>
        </w:rPr>
        <w:t>(AAS)</w:t>
      </w:r>
      <w:r>
        <w:rPr>
          <w:spacing w:val="-6"/>
          <w:sz w:val="24"/>
        </w:rPr>
        <w:t> </w:t>
      </w:r>
      <w:r>
        <w:rPr>
          <w:sz w:val="24"/>
        </w:rPr>
        <w:t>from</w:t>
      </w:r>
      <w:r>
        <w:rPr>
          <w:spacing w:val="-11"/>
          <w:sz w:val="24"/>
        </w:rPr>
        <w:t> </w:t>
      </w:r>
      <w:r>
        <w:rPr>
          <w:sz w:val="24"/>
        </w:rPr>
        <w:t>Advanced chemistry laboratory Sheda, Abuja of copper</w:t>
      </w:r>
    </w:p>
    <w:p>
      <w:pPr>
        <w:pStyle w:val="BodyText"/>
        <w:tabs>
          <w:tab w:pos="8525" w:val="left" w:leader="dot"/>
        </w:tabs>
        <w:spacing w:line="273" w:lineRule="exact"/>
        <w:ind w:left="1501"/>
      </w:pPr>
      <w:r>
        <w:rPr/>
        <w:t>concentrations</w:t>
      </w:r>
      <w:r>
        <w:rPr>
          <w:spacing w:val="-2"/>
        </w:rPr>
        <w:t> </w:t>
      </w:r>
      <w:r>
        <w:rPr/>
        <w:t>in</w:t>
      </w:r>
      <w:r>
        <w:rPr>
          <w:spacing w:val="-6"/>
        </w:rPr>
        <w:t> </w:t>
      </w:r>
      <w:r>
        <w:rPr/>
        <w:t>poultry</w:t>
      </w:r>
      <w:r>
        <w:rPr>
          <w:spacing w:val="-6"/>
        </w:rPr>
        <w:t> </w:t>
      </w:r>
      <w:r>
        <w:rPr/>
        <w:t>feed</w:t>
      </w:r>
      <w:r>
        <w:rPr>
          <w:spacing w:val="-2"/>
        </w:rPr>
        <w:t> </w:t>
      </w:r>
      <w:r>
        <w:rPr/>
        <w:t>samples</w:t>
      </w:r>
      <w:r>
        <w:rPr>
          <w:spacing w:val="1"/>
        </w:rPr>
        <w:t> </w:t>
      </w:r>
      <w:r>
        <w:rPr/>
        <w:t>in</w:t>
      </w:r>
      <w:r>
        <w:rPr>
          <w:spacing w:val="-6"/>
        </w:rPr>
        <w:t> </w:t>
      </w:r>
      <w:r>
        <w:rPr/>
        <w:t>Northern</w:t>
      </w:r>
      <w:r>
        <w:rPr>
          <w:spacing w:val="-1"/>
        </w:rPr>
        <w:t> </w:t>
      </w:r>
      <w:r>
        <w:rPr>
          <w:spacing w:val="-2"/>
        </w:rPr>
        <w:t>Nigeria</w:t>
      </w:r>
      <w:r>
        <w:rPr/>
        <w:tab/>
      </w:r>
      <w:r>
        <w:rPr>
          <w:spacing w:val="-4"/>
        </w:rPr>
        <w:t>xxi.</w:t>
      </w:r>
    </w:p>
    <w:p>
      <w:pPr>
        <w:pStyle w:val="BodyText"/>
      </w:pPr>
    </w:p>
    <w:p>
      <w:pPr>
        <w:pStyle w:val="ListParagraph"/>
        <w:numPr>
          <w:ilvl w:val="0"/>
          <w:numId w:val="14"/>
        </w:numPr>
        <w:tabs>
          <w:tab w:pos="1501" w:val="left" w:leader="none"/>
        </w:tabs>
        <w:spacing w:line="360" w:lineRule="auto" w:before="1" w:after="0"/>
        <w:ind w:left="1501" w:right="2672" w:hanging="360"/>
        <w:jc w:val="left"/>
        <w:rPr>
          <w:sz w:val="24"/>
        </w:rPr>
      </w:pPr>
      <w:r>
        <w:rPr>
          <w:sz w:val="24"/>
        </w:rPr>
        <w:t>Atomic</w:t>
      </w:r>
      <w:r>
        <w:rPr>
          <w:spacing w:val="-8"/>
          <w:sz w:val="24"/>
        </w:rPr>
        <w:t> </w:t>
      </w:r>
      <w:r>
        <w:rPr>
          <w:sz w:val="24"/>
        </w:rPr>
        <w:t>absorption</w:t>
      </w:r>
      <w:r>
        <w:rPr>
          <w:spacing w:val="-11"/>
          <w:sz w:val="24"/>
        </w:rPr>
        <w:t> </w:t>
      </w:r>
      <w:r>
        <w:rPr>
          <w:sz w:val="24"/>
        </w:rPr>
        <w:t>Spectroscopic</w:t>
      </w:r>
      <w:r>
        <w:rPr>
          <w:spacing w:val="-8"/>
          <w:sz w:val="24"/>
        </w:rPr>
        <w:t> </w:t>
      </w:r>
      <w:r>
        <w:rPr>
          <w:sz w:val="24"/>
        </w:rPr>
        <w:t>print</w:t>
      </w:r>
      <w:r>
        <w:rPr>
          <w:spacing w:val="-3"/>
          <w:sz w:val="24"/>
        </w:rPr>
        <w:t> </w:t>
      </w:r>
      <w:r>
        <w:rPr>
          <w:sz w:val="24"/>
        </w:rPr>
        <w:t>out</w:t>
      </w:r>
      <w:r>
        <w:rPr>
          <w:spacing w:val="-7"/>
          <w:sz w:val="24"/>
        </w:rPr>
        <w:t> </w:t>
      </w:r>
      <w:r>
        <w:rPr>
          <w:sz w:val="24"/>
        </w:rPr>
        <w:t>(AAS)</w:t>
      </w:r>
      <w:r>
        <w:rPr>
          <w:spacing w:val="-6"/>
          <w:sz w:val="24"/>
        </w:rPr>
        <w:t> </w:t>
      </w:r>
      <w:r>
        <w:rPr>
          <w:sz w:val="24"/>
        </w:rPr>
        <w:t>from</w:t>
      </w:r>
      <w:r>
        <w:rPr>
          <w:spacing w:val="-11"/>
          <w:sz w:val="24"/>
        </w:rPr>
        <w:t> </w:t>
      </w:r>
      <w:r>
        <w:rPr>
          <w:sz w:val="24"/>
        </w:rPr>
        <w:t>Advanced chemistry laboratory Sheda, Abuja of lead concentrations</w:t>
      </w:r>
    </w:p>
    <w:p>
      <w:pPr>
        <w:pStyle w:val="BodyText"/>
        <w:tabs>
          <w:tab w:pos="8588" w:val="left" w:leader="dot"/>
        </w:tabs>
        <w:spacing w:line="274" w:lineRule="exact"/>
        <w:ind w:left="1563"/>
      </w:pPr>
      <w:r>
        <w:rPr/>
        <w:t>in</w:t>
      </w:r>
      <w:r>
        <w:rPr>
          <w:spacing w:val="-7"/>
        </w:rPr>
        <w:t> </w:t>
      </w:r>
      <w:r>
        <w:rPr/>
        <w:t>water</w:t>
      </w:r>
      <w:r>
        <w:rPr>
          <w:spacing w:val="-1"/>
        </w:rPr>
        <w:t> </w:t>
      </w:r>
      <w:r>
        <w:rPr/>
        <w:t>samples from</w:t>
      </w:r>
      <w:r>
        <w:rPr>
          <w:spacing w:val="-6"/>
        </w:rPr>
        <w:t> </w:t>
      </w:r>
      <w:r>
        <w:rPr/>
        <w:t>major</w:t>
      </w:r>
      <w:r>
        <w:rPr>
          <w:spacing w:val="-1"/>
        </w:rPr>
        <w:t> </w:t>
      </w:r>
      <w:r>
        <w:rPr/>
        <w:t>rivers in</w:t>
      </w:r>
      <w:r>
        <w:rPr>
          <w:spacing w:val="-7"/>
        </w:rPr>
        <w:t> </w:t>
      </w:r>
      <w:r>
        <w:rPr/>
        <w:t>Northern</w:t>
      </w:r>
      <w:r>
        <w:rPr>
          <w:spacing w:val="-6"/>
        </w:rPr>
        <w:t> </w:t>
      </w:r>
      <w:r>
        <w:rPr>
          <w:spacing w:val="-2"/>
        </w:rPr>
        <w:t>Nigeria</w:t>
      </w:r>
      <w:r>
        <w:rPr/>
        <w:tab/>
      </w:r>
      <w:r>
        <w:rPr>
          <w:spacing w:val="-2"/>
        </w:rPr>
        <w:t>xxii.</w:t>
      </w:r>
    </w:p>
    <w:p>
      <w:pPr>
        <w:pStyle w:val="ListParagraph"/>
        <w:numPr>
          <w:ilvl w:val="0"/>
          <w:numId w:val="14"/>
        </w:numPr>
        <w:tabs>
          <w:tab w:pos="1500" w:val="left" w:leader="none"/>
          <w:tab w:pos="1563" w:val="left" w:leader="none"/>
        </w:tabs>
        <w:spacing w:line="362" w:lineRule="auto" w:before="276" w:after="0"/>
        <w:ind w:left="1563" w:right="2672" w:hanging="423"/>
        <w:jc w:val="left"/>
        <w:rPr>
          <w:sz w:val="24"/>
        </w:rPr>
      </w:pPr>
      <w:r>
        <w:rPr>
          <w:sz w:val="24"/>
        </w:rPr>
        <w:t>Atomic</w:t>
      </w:r>
      <w:r>
        <w:rPr>
          <w:spacing w:val="-8"/>
          <w:sz w:val="24"/>
        </w:rPr>
        <w:t> </w:t>
      </w:r>
      <w:r>
        <w:rPr>
          <w:sz w:val="24"/>
        </w:rPr>
        <w:t>absorption</w:t>
      </w:r>
      <w:r>
        <w:rPr>
          <w:spacing w:val="-11"/>
          <w:sz w:val="24"/>
        </w:rPr>
        <w:t> </w:t>
      </w:r>
      <w:r>
        <w:rPr>
          <w:sz w:val="24"/>
        </w:rPr>
        <w:t>Spectroscopic</w:t>
      </w:r>
      <w:r>
        <w:rPr>
          <w:spacing w:val="-8"/>
          <w:sz w:val="24"/>
        </w:rPr>
        <w:t> </w:t>
      </w:r>
      <w:r>
        <w:rPr>
          <w:sz w:val="24"/>
        </w:rPr>
        <w:t>print</w:t>
      </w:r>
      <w:r>
        <w:rPr>
          <w:spacing w:val="-3"/>
          <w:sz w:val="24"/>
        </w:rPr>
        <w:t> </w:t>
      </w:r>
      <w:r>
        <w:rPr>
          <w:sz w:val="24"/>
        </w:rPr>
        <w:t>out</w:t>
      </w:r>
      <w:r>
        <w:rPr>
          <w:spacing w:val="-7"/>
          <w:sz w:val="24"/>
        </w:rPr>
        <w:t> </w:t>
      </w:r>
      <w:r>
        <w:rPr>
          <w:sz w:val="24"/>
        </w:rPr>
        <w:t>(AAS)</w:t>
      </w:r>
      <w:r>
        <w:rPr>
          <w:spacing w:val="-6"/>
          <w:sz w:val="24"/>
        </w:rPr>
        <w:t> </w:t>
      </w:r>
      <w:r>
        <w:rPr>
          <w:sz w:val="24"/>
        </w:rPr>
        <w:t>from</w:t>
      </w:r>
      <w:r>
        <w:rPr>
          <w:spacing w:val="-11"/>
          <w:sz w:val="24"/>
        </w:rPr>
        <w:t> </w:t>
      </w:r>
      <w:r>
        <w:rPr>
          <w:sz w:val="24"/>
        </w:rPr>
        <w:t>Advanced chemistry laboratory Sheda, Abuja of lead concentrations</w:t>
      </w:r>
    </w:p>
    <w:p>
      <w:pPr>
        <w:pStyle w:val="BodyText"/>
        <w:tabs>
          <w:tab w:pos="8588" w:val="left" w:leader="dot"/>
        </w:tabs>
        <w:spacing w:line="273" w:lineRule="exact"/>
        <w:ind w:left="1563"/>
      </w:pPr>
      <w:r>
        <w:rPr/>
        <w:t>in</w:t>
      </w:r>
      <w:r>
        <w:rPr>
          <w:spacing w:val="-7"/>
        </w:rPr>
        <w:t> </w:t>
      </w:r>
      <w:r>
        <w:rPr/>
        <w:t>water</w:t>
      </w:r>
      <w:r>
        <w:rPr>
          <w:spacing w:val="-1"/>
        </w:rPr>
        <w:t> </w:t>
      </w:r>
      <w:r>
        <w:rPr/>
        <w:t>samples from</w:t>
      </w:r>
      <w:r>
        <w:rPr>
          <w:spacing w:val="-6"/>
        </w:rPr>
        <w:t> </w:t>
      </w:r>
      <w:r>
        <w:rPr/>
        <w:t>major</w:t>
      </w:r>
      <w:r>
        <w:rPr>
          <w:spacing w:val="-1"/>
        </w:rPr>
        <w:t> </w:t>
      </w:r>
      <w:r>
        <w:rPr/>
        <w:t>rivers in</w:t>
      </w:r>
      <w:r>
        <w:rPr>
          <w:spacing w:val="-7"/>
        </w:rPr>
        <w:t> </w:t>
      </w:r>
      <w:r>
        <w:rPr/>
        <w:t>Northern</w:t>
      </w:r>
      <w:r>
        <w:rPr>
          <w:spacing w:val="-6"/>
        </w:rPr>
        <w:t> </w:t>
      </w:r>
      <w:r>
        <w:rPr>
          <w:spacing w:val="-2"/>
        </w:rPr>
        <w:t>Nigeria</w:t>
      </w:r>
      <w:r>
        <w:rPr/>
        <w:tab/>
      </w:r>
      <w:r>
        <w:rPr>
          <w:spacing w:val="-2"/>
        </w:rPr>
        <w:t>xxiii.</w:t>
      </w:r>
    </w:p>
    <w:p>
      <w:pPr>
        <w:pStyle w:val="BodyText"/>
        <w:spacing w:line="451" w:lineRule="auto" w:before="132"/>
        <w:ind w:left="1505" w:right="2177" w:hanging="365"/>
      </w:pPr>
      <w:r>
        <w:rPr/>
        <w:t>7</w:t>
      </w:r>
      <w:r>
        <w:rPr>
          <w:spacing w:val="80"/>
        </w:rPr>
        <w:t> </w:t>
      </w:r>
      <w:r>
        <w:rPr/>
        <w:t>Mean</w:t>
      </w:r>
      <w:r>
        <w:rPr>
          <w:spacing w:val="-8"/>
        </w:rPr>
        <w:t> </w:t>
      </w:r>
      <w:r>
        <w:rPr/>
        <w:t>concentrations</w:t>
      </w:r>
      <w:r>
        <w:rPr>
          <w:spacing w:val="-1"/>
        </w:rPr>
        <w:t> </w:t>
      </w:r>
      <w:r>
        <w:rPr/>
        <w:t>in</w:t>
      </w:r>
      <w:r>
        <w:rPr>
          <w:spacing w:val="-3"/>
        </w:rPr>
        <w:t> </w:t>
      </w:r>
      <w:r>
        <w:rPr/>
        <w:t>mg/kg</w:t>
      </w:r>
      <w:r>
        <w:rPr>
          <w:spacing w:val="-3"/>
        </w:rPr>
        <w:t> </w:t>
      </w:r>
      <w:r>
        <w:rPr/>
        <w:t>of</w:t>
      </w:r>
      <w:r>
        <w:rPr>
          <w:spacing w:val="-7"/>
        </w:rPr>
        <w:t> </w:t>
      </w:r>
      <w:r>
        <w:rPr/>
        <w:t>zinc,</w:t>
      </w:r>
      <w:r>
        <w:rPr>
          <w:spacing w:val="-1"/>
        </w:rPr>
        <w:t> </w:t>
      </w:r>
      <w:r>
        <w:rPr/>
        <w:t>copper,</w:t>
      </w:r>
      <w:r>
        <w:rPr>
          <w:spacing w:val="-6"/>
        </w:rPr>
        <w:t> </w:t>
      </w:r>
      <w:r>
        <w:rPr/>
        <w:t>nickel, lead</w:t>
      </w:r>
      <w:r>
        <w:rPr>
          <w:spacing w:val="-3"/>
        </w:rPr>
        <w:t> </w:t>
      </w:r>
      <w:r>
        <w:rPr/>
        <w:t>and</w:t>
      </w:r>
      <w:r>
        <w:rPr>
          <w:spacing w:val="-3"/>
        </w:rPr>
        <w:t> </w:t>
      </w:r>
      <w:r>
        <w:rPr/>
        <w:t>arsenic in different brands of fish feeds sampled in North central,</w:t>
      </w:r>
    </w:p>
    <w:p>
      <w:pPr>
        <w:pStyle w:val="BodyText"/>
        <w:spacing w:line="276" w:lineRule="exact"/>
        <w:ind w:left="1505"/>
      </w:pPr>
      <w:r>
        <w:rPr/>
        <w:t>North</w:t>
      </w:r>
      <w:r>
        <w:rPr>
          <w:spacing w:val="-9"/>
        </w:rPr>
        <w:t> </w:t>
      </w:r>
      <w:r>
        <w:rPr/>
        <w:t>west</w:t>
      </w:r>
      <w:r>
        <w:rPr>
          <w:spacing w:val="-1"/>
        </w:rPr>
        <w:t> </w:t>
      </w:r>
      <w:r>
        <w:rPr/>
        <w:t>and</w:t>
      </w:r>
      <w:r>
        <w:rPr>
          <w:spacing w:val="-1"/>
        </w:rPr>
        <w:t> </w:t>
      </w:r>
      <w:r>
        <w:rPr/>
        <w:t>North</w:t>
      </w:r>
      <w:r>
        <w:rPr>
          <w:spacing w:val="-6"/>
        </w:rPr>
        <w:t> </w:t>
      </w:r>
      <w:r>
        <w:rPr/>
        <w:t>east, Nigeria</w:t>
      </w:r>
      <w:r>
        <w:rPr>
          <w:spacing w:val="-2"/>
        </w:rPr>
        <w:t> </w:t>
      </w:r>
      <w:r>
        <w:rPr/>
        <w:t>and</w:t>
      </w:r>
      <w:r>
        <w:rPr>
          <w:spacing w:val="30"/>
        </w:rPr>
        <w:t>  </w:t>
      </w:r>
      <w:r>
        <w:rPr/>
        <w:t>statistical</w:t>
      </w:r>
      <w:r>
        <w:rPr>
          <w:spacing w:val="-5"/>
        </w:rPr>
        <w:t> </w:t>
      </w:r>
      <w:r>
        <w:rPr>
          <w:spacing w:val="-2"/>
        </w:rPr>
        <w:t>difference</w:t>
      </w:r>
    </w:p>
    <w:p>
      <w:pPr>
        <w:pStyle w:val="BodyText"/>
        <w:tabs>
          <w:tab w:pos="9140" w:val="right" w:leader="none"/>
        </w:tabs>
        <w:spacing w:before="237"/>
        <w:ind w:left="1625"/>
      </w:pPr>
      <w:r>
        <w:rPr/>
        <w:t>at</w:t>
      </w:r>
      <w:r>
        <w:rPr>
          <w:spacing w:val="-2"/>
        </w:rPr>
        <w:t> </w:t>
      </w:r>
      <w:r>
        <w:rPr/>
        <w:t>P&lt;0.05</w:t>
      </w:r>
      <w:r>
        <w:rPr>
          <w:spacing w:val="58"/>
        </w:rPr>
        <w:t> </w:t>
      </w:r>
      <w:r>
        <w:rPr>
          <w:spacing w:val="-2"/>
        </w:rPr>
        <w:t>……………………............................................................</w:t>
      </w:r>
      <w:r>
        <w:rPr/>
        <w:tab/>
      </w:r>
      <w:r>
        <w:rPr>
          <w:spacing w:val="-4"/>
        </w:rPr>
        <w:t>xxiv</w:t>
      </w:r>
    </w:p>
    <w:p>
      <w:pPr>
        <w:pStyle w:val="BodyText"/>
        <w:spacing w:line="451" w:lineRule="auto" w:before="243"/>
        <w:ind w:left="1563" w:right="2177" w:hanging="423"/>
      </w:pPr>
      <w:r>
        <w:rPr/>
        <w:t>8.</w:t>
      </w:r>
      <w:r>
        <w:rPr>
          <w:spacing w:val="80"/>
        </w:rPr>
        <w:t> </w:t>
      </w:r>
      <w:r>
        <w:rPr/>
        <w:t>Mean</w:t>
      </w:r>
      <w:r>
        <w:rPr>
          <w:spacing w:val="-8"/>
        </w:rPr>
        <w:t> </w:t>
      </w:r>
      <w:r>
        <w:rPr/>
        <w:t>concentrations</w:t>
      </w:r>
      <w:r>
        <w:rPr>
          <w:spacing w:val="-1"/>
        </w:rPr>
        <w:t> </w:t>
      </w:r>
      <w:r>
        <w:rPr/>
        <w:t>in</w:t>
      </w:r>
      <w:r>
        <w:rPr>
          <w:spacing w:val="-3"/>
        </w:rPr>
        <w:t> </w:t>
      </w:r>
      <w:r>
        <w:rPr/>
        <w:t>mg/kg</w:t>
      </w:r>
      <w:r>
        <w:rPr>
          <w:spacing w:val="-3"/>
        </w:rPr>
        <w:t> </w:t>
      </w:r>
      <w:r>
        <w:rPr/>
        <w:t>of</w:t>
      </w:r>
      <w:r>
        <w:rPr>
          <w:spacing w:val="-7"/>
        </w:rPr>
        <w:t> </w:t>
      </w:r>
      <w:r>
        <w:rPr/>
        <w:t>zinc,</w:t>
      </w:r>
      <w:r>
        <w:rPr>
          <w:spacing w:val="-1"/>
        </w:rPr>
        <w:t> </w:t>
      </w:r>
      <w:r>
        <w:rPr/>
        <w:t>copper,</w:t>
      </w:r>
      <w:r>
        <w:rPr>
          <w:spacing w:val="-6"/>
        </w:rPr>
        <w:t> </w:t>
      </w:r>
      <w:r>
        <w:rPr/>
        <w:t>nickel, lead</w:t>
      </w:r>
      <w:r>
        <w:rPr>
          <w:spacing w:val="-3"/>
        </w:rPr>
        <w:t> </w:t>
      </w:r>
      <w:r>
        <w:rPr/>
        <w:t>and</w:t>
      </w:r>
      <w:r>
        <w:rPr>
          <w:spacing w:val="-3"/>
        </w:rPr>
        <w:t> </w:t>
      </w:r>
      <w:r>
        <w:rPr/>
        <w:t>arsenic in different brands of poultry feeds sampled in North central,</w:t>
      </w:r>
    </w:p>
    <w:p>
      <w:pPr>
        <w:pStyle w:val="BodyText"/>
        <w:tabs>
          <w:tab w:pos="9082" w:val="right" w:leader="dot"/>
        </w:tabs>
        <w:spacing w:line="276" w:lineRule="exact"/>
        <w:ind w:left="1385"/>
      </w:pPr>
      <w:r>
        <w:rPr/>
        <w:t>North</w:t>
      </w:r>
      <w:r>
        <w:rPr>
          <w:spacing w:val="-8"/>
        </w:rPr>
        <w:t> </w:t>
      </w:r>
      <w:r>
        <w:rPr/>
        <w:t>west</w:t>
      </w:r>
      <w:r>
        <w:rPr>
          <w:spacing w:val="-1"/>
        </w:rPr>
        <w:t> </w:t>
      </w:r>
      <w:r>
        <w:rPr/>
        <w:t>and</w:t>
      </w:r>
      <w:r>
        <w:rPr>
          <w:spacing w:val="-1"/>
        </w:rPr>
        <w:t> </w:t>
      </w:r>
      <w:r>
        <w:rPr/>
        <w:t>North</w:t>
      </w:r>
      <w:r>
        <w:rPr>
          <w:spacing w:val="-6"/>
        </w:rPr>
        <w:t> </w:t>
      </w:r>
      <w:r>
        <w:rPr/>
        <w:t>east,</w:t>
      </w:r>
      <w:r>
        <w:rPr>
          <w:spacing w:val="1"/>
        </w:rPr>
        <w:t> </w:t>
      </w:r>
      <w:r>
        <w:rPr/>
        <w:t>Nigeria</w:t>
      </w:r>
      <w:r>
        <w:rPr>
          <w:spacing w:val="1"/>
        </w:rPr>
        <w:t> </w:t>
      </w:r>
      <w:r>
        <w:rPr/>
        <w:t>and</w:t>
      </w:r>
      <w:r>
        <w:rPr>
          <w:spacing w:val="-1"/>
        </w:rPr>
        <w:t> </w:t>
      </w:r>
      <w:r>
        <w:rPr/>
        <w:t>statistical</w:t>
      </w:r>
      <w:r>
        <w:rPr>
          <w:spacing w:val="-9"/>
        </w:rPr>
        <w:t> </w:t>
      </w:r>
      <w:r>
        <w:rPr/>
        <w:t>difference</w:t>
      </w:r>
      <w:r>
        <w:rPr>
          <w:spacing w:val="-2"/>
        </w:rPr>
        <w:t> </w:t>
      </w:r>
      <w:r>
        <w:rPr/>
        <w:t>at</w:t>
      </w:r>
      <w:r>
        <w:rPr>
          <w:spacing w:val="4"/>
        </w:rPr>
        <w:t> </w:t>
      </w:r>
      <w:r>
        <w:rPr>
          <w:spacing w:val="-2"/>
        </w:rPr>
        <w:t>P&lt;0.05</w:t>
      </w:r>
      <w:r>
        <w:rPr/>
        <w:tab/>
      </w:r>
      <w:r>
        <w:rPr>
          <w:spacing w:val="-5"/>
        </w:rPr>
        <w:t>xxv</w:t>
      </w:r>
    </w:p>
    <w:p>
      <w:pPr>
        <w:spacing w:after="0" w:line="276" w:lineRule="exact"/>
        <w:sectPr>
          <w:pgSz w:w="12240" w:h="15840"/>
          <w:pgMar w:header="0" w:footer="1012" w:top="1360" w:bottom="1200" w:left="1020" w:right="720"/>
        </w:sectPr>
      </w:pPr>
    </w:p>
    <w:p>
      <w:pPr>
        <w:pStyle w:val="BodyText"/>
        <w:spacing w:line="451" w:lineRule="auto" w:before="67"/>
        <w:ind w:left="1091" w:right="2342"/>
        <w:jc w:val="center"/>
      </w:pPr>
      <w:r>
        <w:rPr/>
        <w:t>9</w:t>
      </w:r>
      <w:r>
        <w:rPr>
          <w:spacing w:val="-4"/>
        </w:rPr>
        <w:t> </w:t>
      </w:r>
      <w:r>
        <w:rPr/>
        <w:t>Mean</w:t>
      </w:r>
      <w:r>
        <w:rPr>
          <w:spacing w:val="-9"/>
        </w:rPr>
        <w:t> </w:t>
      </w:r>
      <w:r>
        <w:rPr/>
        <w:t>concentrations</w:t>
      </w:r>
      <w:r>
        <w:rPr>
          <w:spacing w:val="-6"/>
        </w:rPr>
        <w:t> </w:t>
      </w:r>
      <w:r>
        <w:rPr/>
        <w:t>of</w:t>
      </w:r>
      <w:r>
        <w:rPr>
          <w:spacing w:val="-12"/>
        </w:rPr>
        <w:t> </w:t>
      </w:r>
      <w:r>
        <w:rPr/>
        <w:t>zinc,</w:t>
      </w:r>
      <w:r>
        <w:rPr>
          <w:spacing w:val="-3"/>
        </w:rPr>
        <w:t> </w:t>
      </w:r>
      <w:r>
        <w:rPr/>
        <w:t>copper,</w:t>
      </w:r>
      <w:r>
        <w:rPr>
          <w:spacing w:val="-7"/>
        </w:rPr>
        <w:t> </w:t>
      </w:r>
      <w:r>
        <w:rPr/>
        <w:t>nickel, lead</w:t>
      </w:r>
      <w:r>
        <w:rPr>
          <w:spacing w:val="-1"/>
        </w:rPr>
        <w:t> </w:t>
      </w:r>
      <w:r>
        <w:rPr/>
        <w:t>and</w:t>
      </w:r>
      <w:r>
        <w:rPr>
          <w:spacing w:val="-4"/>
        </w:rPr>
        <w:t> </w:t>
      </w:r>
      <w:r>
        <w:rPr/>
        <w:t>arsenic</w:t>
      </w:r>
      <w:r>
        <w:rPr>
          <w:spacing w:val="-1"/>
        </w:rPr>
        <w:t> </w:t>
      </w:r>
      <w:r>
        <w:rPr/>
        <w:t>in</w:t>
      </w:r>
      <w:r>
        <w:rPr>
          <w:spacing w:val="-4"/>
        </w:rPr>
        <w:t> </w:t>
      </w:r>
      <w:r>
        <w:rPr/>
        <w:t>mg/kg in different forage grasses at grazing areas across Northern Nigeria</w:t>
      </w:r>
    </w:p>
    <w:p>
      <w:pPr>
        <w:pStyle w:val="BodyText"/>
        <w:tabs>
          <w:tab w:pos="8852" w:val="left" w:leader="dot"/>
        </w:tabs>
        <w:spacing w:line="276" w:lineRule="exact"/>
        <w:ind w:left="1505"/>
      </w:pPr>
      <w:r>
        <w:rPr/>
        <w:t>and</w:t>
      </w:r>
      <w:r>
        <w:rPr>
          <w:spacing w:val="-2"/>
        </w:rPr>
        <w:t> </w:t>
      </w:r>
      <w:r>
        <w:rPr/>
        <w:t>statistical</w:t>
      </w:r>
      <w:r>
        <w:rPr>
          <w:spacing w:val="-11"/>
        </w:rPr>
        <w:t> </w:t>
      </w:r>
      <w:r>
        <w:rPr/>
        <w:t>difference</w:t>
      </w:r>
      <w:r>
        <w:rPr>
          <w:spacing w:val="-3"/>
        </w:rPr>
        <w:t> </w:t>
      </w:r>
      <w:r>
        <w:rPr/>
        <w:t>at</w:t>
      </w:r>
      <w:r>
        <w:rPr>
          <w:spacing w:val="-1"/>
        </w:rPr>
        <w:t> </w:t>
      </w:r>
      <w:r>
        <w:rPr>
          <w:spacing w:val="-2"/>
        </w:rPr>
        <w:t>P&lt;0.05</w:t>
      </w:r>
      <w:r>
        <w:rPr/>
        <w:tab/>
      </w:r>
      <w:r>
        <w:rPr>
          <w:spacing w:val="-4"/>
        </w:rPr>
        <w:t>xxvi</w:t>
      </w:r>
    </w:p>
    <w:p>
      <w:pPr>
        <w:pStyle w:val="BodyText"/>
        <w:spacing w:before="243"/>
        <w:ind w:right="1248"/>
        <w:jc w:val="center"/>
      </w:pPr>
      <w:r>
        <w:rPr/>
        <w:t>10,</w:t>
      </w:r>
      <w:r>
        <w:rPr>
          <w:spacing w:val="-3"/>
        </w:rPr>
        <w:t> </w:t>
      </w:r>
      <w:r>
        <w:rPr/>
        <w:t>Mean</w:t>
      </w:r>
      <w:r>
        <w:rPr>
          <w:spacing w:val="-6"/>
        </w:rPr>
        <w:t> </w:t>
      </w:r>
      <w:r>
        <w:rPr/>
        <w:t>concentration</w:t>
      </w:r>
      <w:r>
        <w:rPr>
          <w:spacing w:val="-7"/>
        </w:rPr>
        <w:t> </w:t>
      </w:r>
      <w:r>
        <w:rPr/>
        <w:t>(mg/kg) of</w:t>
      </w:r>
      <w:r>
        <w:rPr>
          <w:spacing w:val="-6"/>
        </w:rPr>
        <w:t> </w:t>
      </w:r>
      <w:r>
        <w:rPr/>
        <w:t>zinc,</w:t>
      </w:r>
      <w:r>
        <w:rPr>
          <w:spacing w:val="-1"/>
        </w:rPr>
        <w:t> </w:t>
      </w:r>
      <w:r>
        <w:rPr/>
        <w:t>copper, nickel,</w:t>
      </w:r>
      <w:r>
        <w:rPr>
          <w:spacing w:val="5"/>
        </w:rPr>
        <w:t> </w:t>
      </w:r>
      <w:r>
        <w:rPr/>
        <w:t>lead</w:t>
      </w:r>
      <w:r>
        <w:rPr>
          <w:spacing w:val="-2"/>
        </w:rPr>
        <w:t> </w:t>
      </w:r>
      <w:r>
        <w:rPr/>
        <w:t>and</w:t>
      </w:r>
      <w:r>
        <w:rPr>
          <w:spacing w:val="-2"/>
        </w:rPr>
        <w:t> arsenic</w:t>
      </w:r>
    </w:p>
    <w:p>
      <w:pPr>
        <w:pStyle w:val="BodyText"/>
        <w:tabs>
          <w:tab w:pos="8977" w:val="left" w:leader="dot"/>
        </w:tabs>
        <w:spacing w:before="141"/>
        <w:ind w:left="1505"/>
      </w:pPr>
      <w:r>
        <w:rPr/>
        <w:t>in</w:t>
      </w:r>
      <w:r>
        <w:rPr>
          <w:spacing w:val="-3"/>
        </w:rPr>
        <w:t> </w:t>
      </w:r>
      <w:r>
        <w:rPr/>
        <w:t>manure</w:t>
      </w:r>
      <w:r>
        <w:rPr>
          <w:spacing w:val="-4"/>
        </w:rPr>
        <w:t> </w:t>
      </w:r>
      <w:r>
        <w:rPr/>
        <w:t>samples</w:t>
      </w:r>
      <w:r>
        <w:rPr>
          <w:spacing w:val="-1"/>
        </w:rPr>
        <w:t> </w:t>
      </w:r>
      <w:r>
        <w:rPr/>
        <w:t>in</w:t>
      </w:r>
      <w:r>
        <w:rPr>
          <w:spacing w:val="-8"/>
        </w:rPr>
        <w:t> </w:t>
      </w:r>
      <w:r>
        <w:rPr/>
        <w:t>Northern</w:t>
      </w:r>
      <w:r>
        <w:rPr>
          <w:spacing w:val="-7"/>
        </w:rPr>
        <w:t> </w:t>
      </w:r>
      <w:r>
        <w:rPr>
          <w:spacing w:val="-2"/>
        </w:rPr>
        <w:t>Nigeria</w:t>
      </w:r>
      <w:r>
        <w:rPr/>
        <w:tab/>
      </w:r>
      <w:r>
        <w:rPr>
          <w:spacing w:val="-2"/>
        </w:rPr>
        <w:t>xxvii</w:t>
      </w:r>
    </w:p>
    <w:p>
      <w:pPr>
        <w:pStyle w:val="BodyText"/>
        <w:spacing w:line="362" w:lineRule="auto" w:before="474"/>
        <w:ind w:left="1141" w:right="765"/>
      </w:pPr>
      <w:r>
        <w:rPr/>
        <w:t>11 Mean</w:t>
      </w:r>
      <w:r>
        <w:rPr>
          <w:spacing w:val="-1"/>
        </w:rPr>
        <w:t> </w:t>
      </w:r>
      <w:r>
        <w:rPr/>
        <w:t>seasonal concentrations (mg/l) of</w:t>
      </w:r>
      <w:r>
        <w:rPr>
          <w:spacing w:val="-3"/>
        </w:rPr>
        <w:t> </w:t>
      </w:r>
      <w:r>
        <w:rPr/>
        <w:t>zinc, copper, nickel, lead and arsenic in water samples from Rivers Kaduna, Sokoto and Ngadda</w:t>
      </w:r>
    </w:p>
    <w:p>
      <w:pPr>
        <w:pStyle w:val="BodyText"/>
        <w:tabs>
          <w:tab w:pos="9006" w:val="left" w:leader="none"/>
        </w:tabs>
        <w:spacing w:line="273" w:lineRule="exact"/>
        <w:ind w:left="1563"/>
      </w:pPr>
      <w:r>
        <w:rPr/>
        <w:t>in</w:t>
      </w:r>
      <w:r>
        <w:rPr>
          <w:spacing w:val="-7"/>
        </w:rPr>
        <w:t> </w:t>
      </w:r>
      <w:r>
        <w:rPr/>
        <w:t>Northern</w:t>
      </w:r>
      <w:r>
        <w:rPr>
          <w:spacing w:val="-4"/>
        </w:rPr>
        <w:t> </w:t>
      </w:r>
      <w:r>
        <w:rPr/>
        <w:t>Nigeria</w:t>
      </w:r>
      <w:r>
        <w:rPr>
          <w:spacing w:val="1"/>
        </w:rPr>
        <w:t> </w:t>
      </w:r>
      <w:r>
        <w:rPr/>
        <w:t>and statistical</w:t>
      </w:r>
      <w:r>
        <w:rPr>
          <w:spacing w:val="-8"/>
        </w:rPr>
        <w:t> </w:t>
      </w:r>
      <w:r>
        <w:rPr/>
        <w:t>difference at P&lt;0.05 </w:t>
      </w:r>
      <w:r>
        <w:rPr>
          <w:spacing w:val="-2"/>
        </w:rPr>
        <w:t>…........................</w:t>
      </w:r>
      <w:r>
        <w:rPr/>
        <w:tab/>
      </w:r>
      <w:r>
        <w:rPr>
          <w:spacing w:val="-2"/>
        </w:rPr>
        <w:t>xxviii</w:t>
      </w:r>
    </w:p>
    <w:p>
      <w:pPr>
        <w:spacing w:after="0" w:line="273" w:lineRule="exact"/>
        <w:sectPr>
          <w:pgSz w:w="12240" w:h="15840"/>
          <w:pgMar w:header="0" w:footer="1012" w:top="1360" w:bottom="1200" w:left="1020" w:right="720"/>
        </w:sectPr>
      </w:pPr>
    </w:p>
    <w:p>
      <w:pPr>
        <w:pStyle w:val="Heading2"/>
        <w:spacing w:before="77"/>
        <w:ind w:left="545"/>
      </w:pPr>
      <w:bookmarkStart w:name="_TOC_250022" w:id="7"/>
      <w:bookmarkEnd w:id="7"/>
      <w:r>
        <w:rPr>
          <w:spacing w:val="-2"/>
        </w:rPr>
        <w:t>Abbreviations</w:t>
      </w:r>
    </w:p>
    <w:p>
      <w:pPr>
        <w:pStyle w:val="BodyText"/>
        <w:rPr>
          <w:b/>
          <w:sz w:val="20"/>
        </w:rPr>
      </w:pPr>
    </w:p>
    <w:p>
      <w:pPr>
        <w:pStyle w:val="BodyText"/>
        <w:spacing w:before="23"/>
        <w:rPr>
          <w:b/>
          <w:sz w:val="20"/>
        </w:rPr>
      </w:pPr>
    </w:p>
    <w:tbl>
      <w:tblPr>
        <w:tblW w:w="0" w:type="auto"/>
        <w:jc w:val="left"/>
        <w:tblInd w:w="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5792"/>
      </w:tblGrid>
      <w:tr>
        <w:trPr>
          <w:trHeight w:val="507" w:hRule="atLeast"/>
        </w:trPr>
        <w:tc>
          <w:tcPr>
            <w:tcW w:w="1162" w:type="dxa"/>
          </w:tcPr>
          <w:p>
            <w:pPr>
              <w:pStyle w:val="TableParagraph"/>
              <w:spacing w:line="266" w:lineRule="exact" w:before="0"/>
              <w:ind w:left="50"/>
              <w:rPr>
                <w:sz w:val="24"/>
              </w:rPr>
            </w:pPr>
            <w:r>
              <w:rPr>
                <w:spacing w:val="-4"/>
                <w:sz w:val="24"/>
              </w:rPr>
              <w:t>UNDP</w:t>
            </w:r>
          </w:p>
        </w:tc>
        <w:tc>
          <w:tcPr>
            <w:tcW w:w="5792" w:type="dxa"/>
          </w:tcPr>
          <w:p>
            <w:pPr>
              <w:pStyle w:val="TableParagraph"/>
              <w:spacing w:line="266" w:lineRule="exact" w:before="0"/>
              <w:ind w:left="386"/>
              <w:rPr>
                <w:sz w:val="24"/>
              </w:rPr>
            </w:pPr>
            <w:r>
              <w:rPr>
                <w:sz w:val="24"/>
              </w:rPr>
              <w:t>United</w:t>
            </w:r>
            <w:r>
              <w:rPr>
                <w:spacing w:val="53"/>
                <w:sz w:val="24"/>
              </w:rPr>
              <w:t> </w:t>
            </w:r>
            <w:r>
              <w:rPr>
                <w:sz w:val="24"/>
              </w:rPr>
              <w:t>Nations</w:t>
            </w:r>
            <w:r>
              <w:rPr>
                <w:spacing w:val="-5"/>
                <w:sz w:val="24"/>
              </w:rPr>
              <w:t> </w:t>
            </w:r>
            <w:r>
              <w:rPr>
                <w:sz w:val="24"/>
              </w:rPr>
              <w:t>Development</w:t>
            </w:r>
            <w:r>
              <w:rPr>
                <w:spacing w:val="5"/>
                <w:sz w:val="24"/>
              </w:rPr>
              <w:t> </w:t>
            </w:r>
            <w:r>
              <w:rPr>
                <w:spacing w:val="-2"/>
                <w:sz w:val="24"/>
              </w:rPr>
              <w:t>Programme</w:t>
            </w:r>
          </w:p>
        </w:tc>
      </w:tr>
      <w:tr>
        <w:trPr>
          <w:trHeight w:val="751" w:hRule="atLeast"/>
        </w:trPr>
        <w:tc>
          <w:tcPr>
            <w:tcW w:w="1162" w:type="dxa"/>
          </w:tcPr>
          <w:p>
            <w:pPr>
              <w:pStyle w:val="TableParagraph"/>
              <w:spacing w:before="231"/>
              <w:ind w:left="50"/>
              <w:rPr>
                <w:sz w:val="24"/>
              </w:rPr>
            </w:pPr>
            <w:r>
              <w:rPr>
                <w:spacing w:val="-5"/>
                <w:sz w:val="24"/>
              </w:rPr>
              <w:t>EPA</w:t>
            </w:r>
          </w:p>
        </w:tc>
        <w:tc>
          <w:tcPr>
            <w:tcW w:w="5792" w:type="dxa"/>
          </w:tcPr>
          <w:p>
            <w:pPr>
              <w:pStyle w:val="TableParagraph"/>
              <w:spacing w:before="231"/>
              <w:ind w:left="328"/>
              <w:rPr>
                <w:sz w:val="24"/>
              </w:rPr>
            </w:pPr>
            <w:r>
              <w:rPr>
                <w:sz w:val="24"/>
              </w:rPr>
              <w:t>Environmental</w:t>
            </w:r>
            <w:r>
              <w:rPr>
                <w:spacing w:val="-10"/>
                <w:sz w:val="24"/>
              </w:rPr>
              <w:t> </w:t>
            </w:r>
            <w:r>
              <w:rPr>
                <w:sz w:val="24"/>
              </w:rPr>
              <w:t>Protection </w:t>
            </w:r>
            <w:r>
              <w:rPr>
                <w:spacing w:val="-2"/>
                <w:sz w:val="24"/>
              </w:rPr>
              <w:t>Agency</w:t>
            </w:r>
          </w:p>
        </w:tc>
      </w:tr>
      <w:tr>
        <w:trPr>
          <w:trHeight w:val="753" w:hRule="atLeast"/>
        </w:trPr>
        <w:tc>
          <w:tcPr>
            <w:tcW w:w="1162" w:type="dxa"/>
          </w:tcPr>
          <w:p>
            <w:pPr>
              <w:pStyle w:val="TableParagraph"/>
              <w:spacing w:before="233"/>
              <w:ind w:left="50"/>
              <w:rPr>
                <w:sz w:val="24"/>
              </w:rPr>
            </w:pPr>
            <w:r>
              <w:rPr>
                <w:spacing w:val="-5"/>
                <w:sz w:val="24"/>
              </w:rPr>
              <w:t>FDA</w:t>
            </w:r>
          </w:p>
        </w:tc>
        <w:tc>
          <w:tcPr>
            <w:tcW w:w="5792" w:type="dxa"/>
          </w:tcPr>
          <w:p>
            <w:pPr>
              <w:pStyle w:val="TableParagraph"/>
              <w:spacing w:before="233"/>
              <w:ind w:left="328"/>
              <w:rPr>
                <w:sz w:val="24"/>
              </w:rPr>
            </w:pPr>
            <w:r>
              <w:rPr>
                <w:sz w:val="24"/>
              </w:rPr>
              <w:t>Food</w:t>
            </w:r>
            <w:r>
              <w:rPr>
                <w:spacing w:val="-4"/>
                <w:sz w:val="24"/>
              </w:rPr>
              <w:t> </w:t>
            </w:r>
            <w:r>
              <w:rPr>
                <w:sz w:val="24"/>
              </w:rPr>
              <w:t>and</w:t>
            </w:r>
            <w:r>
              <w:rPr>
                <w:spacing w:val="1"/>
                <w:sz w:val="24"/>
              </w:rPr>
              <w:t> </w:t>
            </w:r>
            <w:r>
              <w:rPr>
                <w:sz w:val="24"/>
              </w:rPr>
              <w:t>Drug</w:t>
            </w:r>
            <w:r>
              <w:rPr>
                <w:spacing w:val="2"/>
                <w:sz w:val="24"/>
              </w:rPr>
              <w:t> </w:t>
            </w:r>
            <w:r>
              <w:rPr>
                <w:spacing w:val="-2"/>
                <w:sz w:val="24"/>
              </w:rPr>
              <w:t>Administration</w:t>
            </w:r>
          </w:p>
        </w:tc>
      </w:tr>
      <w:tr>
        <w:trPr>
          <w:trHeight w:val="751" w:hRule="atLeast"/>
        </w:trPr>
        <w:tc>
          <w:tcPr>
            <w:tcW w:w="1162" w:type="dxa"/>
          </w:tcPr>
          <w:p>
            <w:pPr>
              <w:pStyle w:val="TableParagraph"/>
              <w:spacing w:before="234"/>
              <w:ind w:left="50"/>
              <w:rPr>
                <w:sz w:val="24"/>
              </w:rPr>
            </w:pPr>
            <w:r>
              <w:rPr>
                <w:spacing w:val="-4"/>
                <w:sz w:val="24"/>
              </w:rPr>
              <w:t>BDCP</w:t>
            </w:r>
          </w:p>
        </w:tc>
        <w:tc>
          <w:tcPr>
            <w:tcW w:w="5792" w:type="dxa"/>
          </w:tcPr>
          <w:p>
            <w:pPr>
              <w:pStyle w:val="TableParagraph"/>
              <w:spacing w:before="234"/>
              <w:ind w:left="328"/>
              <w:rPr>
                <w:sz w:val="24"/>
              </w:rPr>
            </w:pPr>
            <w:r>
              <w:rPr>
                <w:sz w:val="24"/>
              </w:rPr>
              <w:t>Bioresource</w:t>
            </w:r>
            <w:r>
              <w:rPr>
                <w:spacing w:val="-10"/>
                <w:sz w:val="24"/>
              </w:rPr>
              <w:t> </w:t>
            </w:r>
            <w:r>
              <w:rPr>
                <w:sz w:val="24"/>
              </w:rPr>
              <w:t>Development</w:t>
            </w:r>
            <w:r>
              <w:rPr>
                <w:spacing w:val="-2"/>
                <w:sz w:val="24"/>
              </w:rPr>
              <w:t> </w:t>
            </w:r>
            <w:r>
              <w:rPr>
                <w:sz w:val="24"/>
              </w:rPr>
              <w:t>and</w:t>
            </w:r>
            <w:r>
              <w:rPr>
                <w:spacing w:val="-7"/>
                <w:sz w:val="24"/>
              </w:rPr>
              <w:t> </w:t>
            </w:r>
            <w:r>
              <w:rPr>
                <w:sz w:val="24"/>
              </w:rPr>
              <w:t>Conservative</w:t>
            </w:r>
            <w:r>
              <w:rPr>
                <w:spacing w:val="-7"/>
                <w:sz w:val="24"/>
              </w:rPr>
              <w:t> </w:t>
            </w:r>
            <w:r>
              <w:rPr>
                <w:spacing w:val="-2"/>
                <w:sz w:val="24"/>
              </w:rPr>
              <w:t>Programme</w:t>
            </w:r>
          </w:p>
        </w:tc>
      </w:tr>
      <w:tr>
        <w:trPr>
          <w:trHeight w:val="751" w:hRule="atLeast"/>
        </w:trPr>
        <w:tc>
          <w:tcPr>
            <w:tcW w:w="1162" w:type="dxa"/>
          </w:tcPr>
          <w:p>
            <w:pPr>
              <w:pStyle w:val="TableParagraph"/>
              <w:spacing w:before="231"/>
              <w:ind w:left="50"/>
              <w:rPr>
                <w:sz w:val="24"/>
              </w:rPr>
            </w:pPr>
            <w:r>
              <w:rPr>
                <w:spacing w:val="-5"/>
                <w:sz w:val="24"/>
              </w:rPr>
              <w:t>FAO</w:t>
            </w:r>
          </w:p>
        </w:tc>
        <w:tc>
          <w:tcPr>
            <w:tcW w:w="5792" w:type="dxa"/>
          </w:tcPr>
          <w:p>
            <w:pPr>
              <w:pStyle w:val="TableParagraph"/>
              <w:spacing w:before="231"/>
              <w:ind w:left="328"/>
              <w:rPr>
                <w:sz w:val="24"/>
              </w:rPr>
            </w:pPr>
            <w:r>
              <w:rPr>
                <w:sz w:val="24"/>
              </w:rPr>
              <w:t>Food</w:t>
            </w:r>
            <w:r>
              <w:rPr>
                <w:spacing w:val="-6"/>
                <w:sz w:val="24"/>
              </w:rPr>
              <w:t> </w:t>
            </w:r>
            <w:r>
              <w:rPr>
                <w:sz w:val="24"/>
              </w:rPr>
              <w:t>and</w:t>
            </w:r>
            <w:r>
              <w:rPr>
                <w:spacing w:val="-1"/>
                <w:sz w:val="24"/>
              </w:rPr>
              <w:t> </w:t>
            </w:r>
            <w:r>
              <w:rPr>
                <w:sz w:val="24"/>
              </w:rPr>
              <w:t>Agriculture</w:t>
            </w:r>
            <w:r>
              <w:rPr>
                <w:spacing w:val="-1"/>
                <w:sz w:val="24"/>
              </w:rPr>
              <w:t> </w:t>
            </w:r>
            <w:r>
              <w:rPr>
                <w:spacing w:val="-2"/>
                <w:sz w:val="24"/>
              </w:rPr>
              <w:t>Organization</w:t>
            </w:r>
          </w:p>
        </w:tc>
      </w:tr>
      <w:tr>
        <w:trPr>
          <w:trHeight w:val="753" w:hRule="atLeast"/>
        </w:trPr>
        <w:tc>
          <w:tcPr>
            <w:tcW w:w="1162" w:type="dxa"/>
          </w:tcPr>
          <w:p>
            <w:pPr>
              <w:pStyle w:val="TableParagraph"/>
              <w:spacing w:before="234"/>
              <w:ind w:left="50"/>
              <w:rPr>
                <w:sz w:val="24"/>
              </w:rPr>
            </w:pPr>
            <w:r>
              <w:rPr>
                <w:spacing w:val="-5"/>
                <w:sz w:val="24"/>
              </w:rPr>
              <w:t>CDC</w:t>
            </w:r>
          </w:p>
        </w:tc>
        <w:tc>
          <w:tcPr>
            <w:tcW w:w="5792" w:type="dxa"/>
          </w:tcPr>
          <w:p>
            <w:pPr>
              <w:pStyle w:val="TableParagraph"/>
              <w:spacing w:before="234"/>
              <w:ind w:left="328"/>
              <w:rPr>
                <w:sz w:val="24"/>
              </w:rPr>
            </w:pPr>
            <w:r>
              <w:rPr>
                <w:sz w:val="24"/>
              </w:rPr>
              <w:t>Centre</w:t>
            </w:r>
            <w:r>
              <w:rPr>
                <w:spacing w:val="-5"/>
                <w:sz w:val="24"/>
              </w:rPr>
              <w:t> </w:t>
            </w:r>
            <w:r>
              <w:rPr>
                <w:sz w:val="24"/>
              </w:rPr>
              <w:t>for</w:t>
            </w:r>
            <w:r>
              <w:rPr>
                <w:spacing w:val="-2"/>
                <w:sz w:val="24"/>
              </w:rPr>
              <w:t> </w:t>
            </w:r>
            <w:r>
              <w:rPr>
                <w:sz w:val="24"/>
              </w:rPr>
              <w:t>Disease</w:t>
            </w:r>
            <w:r>
              <w:rPr>
                <w:spacing w:val="-4"/>
                <w:sz w:val="24"/>
              </w:rPr>
              <w:t> </w:t>
            </w:r>
            <w:r>
              <w:rPr>
                <w:spacing w:val="-2"/>
                <w:sz w:val="24"/>
              </w:rPr>
              <w:t>Control</w:t>
            </w:r>
          </w:p>
        </w:tc>
      </w:tr>
      <w:tr>
        <w:trPr>
          <w:trHeight w:val="751" w:hRule="atLeast"/>
        </w:trPr>
        <w:tc>
          <w:tcPr>
            <w:tcW w:w="1162" w:type="dxa"/>
          </w:tcPr>
          <w:p>
            <w:pPr>
              <w:pStyle w:val="TableParagraph"/>
              <w:spacing w:before="233"/>
              <w:ind w:left="50"/>
              <w:rPr>
                <w:sz w:val="24"/>
              </w:rPr>
            </w:pPr>
            <w:r>
              <w:rPr>
                <w:spacing w:val="-5"/>
                <w:sz w:val="24"/>
              </w:rPr>
              <w:t>WHO</w:t>
            </w:r>
          </w:p>
        </w:tc>
        <w:tc>
          <w:tcPr>
            <w:tcW w:w="5792" w:type="dxa"/>
          </w:tcPr>
          <w:p>
            <w:pPr>
              <w:pStyle w:val="TableParagraph"/>
              <w:spacing w:before="233"/>
              <w:ind w:left="328"/>
              <w:rPr>
                <w:sz w:val="24"/>
              </w:rPr>
            </w:pPr>
            <w:r>
              <w:rPr>
                <w:sz w:val="24"/>
              </w:rPr>
              <w:t>World</w:t>
            </w:r>
            <w:r>
              <w:rPr>
                <w:spacing w:val="-4"/>
                <w:sz w:val="24"/>
              </w:rPr>
              <w:t> </w:t>
            </w:r>
            <w:r>
              <w:rPr>
                <w:sz w:val="24"/>
              </w:rPr>
              <w:t>Health</w:t>
            </w:r>
            <w:r>
              <w:rPr>
                <w:spacing w:val="-7"/>
                <w:sz w:val="24"/>
              </w:rPr>
              <w:t> </w:t>
            </w:r>
            <w:r>
              <w:rPr>
                <w:spacing w:val="-2"/>
                <w:sz w:val="24"/>
              </w:rPr>
              <w:t>Organization</w:t>
            </w:r>
          </w:p>
        </w:tc>
      </w:tr>
      <w:tr>
        <w:trPr>
          <w:trHeight w:val="751" w:hRule="atLeast"/>
        </w:trPr>
        <w:tc>
          <w:tcPr>
            <w:tcW w:w="1162" w:type="dxa"/>
          </w:tcPr>
          <w:p>
            <w:pPr>
              <w:pStyle w:val="TableParagraph"/>
              <w:spacing w:before="231"/>
              <w:ind w:left="50"/>
              <w:rPr>
                <w:sz w:val="24"/>
              </w:rPr>
            </w:pPr>
            <w:r>
              <w:rPr>
                <w:spacing w:val="-4"/>
                <w:sz w:val="24"/>
              </w:rPr>
              <w:t>ZMOH</w:t>
            </w:r>
          </w:p>
        </w:tc>
        <w:tc>
          <w:tcPr>
            <w:tcW w:w="5792" w:type="dxa"/>
          </w:tcPr>
          <w:p>
            <w:pPr>
              <w:pStyle w:val="TableParagraph"/>
              <w:spacing w:before="231"/>
              <w:ind w:left="328"/>
              <w:rPr>
                <w:sz w:val="24"/>
              </w:rPr>
            </w:pPr>
            <w:r>
              <w:rPr>
                <w:sz w:val="24"/>
              </w:rPr>
              <w:t>Zamfara state ministry</w:t>
            </w:r>
            <w:r>
              <w:rPr>
                <w:spacing w:val="-8"/>
                <w:sz w:val="24"/>
              </w:rPr>
              <w:t> </w:t>
            </w:r>
            <w:r>
              <w:rPr>
                <w:sz w:val="24"/>
              </w:rPr>
              <w:t>of</w:t>
            </w:r>
            <w:r>
              <w:rPr>
                <w:spacing w:val="-6"/>
                <w:sz w:val="24"/>
              </w:rPr>
              <w:t> </w:t>
            </w:r>
            <w:r>
              <w:rPr>
                <w:spacing w:val="-2"/>
                <w:sz w:val="24"/>
              </w:rPr>
              <w:t>health</w:t>
            </w:r>
          </w:p>
        </w:tc>
      </w:tr>
      <w:tr>
        <w:trPr>
          <w:trHeight w:val="753" w:hRule="atLeast"/>
        </w:trPr>
        <w:tc>
          <w:tcPr>
            <w:tcW w:w="1162" w:type="dxa"/>
          </w:tcPr>
          <w:p>
            <w:pPr>
              <w:pStyle w:val="TableParagraph"/>
              <w:spacing w:before="233"/>
              <w:ind w:left="50"/>
              <w:rPr>
                <w:sz w:val="24"/>
              </w:rPr>
            </w:pPr>
            <w:r>
              <w:rPr>
                <w:spacing w:val="-5"/>
                <w:sz w:val="24"/>
              </w:rPr>
              <w:t>MSF</w:t>
            </w:r>
          </w:p>
        </w:tc>
        <w:tc>
          <w:tcPr>
            <w:tcW w:w="5792" w:type="dxa"/>
          </w:tcPr>
          <w:p>
            <w:pPr>
              <w:pStyle w:val="TableParagraph"/>
              <w:spacing w:before="233"/>
              <w:ind w:left="328"/>
              <w:rPr>
                <w:sz w:val="24"/>
              </w:rPr>
            </w:pPr>
            <w:r>
              <w:rPr>
                <w:sz w:val="24"/>
              </w:rPr>
              <w:t>Medecines</w:t>
            </w:r>
            <w:r>
              <w:rPr>
                <w:spacing w:val="-5"/>
                <w:sz w:val="24"/>
              </w:rPr>
              <w:t> </w:t>
            </w:r>
            <w:r>
              <w:rPr>
                <w:sz w:val="24"/>
              </w:rPr>
              <w:t>Sans</w:t>
            </w:r>
            <w:r>
              <w:rPr>
                <w:spacing w:val="-1"/>
                <w:sz w:val="24"/>
              </w:rPr>
              <w:t> </w:t>
            </w:r>
            <w:r>
              <w:rPr>
                <w:spacing w:val="-2"/>
                <w:sz w:val="24"/>
              </w:rPr>
              <w:t>Frontieres</w:t>
            </w:r>
          </w:p>
        </w:tc>
      </w:tr>
      <w:tr>
        <w:trPr>
          <w:trHeight w:val="751" w:hRule="atLeast"/>
        </w:trPr>
        <w:tc>
          <w:tcPr>
            <w:tcW w:w="1162" w:type="dxa"/>
          </w:tcPr>
          <w:p>
            <w:pPr>
              <w:pStyle w:val="TableParagraph"/>
              <w:spacing w:before="233"/>
              <w:ind w:left="50"/>
              <w:rPr>
                <w:sz w:val="24"/>
              </w:rPr>
            </w:pPr>
            <w:r>
              <w:rPr>
                <w:spacing w:val="-5"/>
                <w:sz w:val="24"/>
              </w:rPr>
              <w:t>EU</w:t>
            </w:r>
          </w:p>
        </w:tc>
        <w:tc>
          <w:tcPr>
            <w:tcW w:w="5792" w:type="dxa"/>
          </w:tcPr>
          <w:p>
            <w:pPr>
              <w:pStyle w:val="TableParagraph"/>
              <w:spacing w:before="233"/>
              <w:ind w:left="328"/>
              <w:rPr>
                <w:sz w:val="24"/>
              </w:rPr>
            </w:pPr>
            <w:r>
              <w:rPr>
                <w:sz w:val="24"/>
              </w:rPr>
              <w:t>European</w:t>
            </w:r>
            <w:r>
              <w:rPr>
                <w:spacing w:val="-4"/>
                <w:sz w:val="24"/>
              </w:rPr>
              <w:t> </w:t>
            </w:r>
            <w:r>
              <w:rPr>
                <w:spacing w:val="-2"/>
                <w:sz w:val="24"/>
              </w:rPr>
              <w:t>Union</w:t>
            </w:r>
          </w:p>
        </w:tc>
      </w:tr>
      <w:tr>
        <w:trPr>
          <w:trHeight w:val="751" w:hRule="atLeast"/>
        </w:trPr>
        <w:tc>
          <w:tcPr>
            <w:tcW w:w="1162" w:type="dxa"/>
          </w:tcPr>
          <w:p>
            <w:pPr>
              <w:pStyle w:val="TableParagraph"/>
              <w:spacing w:before="231"/>
              <w:ind w:left="50"/>
              <w:rPr>
                <w:sz w:val="24"/>
              </w:rPr>
            </w:pPr>
            <w:r>
              <w:rPr>
                <w:spacing w:val="-2"/>
                <w:sz w:val="24"/>
              </w:rPr>
              <w:t>ATSDR</w:t>
            </w:r>
          </w:p>
        </w:tc>
        <w:tc>
          <w:tcPr>
            <w:tcW w:w="5792" w:type="dxa"/>
          </w:tcPr>
          <w:p>
            <w:pPr>
              <w:pStyle w:val="TableParagraph"/>
              <w:spacing w:before="231"/>
              <w:ind w:left="328"/>
              <w:rPr>
                <w:sz w:val="24"/>
              </w:rPr>
            </w:pPr>
            <w:r>
              <w:rPr>
                <w:sz w:val="24"/>
              </w:rPr>
              <w:t>Agency</w:t>
            </w:r>
            <w:r>
              <w:rPr>
                <w:spacing w:val="-3"/>
                <w:sz w:val="24"/>
              </w:rPr>
              <w:t> </w:t>
            </w:r>
            <w:r>
              <w:rPr>
                <w:sz w:val="24"/>
              </w:rPr>
              <w:t>for</w:t>
            </w:r>
            <w:r>
              <w:rPr>
                <w:spacing w:val="-2"/>
                <w:sz w:val="24"/>
              </w:rPr>
              <w:t> </w:t>
            </w:r>
            <w:r>
              <w:rPr>
                <w:sz w:val="24"/>
              </w:rPr>
              <w:t>Toxic</w:t>
            </w:r>
            <w:r>
              <w:rPr>
                <w:spacing w:val="-3"/>
                <w:sz w:val="24"/>
              </w:rPr>
              <w:t> </w:t>
            </w:r>
            <w:r>
              <w:rPr>
                <w:sz w:val="24"/>
              </w:rPr>
              <w:t>Substances</w:t>
            </w:r>
            <w:r>
              <w:rPr>
                <w:spacing w:val="-4"/>
                <w:sz w:val="24"/>
              </w:rPr>
              <w:t> </w:t>
            </w:r>
            <w:r>
              <w:rPr>
                <w:sz w:val="24"/>
              </w:rPr>
              <w:t>and</w:t>
            </w:r>
            <w:r>
              <w:rPr>
                <w:spacing w:val="-3"/>
                <w:sz w:val="24"/>
              </w:rPr>
              <w:t> </w:t>
            </w:r>
            <w:r>
              <w:rPr>
                <w:sz w:val="24"/>
              </w:rPr>
              <w:t>Disease</w:t>
            </w:r>
            <w:r>
              <w:rPr>
                <w:spacing w:val="-3"/>
                <w:sz w:val="24"/>
              </w:rPr>
              <w:t> </w:t>
            </w:r>
            <w:r>
              <w:rPr>
                <w:spacing w:val="-2"/>
                <w:sz w:val="24"/>
              </w:rPr>
              <w:t>Registry</w:t>
            </w:r>
          </w:p>
        </w:tc>
      </w:tr>
      <w:tr>
        <w:trPr>
          <w:trHeight w:val="751" w:hRule="atLeast"/>
        </w:trPr>
        <w:tc>
          <w:tcPr>
            <w:tcW w:w="1162" w:type="dxa"/>
          </w:tcPr>
          <w:p>
            <w:pPr>
              <w:pStyle w:val="TableParagraph"/>
              <w:spacing w:before="233"/>
              <w:ind w:left="50"/>
              <w:rPr>
                <w:sz w:val="24"/>
              </w:rPr>
            </w:pPr>
            <w:r>
              <w:rPr>
                <w:spacing w:val="-5"/>
                <w:sz w:val="24"/>
              </w:rPr>
              <w:t>MPL</w:t>
            </w:r>
          </w:p>
        </w:tc>
        <w:tc>
          <w:tcPr>
            <w:tcW w:w="5792" w:type="dxa"/>
          </w:tcPr>
          <w:p>
            <w:pPr>
              <w:pStyle w:val="TableParagraph"/>
              <w:spacing w:before="233"/>
              <w:ind w:left="328"/>
              <w:rPr>
                <w:sz w:val="24"/>
              </w:rPr>
            </w:pPr>
            <w:r>
              <w:rPr>
                <w:sz w:val="24"/>
              </w:rPr>
              <w:t>Maximum</w:t>
            </w:r>
            <w:r>
              <w:rPr>
                <w:spacing w:val="-10"/>
                <w:sz w:val="24"/>
              </w:rPr>
              <w:t> </w:t>
            </w:r>
            <w:r>
              <w:rPr>
                <w:sz w:val="24"/>
              </w:rPr>
              <w:t>Permissible</w:t>
            </w:r>
            <w:r>
              <w:rPr>
                <w:spacing w:val="-5"/>
                <w:sz w:val="24"/>
              </w:rPr>
              <w:t> </w:t>
            </w:r>
            <w:r>
              <w:rPr>
                <w:spacing w:val="-4"/>
                <w:sz w:val="24"/>
              </w:rPr>
              <w:t>Limit</w:t>
            </w:r>
          </w:p>
        </w:tc>
      </w:tr>
      <w:tr>
        <w:trPr>
          <w:trHeight w:val="507" w:hRule="atLeast"/>
        </w:trPr>
        <w:tc>
          <w:tcPr>
            <w:tcW w:w="1162" w:type="dxa"/>
          </w:tcPr>
          <w:p>
            <w:pPr>
              <w:pStyle w:val="TableParagraph"/>
              <w:spacing w:line="256" w:lineRule="exact" w:before="231"/>
              <w:ind w:left="50"/>
              <w:rPr>
                <w:sz w:val="24"/>
              </w:rPr>
            </w:pPr>
            <w:r>
              <w:rPr>
                <w:spacing w:val="-2"/>
                <w:sz w:val="24"/>
              </w:rPr>
              <w:t>A.A.S</w:t>
            </w:r>
          </w:p>
        </w:tc>
        <w:tc>
          <w:tcPr>
            <w:tcW w:w="5792" w:type="dxa"/>
          </w:tcPr>
          <w:p>
            <w:pPr>
              <w:pStyle w:val="TableParagraph"/>
              <w:spacing w:line="256" w:lineRule="exact" w:before="231"/>
              <w:ind w:left="387"/>
              <w:rPr>
                <w:sz w:val="24"/>
              </w:rPr>
            </w:pPr>
            <w:r>
              <w:rPr>
                <w:sz w:val="24"/>
              </w:rPr>
              <w:t>Atomic</w:t>
            </w:r>
            <w:r>
              <w:rPr>
                <w:spacing w:val="-3"/>
                <w:sz w:val="24"/>
              </w:rPr>
              <w:t> </w:t>
            </w:r>
            <w:r>
              <w:rPr>
                <w:sz w:val="24"/>
              </w:rPr>
              <w:t>Absorption</w:t>
            </w:r>
            <w:r>
              <w:rPr>
                <w:spacing w:val="-10"/>
                <w:sz w:val="24"/>
              </w:rPr>
              <w:t> </w:t>
            </w:r>
            <w:r>
              <w:rPr>
                <w:spacing w:val="-2"/>
                <w:sz w:val="24"/>
              </w:rPr>
              <w:t>Spectroscopy</w:t>
            </w:r>
          </w:p>
        </w:tc>
      </w:tr>
    </w:tbl>
    <w:p>
      <w:pPr>
        <w:spacing w:after="0" w:line="256" w:lineRule="exact"/>
        <w:rPr>
          <w:sz w:val="24"/>
        </w:rPr>
        <w:sectPr>
          <w:pgSz w:w="12240" w:h="15840"/>
          <w:pgMar w:header="0" w:footer="1012" w:top="1360" w:bottom="1200" w:left="1020" w:right="720"/>
        </w:sectPr>
      </w:pPr>
    </w:p>
    <w:p>
      <w:pPr>
        <w:pStyle w:val="Heading1"/>
        <w:spacing w:line="535" w:lineRule="auto" w:before="72"/>
        <w:ind w:left="4026" w:right="4560" w:hanging="47"/>
        <w:jc w:val="center"/>
      </w:pPr>
      <w:r>
        <w:rPr/>
        <w:t>CHAPTER ONE </w:t>
      </w:r>
      <w:r>
        <w:rPr>
          <w:spacing w:val="-2"/>
        </w:rPr>
        <w:t>INTRODUCTION</w:t>
      </w:r>
    </w:p>
    <w:p>
      <w:pPr>
        <w:pStyle w:val="Heading2"/>
        <w:numPr>
          <w:ilvl w:val="1"/>
          <w:numId w:val="15"/>
        </w:numPr>
        <w:tabs>
          <w:tab w:pos="4141" w:val="left" w:leader="none"/>
        </w:tabs>
        <w:spacing w:line="275" w:lineRule="exact" w:before="0" w:after="0"/>
        <w:ind w:left="4141" w:right="0" w:hanging="3356"/>
        <w:jc w:val="left"/>
      </w:pPr>
      <w:bookmarkStart w:name="_TOC_250021" w:id="8"/>
      <w:bookmarkEnd w:id="8"/>
      <w:r>
        <w:rPr>
          <w:spacing w:val="-2"/>
        </w:rPr>
        <w:t>Background</w:t>
      </w:r>
    </w:p>
    <w:p>
      <w:pPr>
        <w:pStyle w:val="BodyText"/>
        <w:spacing w:before="62"/>
        <w:rPr>
          <w:b/>
        </w:rPr>
      </w:pPr>
    </w:p>
    <w:p>
      <w:pPr>
        <w:pStyle w:val="BodyText"/>
        <w:spacing w:line="480" w:lineRule="auto"/>
        <w:ind w:left="780" w:right="717"/>
        <w:jc w:val="both"/>
        <w:rPr>
          <w:rFonts w:ascii="Calibri"/>
        </w:rPr>
      </w:pPr>
      <w:r>
        <w:rPr/>
        <w:t>Environmental</w:t>
      </w:r>
      <w:r>
        <w:rPr>
          <w:spacing w:val="-4"/>
        </w:rPr>
        <w:t> </w:t>
      </w:r>
      <w:r>
        <w:rPr/>
        <w:t>problems are becoming global issues because of</w:t>
      </w:r>
      <w:r>
        <w:rPr>
          <w:spacing w:val="-2"/>
        </w:rPr>
        <w:t> </w:t>
      </w:r>
      <w:r>
        <w:rPr/>
        <w:t>their effects on all nations of the world. These are present day major interests of political, economic, social and environmental concerns because of their potential negative impacts to our lives and the ecosystem in general (Costa, 2000). Environmental pollution is a major global problem posing serious risk to man and animals. From 1900 to 2000 have seen an increase in global concern over the public health impacts attributed to environmental pollution, in particular,</w:t>
      </w:r>
      <w:r>
        <w:rPr>
          <w:spacing w:val="40"/>
        </w:rPr>
        <w:t> </w:t>
      </w:r>
      <w:r>
        <w:rPr/>
        <w:t>the global burden of disease United Nations Development Project (UNDP, 2010). The development of modern technology and the rapid industrialization are among the foremost factors for environmental pollution. The environmental pollutants are spread through different channels, many</w:t>
      </w:r>
      <w:r>
        <w:rPr>
          <w:spacing w:val="-1"/>
        </w:rPr>
        <w:t> </w:t>
      </w:r>
      <w:r>
        <w:rPr/>
        <w:t>of which finally enter into food chain</w:t>
      </w:r>
      <w:r>
        <w:rPr>
          <w:spacing w:val="-1"/>
        </w:rPr>
        <w:t> </w:t>
      </w:r>
      <w:r>
        <w:rPr/>
        <w:t>of livestock and man (</w:t>
      </w:r>
      <w:hyperlink r:id="rId7">
        <w:r>
          <w:rPr>
            <w:rFonts w:ascii="Calibri"/>
            <w:u w:val="single"/>
          </w:rPr>
          <w:t>Kaplan</w:t>
        </w:r>
      </w:hyperlink>
    </w:p>
    <w:p>
      <w:pPr>
        <w:pStyle w:val="BodyText"/>
        <w:spacing w:line="480" w:lineRule="auto" w:before="12"/>
        <w:ind w:left="780" w:right="713"/>
        <w:jc w:val="both"/>
      </w:pPr>
      <w:hyperlink r:id="rId7">
        <w:r>
          <w:rPr>
            <w:rFonts w:ascii="Calibri"/>
            <w:i/>
            <w:u w:val="single"/>
          </w:rPr>
          <w:t>et al</w:t>
        </w:r>
        <w:r>
          <w:rPr>
            <w:rFonts w:ascii="Calibri"/>
            <w:u w:val="single"/>
          </w:rPr>
          <w:t>., 201</w:t>
        </w:r>
      </w:hyperlink>
      <w:r>
        <w:rPr/>
        <w:t>0). There is increasing concern about environmental</w:t>
      </w:r>
      <w:r>
        <w:rPr>
          <w:spacing w:val="-5"/>
        </w:rPr>
        <w:t> </w:t>
      </w:r>
      <w:r>
        <w:rPr/>
        <w:t>pollutants emanating from</w:t>
      </w:r>
      <w:r>
        <w:rPr>
          <w:spacing w:val="-5"/>
        </w:rPr>
        <w:t> </w:t>
      </w:r>
      <w:r>
        <w:rPr/>
        <w:t>the livestock production systems (</w:t>
      </w:r>
      <w:hyperlink r:id="rId7">
        <w:r>
          <w:rPr>
            <w:rFonts w:ascii="Calibri"/>
            <w:u w:val="single"/>
          </w:rPr>
          <w:t>Kaplan </w:t>
        </w:r>
        <w:r>
          <w:rPr>
            <w:rFonts w:ascii="Calibri"/>
            <w:i/>
            <w:u w:val="single"/>
          </w:rPr>
          <w:t>et al</w:t>
        </w:r>
        <w:r>
          <w:rPr>
            <w:rFonts w:ascii="Calibri"/>
            <w:u w:val="single"/>
          </w:rPr>
          <w:t>., 2010</w:t>
        </w:r>
      </w:hyperlink>
      <w:r>
        <w:rPr/>
        <w:t>). Pollution of the environment has significant impact on living organisms. Various anthropogenic activities such as burning of fossil fuel, mining and metallurgy, industries and transport sectors redistribute toxic heavy metals into the environment, which persist for a considerably longer period and are translocated</w:t>
      </w:r>
      <w:r>
        <w:rPr>
          <w:spacing w:val="-2"/>
        </w:rPr>
        <w:t> </w:t>
      </w:r>
      <w:r>
        <w:rPr/>
        <w:t>to different components in</w:t>
      </w:r>
      <w:r>
        <w:rPr>
          <w:spacing w:val="-2"/>
        </w:rPr>
        <w:t> </w:t>
      </w:r>
      <w:r>
        <w:rPr/>
        <w:t>environment affecting the biota (</w:t>
      </w:r>
      <w:hyperlink r:id="rId7">
        <w:r>
          <w:rPr>
            <w:rFonts w:ascii="Calibri"/>
            <w:u w:val="single"/>
          </w:rPr>
          <w:t>Kaplan </w:t>
        </w:r>
        <w:r>
          <w:rPr>
            <w:rFonts w:ascii="Calibri"/>
            <w:i/>
            <w:u w:val="single"/>
          </w:rPr>
          <w:t>et al</w:t>
        </w:r>
        <w:r>
          <w:rPr>
            <w:rFonts w:ascii="Calibri"/>
            <w:u w:val="single"/>
          </w:rPr>
          <w:t>., 2010</w:t>
        </w:r>
      </w:hyperlink>
      <w:r>
        <w:rPr/>
        <w:t>). These toxicants are accumulated in the vital organs including liver and kidney and exert adverse effects on domestic and wild populations (Khan </w:t>
      </w:r>
      <w:r>
        <w:rPr>
          <w:i/>
        </w:rPr>
        <w:t>et al</w:t>
      </w:r>
      <w:r>
        <w:rPr/>
        <w:t>., 2012). The effluents from livestock systems can affect</w:t>
      </w:r>
      <w:r>
        <w:rPr>
          <w:spacing w:val="21"/>
        </w:rPr>
        <w:t> </w:t>
      </w:r>
      <w:r>
        <w:rPr/>
        <w:t>the micro</w:t>
      </w:r>
      <w:r>
        <w:rPr>
          <w:spacing w:val="20"/>
        </w:rPr>
        <w:t> </w:t>
      </w:r>
      <w:r>
        <w:rPr/>
        <w:t>and</w:t>
      </w:r>
      <w:r>
        <w:rPr>
          <w:spacing w:val="21"/>
        </w:rPr>
        <w:t> </w:t>
      </w:r>
      <w:r>
        <w:rPr/>
        <w:t>macro</w:t>
      </w:r>
      <w:r>
        <w:rPr>
          <w:spacing w:val="20"/>
        </w:rPr>
        <w:t> </w:t>
      </w:r>
      <w:r>
        <w:rPr/>
        <w:t>environment,</w:t>
      </w:r>
      <w:r>
        <w:rPr>
          <w:spacing w:val="18"/>
        </w:rPr>
        <w:t> </w:t>
      </w:r>
      <w:r>
        <w:rPr/>
        <w:t>viz.,</w:t>
      </w:r>
      <w:r>
        <w:rPr>
          <w:spacing w:val="18"/>
        </w:rPr>
        <w:t> </w:t>
      </w:r>
      <w:r>
        <w:rPr/>
        <w:t>water,</w:t>
      </w:r>
      <w:r>
        <w:rPr>
          <w:spacing w:val="18"/>
        </w:rPr>
        <w:t> </w:t>
      </w:r>
      <w:r>
        <w:rPr/>
        <w:t>atmosphere and</w:t>
      </w:r>
    </w:p>
    <w:p>
      <w:pPr>
        <w:spacing w:after="0" w:line="480" w:lineRule="auto"/>
        <w:jc w:val="both"/>
        <w:sectPr>
          <w:footerReference w:type="default" r:id="rId6"/>
          <w:pgSz w:w="12240" w:h="15840"/>
          <w:pgMar w:header="0" w:footer="1012" w:top="1360" w:bottom="1200" w:left="1020" w:right="720"/>
          <w:pgNumType w:start="1"/>
        </w:sectPr>
      </w:pPr>
    </w:p>
    <w:p>
      <w:pPr>
        <w:pStyle w:val="BodyText"/>
        <w:spacing w:line="480" w:lineRule="auto" w:before="72"/>
        <w:ind w:left="780" w:right="716"/>
        <w:jc w:val="both"/>
      </w:pPr>
      <w:r>
        <w:rPr/>
        <w:t>food chain. Heavy metals or trace elements are a large group</w:t>
      </w:r>
      <w:r>
        <w:rPr>
          <w:spacing w:val="-1"/>
        </w:rPr>
        <w:t> </w:t>
      </w:r>
      <w:r>
        <w:rPr/>
        <w:t>of</w:t>
      </w:r>
      <w:r>
        <w:rPr>
          <w:spacing w:val="-4"/>
        </w:rPr>
        <w:t> </w:t>
      </w:r>
      <w:r>
        <w:rPr/>
        <w:t>elements with</w:t>
      </w:r>
      <w:r>
        <w:rPr>
          <w:spacing w:val="-1"/>
        </w:rPr>
        <w:t> </w:t>
      </w:r>
      <w:r>
        <w:rPr/>
        <w:t>higher density generally greater than 5 gm/cm</w:t>
      </w:r>
      <w:r>
        <w:rPr>
          <w:vertAlign w:val="superscript"/>
        </w:rPr>
        <w:t>3</w:t>
      </w:r>
      <w:r>
        <w:rPr>
          <w:vertAlign w:val="baseline"/>
        </w:rPr>
        <w:t>.</w:t>
      </w:r>
    </w:p>
    <w:p>
      <w:pPr>
        <w:pStyle w:val="BodyText"/>
        <w:spacing w:line="480" w:lineRule="auto" w:before="202"/>
        <w:ind w:left="780" w:right="720" w:firstLine="57"/>
        <w:jc w:val="both"/>
      </w:pPr>
      <w:r>
        <w:rPr/>
        <w:t>These elements are important both industrially and biologically. Heavy metals occur naturally in earth‟s crust and surface soils in varying concentrations. Natural Processes like weathering, erosion remove small amounts of metals from the bed rocks and allow them to circulate in water and air. Heavy metals like Zn, Se, Cu, and Fe are essential</w:t>
      </w:r>
      <w:r>
        <w:rPr>
          <w:spacing w:val="-1"/>
        </w:rPr>
        <w:t> </w:t>
      </w:r>
      <w:r>
        <w:rPr/>
        <w:t>to maintain the metabolism of the human body and play important role in chemical, biological, biochemical and enzymatic reactions in the cells of plants, animals and human beings. Heavy metals are also</w:t>
      </w:r>
      <w:r>
        <w:rPr>
          <w:spacing w:val="-3"/>
        </w:rPr>
        <w:t> </w:t>
      </w:r>
      <w:r>
        <w:rPr/>
        <w:t>known</w:t>
      </w:r>
      <w:r>
        <w:rPr>
          <w:spacing w:val="-7"/>
        </w:rPr>
        <w:t> </w:t>
      </w:r>
      <w:r>
        <w:rPr/>
        <w:t>as</w:t>
      </w:r>
      <w:r>
        <w:rPr>
          <w:spacing w:val="-5"/>
        </w:rPr>
        <w:t> </w:t>
      </w:r>
      <w:r>
        <w:rPr/>
        <w:t>„trace</w:t>
      </w:r>
      <w:r>
        <w:rPr>
          <w:spacing w:val="-4"/>
        </w:rPr>
        <w:t> </w:t>
      </w:r>
      <w:r>
        <w:rPr/>
        <w:t>inorganic‟</w:t>
      </w:r>
      <w:r>
        <w:rPr>
          <w:spacing w:val="-6"/>
        </w:rPr>
        <w:t> </w:t>
      </w:r>
      <w:r>
        <w:rPr/>
        <w:t>micronutrients‟,</w:t>
      </w:r>
      <w:r>
        <w:rPr>
          <w:spacing w:val="-5"/>
        </w:rPr>
        <w:t> </w:t>
      </w:r>
      <w:r>
        <w:rPr/>
        <w:t>„toxic</w:t>
      </w:r>
      <w:r>
        <w:rPr>
          <w:spacing w:val="-4"/>
        </w:rPr>
        <w:t> </w:t>
      </w:r>
      <w:r>
        <w:rPr/>
        <w:t>elements‟</w:t>
      </w:r>
      <w:r>
        <w:rPr>
          <w:spacing w:val="-10"/>
        </w:rPr>
        <w:t> </w:t>
      </w:r>
      <w:r>
        <w:rPr/>
        <w:t>etc.</w:t>
      </w:r>
      <w:r>
        <w:rPr>
          <w:spacing w:val="-5"/>
        </w:rPr>
        <w:t> </w:t>
      </w:r>
      <w:r>
        <w:rPr/>
        <w:t>More</w:t>
      </w:r>
      <w:r>
        <w:rPr>
          <w:spacing w:val="-7"/>
        </w:rPr>
        <w:t> </w:t>
      </w:r>
      <w:r>
        <w:rPr/>
        <w:t>than</w:t>
      </w:r>
      <w:r>
        <w:rPr>
          <w:spacing w:val="-7"/>
        </w:rPr>
        <w:t> </w:t>
      </w:r>
      <w:r>
        <w:rPr/>
        <w:t>60</w:t>
      </w:r>
      <w:r>
        <w:rPr>
          <w:spacing w:val="-7"/>
        </w:rPr>
        <w:t> </w:t>
      </w:r>
      <w:r>
        <w:rPr/>
        <w:t>elements in various parts of human body have been detected, but only 17 are available in living cells.</w:t>
      </w:r>
    </w:p>
    <w:p>
      <w:pPr>
        <w:pStyle w:val="BodyText"/>
        <w:spacing w:line="480" w:lineRule="auto" w:before="199"/>
        <w:ind w:left="780" w:right="712"/>
        <w:jc w:val="both"/>
      </w:pPr>
      <w:r>
        <w:rPr/>
        <w:t>Heavy</w:t>
      </w:r>
      <w:r>
        <w:rPr>
          <w:spacing w:val="-2"/>
        </w:rPr>
        <w:t> </w:t>
      </w:r>
      <w:r>
        <w:rPr/>
        <w:t>metals like</w:t>
      </w:r>
      <w:r>
        <w:rPr>
          <w:spacing w:val="-3"/>
        </w:rPr>
        <w:t> </w:t>
      </w:r>
      <w:r>
        <w:rPr/>
        <w:t>Mn, Mo, Fe</w:t>
      </w:r>
      <w:r>
        <w:rPr>
          <w:spacing w:val="-3"/>
        </w:rPr>
        <w:t> </w:t>
      </w:r>
      <w:r>
        <w:rPr/>
        <w:t>are</w:t>
      </w:r>
      <w:r>
        <w:rPr>
          <w:spacing w:val="-3"/>
        </w:rPr>
        <w:t> </w:t>
      </w:r>
      <w:r>
        <w:rPr/>
        <w:t>more</w:t>
      </w:r>
      <w:r>
        <w:rPr>
          <w:spacing w:val="-3"/>
        </w:rPr>
        <w:t> </w:t>
      </w:r>
      <w:r>
        <w:rPr/>
        <w:t>important</w:t>
      </w:r>
      <w:r>
        <w:rPr>
          <w:spacing w:val="-6"/>
        </w:rPr>
        <w:t> </w:t>
      </w:r>
      <w:r>
        <w:rPr/>
        <w:t>as micronutrients</w:t>
      </w:r>
      <w:r>
        <w:rPr>
          <w:spacing w:val="-4"/>
        </w:rPr>
        <w:t> </w:t>
      </w:r>
      <w:r>
        <w:rPr/>
        <w:t>while</w:t>
      </w:r>
      <w:r>
        <w:rPr>
          <w:spacing w:val="-3"/>
        </w:rPr>
        <w:t> </w:t>
      </w:r>
      <w:r>
        <w:rPr/>
        <w:t>Ni, Cu, Co, V,</w:t>
      </w:r>
      <w:r>
        <w:rPr>
          <w:spacing w:val="-5"/>
        </w:rPr>
        <w:t> </w:t>
      </w:r>
      <w:r>
        <w:rPr/>
        <w:t>Zn, W and Cr are of lower importance and can be toxic beyond the limits (Duruibe </w:t>
      </w:r>
      <w:r>
        <w:rPr>
          <w:i/>
        </w:rPr>
        <w:t>et al</w:t>
      </w:r>
      <w:r>
        <w:rPr/>
        <w:t>., 2007). Heavy metals like Cd, Pb, Mg, As, Sb, have no biological functions, but are rather toxic to living organisms (Duruibe </w:t>
      </w:r>
      <w:r>
        <w:rPr>
          <w:i/>
        </w:rPr>
        <w:t>et al</w:t>
      </w:r>
      <w:r>
        <w:rPr/>
        <w:t>., 2007). Injury to human caused by heavy metals has been well recognized in many botanical and chemical investigations during past years. Heavy metals occur in all ecosystems of the world. The total concentration of heavy metals in soil and water however varies from local to regional and further to continental level. Heavy metals are very harmful in reference to their non biodegradable nature, long biological half lives and their potential to accumulate in different body parts. Most of the heavy metals are extremely toxic. Even at low concentrations heavy metals can have damaging effects in human beings and animals as there is no good mechanism for their elimination from the</w:t>
      </w:r>
      <w:r>
        <w:rPr>
          <w:spacing w:val="40"/>
        </w:rPr>
        <w:t> </w:t>
      </w:r>
      <w:r>
        <w:rPr/>
        <w:t>body. The heavy metals</w:t>
      </w:r>
      <w:r>
        <w:rPr>
          <w:spacing w:val="-1"/>
        </w:rPr>
        <w:t> </w:t>
      </w:r>
      <w:r>
        <w:rPr/>
        <w:t>are taken</w:t>
      </w:r>
      <w:r>
        <w:rPr>
          <w:spacing w:val="-4"/>
        </w:rPr>
        <w:t> </w:t>
      </w:r>
      <w:r>
        <w:rPr/>
        <w:t>up faster</w:t>
      </w:r>
      <w:r>
        <w:rPr>
          <w:spacing w:val="-2"/>
        </w:rPr>
        <w:t> </w:t>
      </w:r>
      <w:r>
        <w:rPr/>
        <w:t>than</w:t>
      </w:r>
      <w:r>
        <w:rPr>
          <w:spacing w:val="-4"/>
        </w:rPr>
        <w:t> </w:t>
      </w:r>
      <w:r>
        <w:rPr/>
        <w:t>they</w:t>
      </w:r>
      <w:r>
        <w:rPr>
          <w:spacing w:val="-9"/>
        </w:rPr>
        <w:t> </w:t>
      </w:r>
      <w:r>
        <w:rPr/>
        <w:t>are metabolized or excreted. Even</w:t>
      </w:r>
      <w:r>
        <w:rPr>
          <w:spacing w:val="-4"/>
        </w:rPr>
        <w:t> </w:t>
      </w:r>
      <w:r>
        <w:rPr/>
        <w:t>those</w:t>
      </w:r>
    </w:p>
    <w:p>
      <w:pPr>
        <w:spacing w:after="0" w:line="480" w:lineRule="auto"/>
        <w:jc w:val="both"/>
        <w:sectPr>
          <w:pgSz w:w="12240" w:h="15840"/>
          <w:pgMar w:header="0" w:footer="1012" w:top="1360" w:bottom="1200" w:left="1020" w:right="720"/>
        </w:sectPr>
      </w:pPr>
    </w:p>
    <w:p>
      <w:pPr>
        <w:pStyle w:val="BodyText"/>
        <w:spacing w:line="480" w:lineRule="auto" w:before="72"/>
        <w:ind w:left="780" w:right="727"/>
        <w:jc w:val="both"/>
      </w:pPr>
      <w:r>
        <w:rPr/>
        <w:t>heavy metals which are considered to be essential can become toxic when present in excessively high levels (Gabriel </w:t>
      </w:r>
      <w:r>
        <w:rPr>
          <w:i/>
        </w:rPr>
        <w:t>et al</w:t>
      </w:r>
      <w:r>
        <w:rPr/>
        <w:t>., 2007).</w:t>
      </w:r>
    </w:p>
    <w:p>
      <w:pPr>
        <w:pStyle w:val="BodyText"/>
        <w:spacing w:line="480" w:lineRule="auto" w:before="202"/>
        <w:ind w:left="511" w:right="711"/>
        <w:jc w:val="both"/>
      </w:pPr>
      <w:r>
        <w:rPr/>
        <w:t>The heavy metals can impair important biochemical processes posing a threat to human health (UNDP, 2010). As the usage of metals increased inexorably, so did the pollution associated</w:t>
      </w:r>
      <w:r>
        <w:rPr>
          <w:spacing w:val="80"/>
        </w:rPr>
        <w:t> </w:t>
      </w:r>
      <w:r>
        <w:rPr/>
        <w:t>with it. Changes in the environment due to anthropogenic activities may have strong impact on the physiology and ecology of the organisms. Human activities and consequent developments have brought about degradation of all facets of the natural environment; physical, chemical, biological and social which are adversely affecting the quality of life (Morison, 2011). Rapid developments, increase in mining, industrial</w:t>
      </w:r>
      <w:r>
        <w:rPr>
          <w:spacing w:val="-2"/>
        </w:rPr>
        <w:t> </w:t>
      </w:r>
      <w:r>
        <w:rPr/>
        <w:t>activities, have gradually</w:t>
      </w:r>
      <w:r>
        <w:rPr>
          <w:spacing w:val="-2"/>
        </w:rPr>
        <w:t> </w:t>
      </w:r>
      <w:r>
        <w:rPr/>
        <w:t>redistributed many</w:t>
      </w:r>
      <w:r>
        <w:rPr>
          <w:spacing w:val="-2"/>
        </w:rPr>
        <w:t> </w:t>
      </w:r>
      <w:r>
        <w:rPr/>
        <w:t>of</w:t>
      </w:r>
      <w:r>
        <w:rPr>
          <w:spacing w:val="-4"/>
        </w:rPr>
        <w:t> </w:t>
      </w:r>
      <w:r>
        <w:rPr/>
        <w:t>the toxic metals from the earth crust to the environment, raising the chances of exposure through ingestion, inhalation or on skin contact. Heavy metals can have different sources or origin e.g. smelters, tannery, mines, steel mills, coal fired power plants which can lead to metal pollution. Other sources</w:t>
      </w:r>
      <w:r>
        <w:rPr>
          <w:spacing w:val="-2"/>
        </w:rPr>
        <w:t> </w:t>
      </w:r>
      <w:r>
        <w:rPr/>
        <w:t>of</w:t>
      </w:r>
      <w:r>
        <w:rPr>
          <w:spacing w:val="-3"/>
        </w:rPr>
        <w:t> </w:t>
      </w:r>
      <w:r>
        <w:rPr/>
        <w:t>metal</w:t>
      </w:r>
      <w:r>
        <w:rPr>
          <w:spacing w:val="-9"/>
        </w:rPr>
        <w:t> </w:t>
      </w:r>
      <w:r>
        <w:rPr/>
        <w:t>pollution</w:t>
      </w:r>
      <w:r>
        <w:rPr>
          <w:spacing w:val="-5"/>
        </w:rPr>
        <w:t> </w:t>
      </w:r>
      <w:r>
        <w:rPr/>
        <w:t>are</w:t>
      </w:r>
      <w:r>
        <w:rPr>
          <w:spacing w:val="-2"/>
        </w:rPr>
        <w:t> </w:t>
      </w:r>
      <w:r>
        <w:rPr/>
        <w:t>sewage sludge, compost refuse, fly</w:t>
      </w:r>
      <w:r>
        <w:rPr>
          <w:spacing w:val="-5"/>
        </w:rPr>
        <w:t> </w:t>
      </w:r>
      <w:r>
        <w:rPr/>
        <w:t>ash, industrial</w:t>
      </w:r>
      <w:r>
        <w:rPr>
          <w:spacing w:val="-5"/>
        </w:rPr>
        <w:t> </w:t>
      </w:r>
      <w:r>
        <w:rPr/>
        <w:t>wastes</w:t>
      </w:r>
      <w:r>
        <w:rPr>
          <w:spacing w:val="-2"/>
        </w:rPr>
        <w:t> </w:t>
      </w:r>
      <w:r>
        <w:rPr/>
        <w:t>or effluents.</w:t>
      </w:r>
      <w:r>
        <w:rPr>
          <w:spacing w:val="40"/>
        </w:rPr>
        <w:t> </w:t>
      </w:r>
      <w:r>
        <w:rPr/>
        <w:t>Emission</w:t>
      </w:r>
      <w:r>
        <w:rPr>
          <w:spacing w:val="-7"/>
        </w:rPr>
        <w:t> </w:t>
      </w:r>
      <w:r>
        <w:rPr/>
        <w:t>of</w:t>
      </w:r>
      <w:r>
        <w:rPr>
          <w:spacing w:val="-5"/>
        </w:rPr>
        <w:t> </w:t>
      </w:r>
      <w:r>
        <w:rPr/>
        <w:t>heavy</w:t>
      </w:r>
      <w:r>
        <w:rPr>
          <w:spacing w:val="-2"/>
        </w:rPr>
        <w:t> </w:t>
      </w:r>
      <w:r>
        <w:rPr/>
        <w:t>metals as</w:t>
      </w:r>
      <w:r>
        <w:rPr>
          <w:spacing w:val="-4"/>
        </w:rPr>
        <w:t> </w:t>
      </w:r>
      <w:r>
        <w:rPr/>
        <w:t>particulate</w:t>
      </w:r>
      <w:r>
        <w:rPr>
          <w:spacing w:val="-3"/>
        </w:rPr>
        <w:t> </w:t>
      </w:r>
      <w:r>
        <w:rPr/>
        <w:t>matter and</w:t>
      </w:r>
      <w:r>
        <w:rPr>
          <w:spacing w:val="-2"/>
        </w:rPr>
        <w:t> </w:t>
      </w:r>
      <w:r>
        <w:rPr/>
        <w:t>gases from</w:t>
      </w:r>
      <w:r>
        <w:rPr>
          <w:spacing w:val="-7"/>
        </w:rPr>
        <w:t> </w:t>
      </w:r>
      <w:r>
        <w:rPr/>
        <w:t>volcanoes, forest fires, crusted materials and continental dust have always been a natural input sources to soils and ecosystems. The spreading of urban waste and sewage sludge in agricultural fields has been a common practice since decades. Sewage sludge, live stock manure, waste water irrigation are feasible alternatives for reutilization of residual resource of high nutrient and organic matter contents</w:t>
      </w:r>
      <w:r>
        <w:rPr>
          <w:spacing w:val="-2"/>
        </w:rPr>
        <w:t> </w:t>
      </w:r>
      <w:r>
        <w:rPr/>
        <w:t>representing a</w:t>
      </w:r>
      <w:r>
        <w:rPr>
          <w:spacing w:val="-1"/>
        </w:rPr>
        <w:t> </w:t>
      </w:r>
      <w:r>
        <w:rPr/>
        <w:t>good fertilizer or soil</w:t>
      </w:r>
      <w:r>
        <w:rPr>
          <w:spacing w:val="-5"/>
        </w:rPr>
        <w:t> </w:t>
      </w:r>
      <w:r>
        <w:rPr/>
        <w:t>conditioner for plants</w:t>
      </w:r>
      <w:r>
        <w:rPr>
          <w:spacing w:val="-2"/>
        </w:rPr>
        <w:t> </w:t>
      </w:r>
      <w:r>
        <w:rPr/>
        <w:t>and soil</w:t>
      </w:r>
      <w:r>
        <w:rPr>
          <w:spacing w:val="-5"/>
        </w:rPr>
        <w:t> </w:t>
      </w:r>
      <w:r>
        <w:rPr/>
        <w:t>(Singh </w:t>
      </w:r>
      <w:r>
        <w:rPr>
          <w:i/>
        </w:rPr>
        <w:t>et al., </w:t>
      </w:r>
      <w:r>
        <w:rPr/>
        <w:t>2012). Cattle and poultry manure generally contains elevated concentrations of Cu and Zn which improve food conversion efficiency. Arsenic was also used for this purpose (Giacomino </w:t>
      </w:r>
      <w:r>
        <w:rPr>
          <w:i/>
        </w:rPr>
        <w:t>et al., </w:t>
      </w:r>
      <w:r>
        <w:rPr/>
        <w:t>2007). Beneficial properties of sludge and manures are limited by their contents of potentially harmful</w:t>
      </w:r>
      <w:r>
        <w:rPr>
          <w:spacing w:val="4"/>
        </w:rPr>
        <w:t> </w:t>
      </w:r>
      <w:r>
        <w:rPr/>
        <w:t>substances</w:t>
      </w:r>
      <w:r>
        <w:rPr>
          <w:spacing w:val="7"/>
        </w:rPr>
        <w:t> </w:t>
      </w:r>
      <w:r>
        <w:rPr/>
        <w:t>such</w:t>
      </w:r>
      <w:r>
        <w:rPr>
          <w:spacing w:val="3"/>
        </w:rPr>
        <w:t> </w:t>
      </w:r>
      <w:r>
        <w:rPr/>
        <w:t>as</w:t>
      </w:r>
      <w:r>
        <w:rPr>
          <w:spacing w:val="7"/>
        </w:rPr>
        <w:t> </w:t>
      </w:r>
      <w:r>
        <w:rPr/>
        <w:t>heavy</w:t>
      </w:r>
      <w:r>
        <w:rPr>
          <w:spacing w:val="3"/>
        </w:rPr>
        <w:t> </w:t>
      </w:r>
      <w:r>
        <w:rPr/>
        <w:t>metals</w:t>
      </w:r>
      <w:r>
        <w:rPr>
          <w:spacing w:val="7"/>
        </w:rPr>
        <w:t> </w:t>
      </w:r>
      <w:r>
        <w:rPr/>
        <w:t>and</w:t>
      </w:r>
      <w:r>
        <w:rPr>
          <w:spacing w:val="8"/>
        </w:rPr>
        <w:t> </w:t>
      </w:r>
      <w:r>
        <w:rPr/>
        <w:t>organic</w:t>
      </w:r>
      <w:r>
        <w:rPr>
          <w:spacing w:val="13"/>
        </w:rPr>
        <w:t> </w:t>
      </w:r>
      <w:r>
        <w:rPr/>
        <w:t>micro</w:t>
      </w:r>
      <w:r>
        <w:rPr>
          <w:spacing w:val="13"/>
        </w:rPr>
        <w:t> </w:t>
      </w:r>
      <w:r>
        <w:rPr/>
        <w:t>pollutants</w:t>
      </w:r>
      <w:r>
        <w:rPr>
          <w:spacing w:val="6"/>
        </w:rPr>
        <w:t> </w:t>
      </w:r>
      <w:r>
        <w:rPr/>
        <w:t>(Nicholson</w:t>
      </w:r>
      <w:r>
        <w:rPr>
          <w:spacing w:val="16"/>
        </w:rPr>
        <w:t> </w:t>
      </w:r>
      <w:r>
        <w:rPr>
          <w:i/>
        </w:rPr>
        <w:t>et</w:t>
      </w:r>
      <w:r>
        <w:rPr>
          <w:i/>
          <w:spacing w:val="9"/>
        </w:rPr>
        <w:t> </w:t>
      </w:r>
      <w:r>
        <w:rPr>
          <w:i/>
        </w:rPr>
        <w:t>al.,</w:t>
      </w:r>
      <w:r>
        <w:rPr>
          <w:i/>
          <w:spacing w:val="8"/>
        </w:rPr>
        <w:t> </w:t>
      </w:r>
      <w:r>
        <w:rPr>
          <w:spacing w:val="-2"/>
        </w:rPr>
        <w:t>2000).</w:t>
      </w:r>
    </w:p>
    <w:p>
      <w:pPr>
        <w:spacing w:after="0" w:line="480" w:lineRule="auto"/>
        <w:jc w:val="both"/>
        <w:sectPr>
          <w:pgSz w:w="12240" w:h="15840"/>
          <w:pgMar w:header="0" w:footer="1012" w:top="1360" w:bottom="1200" w:left="1020" w:right="720"/>
        </w:sectPr>
      </w:pPr>
    </w:p>
    <w:p>
      <w:pPr>
        <w:pStyle w:val="BodyText"/>
        <w:spacing w:line="480" w:lineRule="auto" w:before="72"/>
        <w:ind w:left="511" w:right="712"/>
        <w:jc w:val="both"/>
      </w:pPr>
      <w:r>
        <w:rPr/>
        <w:t>Sludge and manure Atmospheric emissions are also a matter of great concern. Leaded gasoline in vehicles is one of the major sources of Pb pollution in the cities worldwide (Azeez </w:t>
      </w:r>
      <w:r>
        <w:rPr>
          <w:i/>
        </w:rPr>
        <w:t>et al., </w:t>
      </w:r>
      <w:r>
        <w:rPr/>
        <w:t>2012). Ramadan (2007) reported that only 3% of Pb in the soil is translocated through roots to the shoots and fruits, rest are due to absorption through foliage. Sources like engine oils, corrosion of batteries, wear and tear of tyres, vehicular parts contribute for Cu, Pb and so on (Duruib </w:t>
      </w:r>
      <w:r>
        <w:rPr>
          <w:i/>
        </w:rPr>
        <w:t>et al</w:t>
      </w:r>
      <w:r>
        <w:rPr/>
        <w:t>., 2007). Moreover bitumen, mineral filler materials in asphalt road surfaces has also been reported to contain metals like Cu, Zn, Cd and Pb (Haque </w:t>
      </w:r>
      <w:r>
        <w:rPr>
          <w:i/>
        </w:rPr>
        <w:t>et al., </w:t>
      </w:r>
      <w:r>
        <w:rPr/>
        <w:t>2005). It is not completely possible to avoid exposure to toxic metals because people who are not occupationally exposed carry certain heavy metals into their body due to food, beverages or inhalation of air. It is however possible to reduce metal toxicity risk through life style choices that diminish the probability of harmful heavy metals uptake such as dietary measures that may promote safe metabolism or excretion of ingested heavy metals. Food chain contamination by heavy metals has become a blazing issue in recent years because of their accumulation in the bio-system through contaminated water, soil and air. Fertilizers may be responsible for heavy metal addition in very small amounts however on the other hand sewage sludge may add them 100 times more in short duration (Cang </w:t>
      </w:r>
      <w:r>
        <w:rPr>
          <w:i/>
        </w:rPr>
        <w:t>et al., </w:t>
      </w:r>
      <w:r>
        <w:rPr/>
        <w:t>2012). Toxic metals in the atmosphere also get accumulated in soils through precipitation and fallout. Availability of heavy metals to plants is due to mining activities, industrial exhausts and effluents, atmospheric depositions, waste disposals, agro-chemicals. However availability of heavy metals to plants depends on various physicochemical properties of soil. Metal toxicity in plants is aggravated at higher temperature and low pH as it</w:t>
      </w:r>
      <w:r>
        <w:rPr>
          <w:spacing w:val="22"/>
        </w:rPr>
        <w:t> </w:t>
      </w:r>
      <w:r>
        <w:rPr/>
        <w:t>facilitates the mobility from roots to shoots. Therefore a better understanding of</w:t>
      </w:r>
      <w:r>
        <w:rPr>
          <w:spacing w:val="-7"/>
        </w:rPr>
        <w:t> </w:t>
      </w:r>
      <w:r>
        <w:rPr/>
        <w:t>heavy</w:t>
      </w:r>
      <w:r>
        <w:rPr>
          <w:spacing w:val="-4"/>
        </w:rPr>
        <w:t> </w:t>
      </w:r>
      <w:r>
        <w:rPr/>
        <w:t>metal</w:t>
      </w:r>
      <w:r>
        <w:rPr>
          <w:spacing w:val="-4"/>
        </w:rPr>
        <w:t> </w:t>
      </w:r>
      <w:r>
        <w:rPr/>
        <w:t>sources,</w:t>
      </w:r>
      <w:r>
        <w:rPr>
          <w:spacing w:val="-2"/>
        </w:rPr>
        <w:t> </w:t>
      </w:r>
      <w:r>
        <w:rPr/>
        <w:t>their accumulation in</w:t>
      </w:r>
      <w:r>
        <w:rPr>
          <w:spacing w:val="-4"/>
        </w:rPr>
        <w:t> </w:t>
      </w:r>
      <w:r>
        <w:rPr/>
        <w:t>Soil</w:t>
      </w:r>
      <w:r>
        <w:rPr>
          <w:spacing w:val="-4"/>
        </w:rPr>
        <w:t> </w:t>
      </w:r>
      <w:r>
        <w:rPr/>
        <w:t>and water and their effect on</w:t>
      </w:r>
      <w:r>
        <w:rPr>
          <w:spacing w:val="-4"/>
        </w:rPr>
        <w:t> </w:t>
      </w:r>
      <w:r>
        <w:rPr/>
        <w:t>the ecosystem</w:t>
      </w:r>
      <w:r>
        <w:rPr>
          <w:spacing w:val="-4"/>
        </w:rPr>
        <w:t> </w:t>
      </w:r>
      <w:r>
        <w:rPr/>
        <w:t>is an</w:t>
      </w:r>
      <w:r>
        <w:rPr>
          <w:spacing w:val="13"/>
        </w:rPr>
        <w:t> </w:t>
      </w:r>
      <w:r>
        <w:rPr/>
        <w:t>important</w:t>
      </w:r>
      <w:r>
        <w:rPr>
          <w:spacing w:val="19"/>
        </w:rPr>
        <w:t> </w:t>
      </w:r>
      <w:r>
        <w:rPr/>
        <w:t>issue</w:t>
      </w:r>
      <w:r>
        <w:rPr>
          <w:spacing w:val="13"/>
        </w:rPr>
        <w:t> </w:t>
      </w:r>
      <w:r>
        <w:rPr/>
        <w:t>of</w:t>
      </w:r>
      <w:r>
        <w:rPr>
          <w:spacing w:val="7"/>
        </w:rPr>
        <w:t> </w:t>
      </w:r>
      <w:r>
        <w:rPr/>
        <w:t>the</w:t>
      </w:r>
      <w:r>
        <w:rPr>
          <w:spacing w:val="17"/>
        </w:rPr>
        <w:t> </w:t>
      </w:r>
      <w:r>
        <w:rPr/>
        <w:t>present</w:t>
      </w:r>
      <w:r>
        <w:rPr>
          <w:spacing w:val="19"/>
        </w:rPr>
        <w:t> </w:t>
      </w:r>
      <w:r>
        <w:rPr/>
        <w:t>day</w:t>
      </w:r>
      <w:r>
        <w:rPr>
          <w:spacing w:val="9"/>
        </w:rPr>
        <w:t> </w:t>
      </w:r>
      <w:r>
        <w:rPr/>
        <w:t>researches</w:t>
      </w:r>
      <w:r>
        <w:rPr>
          <w:spacing w:val="17"/>
        </w:rPr>
        <w:t> </w:t>
      </w:r>
      <w:r>
        <w:rPr/>
        <w:t>or</w:t>
      </w:r>
      <w:r>
        <w:rPr>
          <w:spacing w:val="16"/>
        </w:rPr>
        <w:t> </w:t>
      </w:r>
      <w:r>
        <w:rPr/>
        <w:t>risk</w:t>
      </w:r>
      <w:r>
        <w:rPr>
          <w:spacing w:val="14"/>
        </w:rPr>
        <w:t> </w:t>
      </w:r>
      <w:r>
        <w:rPr/>
        <w:t>assessment</w:t>
      </w:r>
      <w:r>
        <w:rPr>
          <w:spacing w:val="19"/>
        </w:rPr>
        <w:t> </w:t>
      </w:r>
      <w:r>
        <w:rPr/>
        <w:t>(Abulude</w:t>
      </w:r>
      <w:r>
        <w:rPr>
          <w:spacing w:val="31"/>
        </w:rPr>
        <w:t> </w:t>
      </w:r>
      <w:r>
        <w:rPr>
          <w:i/>
        </w:rPr>
        <w:t>et</w:t>
      </w:r>
      <w:r>
        <w:rPr>
          <w:i/>
          <w:spacing w:val="15"/>
        </w:rPr>
        <w:t> </w:t>
      </w:r>
      <w:r>
        <w:rPr>
          <w:i/>
        </w:rPr>
        <w:t>al.,</w:t>
      </w:r>
      <w:r>
        <w:rPr>
          <w:i/>
          <w:spacing w:val="18"/>
        </w:rPr>
        <w:t> </w:t>
      </w:r>
      <w:r>
        <w:rPr>
          <w:spacing w:val="-2"/>
        </w:rPr>
        <w:t>2000).The</w:t>
      </w:r>
    </w:p>
    <w:p>
      <w:pPr>
        <w:spacing w:after="0" w:line="480" w:lineRule="auto"/>
        <w:jc w:val="both"/>
        <w:sectPr>
          <w:pgSz w:w="12240" w:h="15840"/>
          <w:pgMar w:header="0" w:footer="1012" w:top="1360" w:bottom="1200" w:left="1020" w:right="720"/>
        </w:sectPr>
      </w:pPr>
    </w:p>
    <w:p>
      <w:pPr>
        <w:pStyle w:val="BodyText"/>
        <w:spacing w:line="480" w:lineRule="auto" w:before="72"/>
        <w:ind w:left="511" w:right="716"/>
        <w:jc w:val="both"/>
      </w:pPr>
      <w:r>
        <w:rPr/>
        <w:t>heavy metals</w:t>
      </w:r>
      <w:r>
        <w:rPr>
          <w:spacing w:val="-2"/>
        </w:rPr>
        <w:t> </w:t>
      </w:r>
      <w:r>
        <w:rPr/>
        <w:t>which are</w:t>
      </w:r>
      <w:r>
        <w:rPr>
          <w:spacing w:val="-1"/>
        </w:rPr>
        <w:t> </w:t>
      </w:r>
      <w:r>
        <w:rPr/>
        <w:t>a great threat to the</w:t>
      </w:r>
      <w:r>
        <w:rPr>
          <w:spacing w:val="-1"/>
        </w:rPr>
        <w:t> </w:t>
      </w:r>
      <w:r>
        <w:rPr/>
        <w:t>environment and the biosphere</w:t>
      </w:r>
      <w:r>
        <w:rPr>
          <w:spacing w:val="-1"/>
        </w:rPr>
        <w:t> </w:t>
      </w:r>
      <w:r>
        <w:rPr/>
        <w:t>as</w:t>
      </w:r>
      <w:r>
        <w:rPr>
          <w:spacing w:val="-2"/>
        </w:rPr>
        <w:t> </w:t>
      </w:r>
      <w:r>
        <w:rPr/>
        <w:t>a</w:t>
      </w:r>
      <w:r>
        <w:rPr>
          <w:spacing w:val="-1"/>
        </w:rPr>
        <w:t> </w:t>
      </w:r>
      <w:r>
        <w:rPr/>
        <w:t>whole</w:t>
      </w:r>
      <w:r>
        <w:rPr>
          <w:spacing w:val="-1"/>
        </w:rPr>
        <w:t> </w:t>
      </w:r>
      <w:r>
        <w:rPr/>
        <w:t>are being derived from various anthropogenic sources. The heavy metals are biopersistent, once absorbed by an organism, may remain resident for years or over decades. In humans, most eventually excreted but on</w:t>
      </w:r>
      <w:r>
        <w:rPr>
          <w:spacing w:val="-5"/>
        </w:rPr>
        <w:t> </w:t>
      </w:r>
      <w:r>
        <w:rPr/>
        <w:t>exposure</w:t>
      </w:r>
      <w:r>
        <w:rPr>
          <w:spacing w:val="-1"/>
        </w:rPr>
        <w:t> </w:t>
      </w:r>
      <w:r>
        <w:rPr/>
        <w:t>causes various</w:t>
      </w:r>
      <w:r>
        <w:rPr>
          <w:spacing w:val="-2"/>
        </w:rPr>
        <w:t> </w:t>
      </w:r>
      <w:r>
        <w:rPr/>
        <w:t>ailments. It may</w:t>
      </w:r>
      <w:r>
        <w:rPr>
          <w:spacing w:val="-5"/>
        </w:rPr>
        <w:t> </w:t>
      </w:r>
      <w:r>
        <w:rPr/>
        <w:t>disturb</w:t>
      </w:r>
      <w:r>
        <w:rPr>
          <w:spacing w:val="-5"/>
        </w:rPr>
        <w:t> </w:t>
      </w:r>
      <w:r>
        <w:rPr/>
        <w:t>the normal functions</w:t>
      </w:r>
      <w:r>
        <w:rPr>
          <w:spacing w:val="-2"/>
        </w:rPr>
        <w:t> </w:t>
      </w:r>
      <w:r>
        <w:rPr/>
        <w:t>of</w:t>
      </w:r>
      <w:r>
        <w:rPr>
          <w:spacing w:val="-7"/>
        </w:rPr>
        <w:t> </w:t>
      </w:r>
      <w:r>
        <w:rPr/>
        <w:t>central nervous system, liver, lungs, heart, kidney and brain; it produces hypertension, abdominal</w:t>
      </w:r>
      <w:r>
        <w:rPr>
          <w:spacing w:val="-2"/>
        </w:rPr>
        <w:t> </w:t>
      </w:r>
      <w:r>
        <w:rPr/>
        <w:t>pain, skin eruption, intestinal ulcer &amp; different types of cancer (Arogunjo </w:t>
      </w:r>
      <w:r>
        <w:rPr>
          <w:i/>
        </w:rPr>
        <w:t>et al., </w:t>
      </w:r>
      <w:r>
        <w:rPr/>
        <w:t>2006).To protect public health, Nigerian government has developed guidelines as well as regulations that can be enforced by laws. Many agencies that have developed regulations for toxic substances include the United States Environmental Protection Agency (EPA), and Food and Drug Administration (FDA). Federal</w:t>
      </w:r>
      <w:r>
        <w:rPr>
          <w:spacing w:val="-1"/>
        </w:rPr>
        <w:t> </w:t>
      </w:r>
      <w:r>
        <w:rPr/>
        <w:t>organizations that develop guide lines or recommendations for toxic substances include the National Agency for Foods, Drugs, Administration</w:t>
      </w:r>
      <w:r>
        <w:rPr>
          <w:spacing w:val="-1"/>
        </w:rPr>
        <w:t> </w:t>
      </w:r>
      <w:r>
        <w:rPr/>
        <w:t>and Control</w:t>
      </w:r>
      <w:r>
        <w:rPr>
          <w:spacing w:val="-6"/>
        </w:rPr>
        <w:t> </w:t>
      </w:r>
      <w:r>
        <w:rPr/>
        <w:t>(NAFDAC). Earlier studies by researchers have inferred that rapid urbanization, increased transportation, industrial revolution have posed a serious threat to the environment (Menzi and Kessler, 2001). Among other heavy metals, Pb and Cd have more hazardous effects on the environment and have</w:t>
      </w:r>
      <w:r>
        <w:rPr>
          <w:spacing w:val="40"/>
        </w:rPr>
        <w:t> </w:t>
      </w:r>
      <w:r>
        <w:rPr/>
        <w:t>widely polluted the urban agricultural lands (Menzi and Kessler</w:t>
      </w:r>
      <w:r>
        <w:rPr>
          <w:i/>
        </w:rPr>
        <w:t>, </w:t>
      </w:r>
      <w:r>
        <w:rPr/>
        <w:t>2001). Thus it has been recommended earlier as well as from recent studies that leafy vegetables should be grown at least 30 m away from roads having high traffic. Studies revealed that plants accumulated small amount of Pb when the density of traffic was about 5000 vehicles per day, but there was a substantial increase in absorption of Pb when it reached to approx 35,000 vehicles per day (Menzi and Kessler, 2001).</w:t>
      </w:r>
    </w:p>
    <w:p>
      <w:pPr>
        <w:pStyle w:val="BodyText"/>
        <w:spacing w:line="480" w:lineRule="auto" w:before="201"/>
        <w:ind w:left="511" w:right="717"/>
        <w:jc w:val="both"/>
      </w:pPr>
      <w:r>
        <w:rPr/>
        <w:t>Heavy metals like Fe, Cu, Zn, Ni and other trace elements are important for proper biological functions. However, their deficiency or excess may cause a number of disorders (Akan </w:t>
      </w:r>
      <w:r>
        <w:rPr>
          <w:i/>
        </w:rPr>
        <w:t>et al., </w:t>
      </w:r>
      <w:r>
        <w:rPr/>
        <w:t>2010). Prolonged consumption of food stuffs having higher concentration of heavy metals may</w:t>
      </w:r>
    </w:p>
    <w:p>
      <w:pPr>
        <w:spacing w:after="0" w:line="480" w:lineRule="auto"/>
        <w:jc w:val="both"/>
        <w:sectPr>
          <w:pgSz w:w="12240" w:h="15840"/>
          <w:pgMar w:header="0" w:footer="1012" w:top="1360" w:bottom="1200" w:left="1020" w:right="720"/>
        </w:sectPr>
      </w:pPr>
    </w:p>
    <w:p>
      <w:pPr>
        <w:pStyle w:val="BodyText"/>
        <w:spacing w:line="480" w:lineRule="auto" w:before="72"/>
        <w:ind w:left="511" w:right="714"/>
        <w:jc w:val="both"/>
      </w:pPr>
      <w:r>
        <w:rPr/>
        <w:t>result in various types of problems, disruption of numerous biochemical processes leading to cardiovascular, nervous, renal, kidney, liver and bone diseases (Akan </w:t>
      </w:r>
      <w:r>
        <w:rPr>
          <w:i/>
        </w:rPr>
        <w:t>et al., </w:t>
      </w:r>
      <w:r>
        <w:rPr/>
        <w:t>2010). Under EPA regulations, public drinking water supplies are expected not to exceed</w:t>
      </w:r>
      <w:r>
        <w:rPr>
          <w:spacing w:val="25"/>
        </w:rPr>
        <w:t> </w:t>
      </w:r>
      <w:r>
        <w:rPr/>
        <w:t>5 ppb of Cadmium (Cd) in it. EPA also restricts the use of Cd in pesticides, so that they are not washed off into lakes, rivers, reservoirs, agricultural lands. Different techniques were used by different researchers to determine heavy metal contents including modern analytical techniques such as AAS and ICP- AES. However, there was no established quantitative method for determining directly</w:t>
      </w:r>
      <w:r>
        <w:rPr>
          <w:spacing w:val="-1"/>
        </w:rPr>
        <w:t> </w:t>
      </w:r>
      <w:r>
        <w:rPr/>
        <w:t>the exact or fractional amount of metals that are bio-available to plants. Many factors such as variation in pH, temperature, nature of soil, redox condition, plant species, maturity or plant age play important role in the uptake of heavy metals (Menzi and Kessler, 2001). Climate change is characterized by increased frequency and intensity of extreme weather patterns including storms, floods, droughts and irregular rain over time (FAO, 2006). Nigeria‟s population has doubled in the past quarter of a century to 200 million, thus putting greater strain on natural resources (Uba </w:t>
      </w:r>
      <w:r>
        <w:rPr>
          <w:i/>
        </w:rPr>
        <w:t>et al., </w:t>
      </w:r>
      <w:r>
        <w:rPr/>
        <w:t>2013). The infrastructure is still poor and the means of agricultural production and marketing remain the same. The agricultural sector in Nigeria contributes 50%</w:t>
      </w:r>
      <w:r>
        <w:rPr>
          <w:spacing w:val="40"/>
        </w:rPr>
        <w:t> </w:t>
      </w:r>
      <w:r>
        <w:rPr/>
        <w:t>to the Gross Domestic Product (GDP) and is a way of life for 85% of</w:t>
      </w:r>
      <w:r>
        <w:rPr>
          <w:spacing w:val="-2"/>
        </w:rPr>
        <w:t> </w:t>
      </w:r>
      <w:r>
        <w:rPr/>
        <w:t>the population</w:t>
      </w:r>
      <w:r>
        <w:rPr>
          <w:spacing w:val="40"/>
        </w:rPr>
        <w:t> </w:t>
      </w:r>
      <w:r>
        <w:rPr/>
        <w:t>according to 2011 census).The major land uses in Nigeria are livestock grazing and crop production causing depleted natural conservation in forests and woodlands. According to Bioresource development and</w:t>
      </w:r>
      <w:r>
        <w:rPr>
          <w:spacing w:val="-2"/>
        </w:rPr>
        <w:t> </w:t>
      </w:r>
      <w:r>
        <w:rPr/>
        <w:t>conservative</w:t>
      </w:r>
      <w:r>
        <w:rPr>
          <w:spacing w:val="-3"/>
        </w:rPr>
        <w:t> </w:t>
      </w:r>
      <w:r>
        <w:rPr/>
        <w:t>programme</w:t>
      </w:r>
      <w:r>
        <w:rPr>
          <w:spacing w:val="-3"/>
        </w:rPr>
        <w:t> </w:t>
      </w:r>
      <w:r>
        <w:rPr/>
        <w:t>(BDCP) in</w:t>
      </w:r>
      <w:r>
        <w:rPr>
          <w:spacing w:val="-6"/>
        </w:rPr>
        <w:t> </w:t>
      </w:r>
      <w:r>
        <w:rPr/>
        <w:t>2001, more than</w:t>
      </w:r>
      <w:r>
        <w:rPr>
          <w:spacing w:val="-6"/>
        </w:rPr>
        <w:t> </w:t>
      </w:r>
      <w:r>
        <w:rPr/>
        <w:t>50%</w:t>
      </w:r>
      <w:r>
        <w:rPr>
          <w:spacing w:val="-1"/>
        </w:rPr>
        <w:t> </w:t>
      </w:r>
      <w:r>
        <w:rPr/>
        <w:t>of</w:t>
      </w:r>
      <w:r>
        <w:rPr>
          <w:spacing w:val="-9"/>
        </w:rPr>
        <w:t> </w:t>
      </w:r>
      <w:r>
        <w:rPr/>
        <w:t>Nigeria‟s land is used for livestock grazing. Grazing occurs mainly in open grasslands, around cultivated areas, shrub lands, road sides and wetlands. Crop production forms the second largest (± 23%) land</w:t>
      </w:r>
      <w:r>
        <w:rPr>
          <w:spacing w:val="40"/>
        </w:rPr>
        <w:t> </w:t>
      </w:r>
      <w:r>
        <w:rPr/>
        <w:t>use while forests and woodlands cover about 7% of the country. Bare lands constitute 16% in the form of exposed rock, salt flats and sand dunes.</w:t>
      </w:r>
    </w:p>
    <w:p>
      <w:pPr>
        <w:spacing w:after="0" w:line="480" w:lineRule="auto"/>
        <w:jc w:val="both"/>
        <w:sectPr>
          <w:pgSz w:w="12240" w:h="15840"/>
          <w:pgMar w:header="0" w:footer="1012" w:top="1360" w:bottom="1200" w:left="1020" w:right="720"/>
        </w:sectPr>
      </w:pPr>
    </w:p>
    <w:p>
      <w:pPr>
        <w:pStyle w:val="BodyText"/>
        <w:spacing w:line="480" w:lineRule="auto" w:before="72"/>
        <w:ind w:left="420" w:right="715"/>
        <w:jc w:val="both"/>
      </w:pPr>
      <w:r>
        <w:rPr/>
        <w:t>According to Food and Agricultural Organisation (FAO, 2012) the population of livestock in Nigeria in 2012 was</w:t>
      </w:r>
      <w:r>
        <w:rPr>
          <w:spacing w:val="-2"/>
        </w:rPr>
        <w:t> </w:t>
      </w:r>
      <w:r>
        <w:rPr/>
        <w:t>estimated at 50.9 million Chicks, 26 million</w:t>
      </w:r>
      <w:r>
        <w:rPr>
          <w:spacing w:val="-5"/>
        </w:rPr>
        <w:t> </w:t>
      </w:r>
      <w:r>
        <w:rPr/>
        <w:t>cattle</w:t>
      </w:r>
      <w:r>
        <w:rPr>
          <w:spacing w:val="-1"/>
        </w:rPr>
        <w:t> </w:t>
      </w:r>
      <w:r>
        <w:rPr/>
        <w:t>and 22 million</w:t>
      </w:r>
      <w:r>
        <w:rPr>
          <w:spacing w:val="-5"/>
        </w:rPr>
        <w:t> </w:t>
      </w:r>
      <w:r>
        <w:rPr/>
        <w:t>goats;</w:t>
      </w:r>
      <w:r>
        <w:rPr>
          <w:spacing w:val="-5"/>
        </w:rPr>
        <w:t> </w:t>
      </w:r>
      <w:r>
        <w:rPr/>
        <w:t>that is a total of 108 million heads, which is ranked the largest in West Africa and the 10th in the world. About 95% of the livestock population is kept by subsistence farmers. It forms a large component of the Nigerian agricultural sector and is well integrated with the crop production systems in the highlands and provides the sole means of subsistence for the nomadic pastoralists in the lowlands. It is the source of many social and economic values such as food, draught</w:t>
      </w:r>
      <w:r>
        <w:rPr>
          <w:spacing w:val="40"/>
        </w:rPr>
        <w:t> </w:t>
      </w:r>
      <w:r>
        <w:rPr/>
        <w:t>power, fuel, cash income, security and investment in both the highlands and the</w:t>
      </w:r>
      <w:r>
        <w:rPr>
          <w:spacing w:val="40"/>
        </w:rPr>
        <w:t> </w:t>
      </w:r>
      <w:r>
        <w:rPr/>
        <w:t>lowlands/pastoral systems (Haque </w:t>
      </w:r>
      <w:r>
        <w:rPr>
          <w:i/>
        </w:rPr>
        <w:t>et al</w:t>
      </w:r>
      <w:r>
        <w:rPr/>
        <w:t>., 2005). Livestock production accounts for 27% of total agricultural GDP. Livestock is a key development sector because it involves the livelihoods of the poor as much as it</w:t>
      </w:r>
      <w:r>
        <w:rPr>
          <w:spacing w:val="40"/>
        </w:rPr>
        <w:t> </w:t>
      </w:r>
      <w:r>
        <w:rPr/>
        <w:t>is the source of animal protein for the emerging middle class who consume 5 increasing amounts of meat, milk and eggs. Thus livestock serves the interest of both the poor and the middle class (FAO, 2012). However, the livestock sector has also been</w:t>
      </w:r>
      <w:r>
        <w:rPr>
          <w:spacing w:val="40"/>
        </w:rPr>
        <w:t> </w:t>
      </w:r>
      <w:r>
        <w:rPr/>
        <w:t>identified as one of the top two or three most significant contributors of the most serious environmental problems from local to global scale (FAO, 2012). The sector has gradually evolved to become an environmental threat to the survival of ecosystems. The danger of to the environment varies according to whether the country is developed and developing as wells as to the</w:t>
      </w:r>
      <w:r>
        <w:rPr>
          <w:spacing w:val="-1"/>
        </w:rPr>
        <w:t> </w:t>
      </w:r>
      <w:r>
        <w:rPr/>
        <w:t>type</w:t>
      </w:r>
      <w:r>
        <w:rPr>
          <w:spacing w:val="-1"/>
        </w:rPr>
        <w:t> </w:t>
      </w:r>
      <w:r>
        <w:rPr/>
        <w:t>of</w:t>
      </w:r>
      <w:r>
        <w:rPr>
          <w:spacing w:val="-8"/>
        </w:rPr>
        <w:t> </w:t>
      </w:r>
      <w:r>
        <w:rPr/>
        <w:t>production systems. Food safety is</w:t>
      </w:r>
      <w:r>
        <w:rPr>
          <w:spacing w:val="-2"/>
        </w:rPr>
        <w:t> </w:t>
      </w:r>
      <w:r>
        <w:rPr/>
        <w:t>a major public</w:t>
      </w:r>
      <w:r>
        <w:rPr>
          <w:spacing w:val="-1"/>
        </w:rPr>
        <w:t> </w:t>
      </w:r>
      <w:r>
        <w:rPr/>
        <w:t>concern worldwide. During the last decades, the increasing demand of food safety has stimulated research regarding the risk associated with consumption of food stuffs contaminated by pesticides, heavy metals and/or toxins (Igwebe</w:t>
      </w:r>
      <w:r>
        <w:rPr>
          <w:i/>
        </w:rPr>
        <w:t>, </w:t>
      </w:r>
      <w:r>
        <w:rPr/>
        <w:t>2013). The implication associated with heavy metal contamination is of great concern.</w:t>
      </w:r>
      <w:r>
        <w:rPr>
          <w:spacing w:val="21"/>
        </w:rPr>
        <w:t> </w:t>
      </w:r>
      <w:r>
        <w:rPr/>
        <w:t>Heavy</w:t>
      </w:r>
      <w:r>
        <w:rPr>
          <w:spacing w:val="22"/>
        </w:rPr>
        <w:t> </w:t>
      </w:r>
      <w:r>
        <w:rPr/>
        <w:t>metals,</w:t>
      </w:r>
      <w:r>
        <w:rPr>
          <w:spacing w:val="28"/>
        </w:rPr>
        <w:t> </w:t>
      </w:r>
      <w:r>
        <w:rPr/>
        <w:t>in</w:t>
      </w:r>
      <w:r>
        <w:rPr>
          <w:spacing w:val="17"/>
        </w:rPr>
        <w:t> </w:t>
      </w:r>
      <w:r>
        <w:rPr/>
        <w:t>general</w:t>
      </w:r>
      <w:r>
        <w:rPr>
          <w:spacing w:val="17"/>
        </w:rPr>
        <w:t> </w:t>
      </w:r>
      <w:r>
        <w:rPr/>
        <w:t>are</w:t>
      </w:r>
      <w:r>
        <w:rPr>
          <w:spacing w:val="25"/>
        </w:rPr>
        <w:t> </w:t>
      </w:r>
      <w:r>
        <w:rPr/>
        <w:t>not</w:t>
      </w:r>
      <w:r>
        <w:rPr>
          <w:spacing w:val="22"/>
        </w:rPr>
        <w:t> </w:t>
      </w:r>
      <w:r>
        <w:rPr/>
        <w:t>biodegradable,</w:t>
      </w:r>
      <w:r>
        <w:rPr>
          <w:spacing w:val="23"/>
        </w:rPr>
        <w:t> </w:t>
      </w:r>
      <w:r>
        <w:rPr/>
        <w:t>having</w:t>
      </w:r>
      <w:r>
        <w:rPr>
          <w:spacing w:val="26"/>
        </w:rPr>
        <w:t> </w:t>
      </w:r>
      <w:r>
        <w:rPr/>
        <w:t>long</w:t>
      </w:r>
      <w:r>
        <w:rPr>
          <w:spacing w:val="25"/>
        </w:rPr>
        <w:t> </w:t>
      </w:r>
      <w:r>
        <w:rPr/>
        <w:t>biological</w:t>
      </w:r>
      <w:r>
        <w:rPr>
          <w:spacing w:val="22"/>
        </w:rPr>
        <w:t> </w:t>
      </w:r>
      <w:r>
        <w:rPr/>
        <w:t>half-lives</w:t>
      </w:r>
      <w:r>
        <w:rPr>
          <w:spacing w:val="20"/>
        </w:rPr>
        <w:t> </w:t>
      </w:r>
      <w:r>
        <w:rPr>
          <w:spacing w:val="-5"/>
        </w:rPr>
        <w:t>and</w:t>
      </w:r>
    </w:p>
    <w:p>
      <w:pPr>
        <w:spacing w:after="0" w:line="480" w:lineRule="auto"/>
        <w:jc w:val="both"/>
        <w:sectPr>
          <w:pgSz w:w="12240" w:h="15840"/>
          <w:pgMar w:header="0" w:footer="1012" w:top="1360" w:bottom="1200" w:left="1020" w:right="720"/>
        </w:sectPr>
      </w:pPr>
    </w:p>
    <w:p>
      <w:pPr>
        <w:pStyle w:val="BodyText"/>
        <w:spacing w:line="480" w:lineRule="auto" w:before="72"/>
        <w:ind w:left="420" w:right="732"/>
        <w:jc w:val="both"/>
      </w:pPr>
      <w:r>
        <w:rPr/>
        <w:t>having the potential for accumulation in the different body organs leading to unwanted side effects (Mamud </w:t>
      </w:r>
      <w:r>
        <w:rPr>
          <w:i/>
        </w:rPr>
        <w:t>et al</w:t>
      </w:r>
      <w:r>
        <w:rPr/>
        <w:t>., 2004).</w:t>
      </w:r>
    </w:p>
    <w:p>
      <w:pPr>
        <w:pStyle w:val="BodyText"/>
        <w:spacing w:line="480" w:lineRule="auto" w:before="1"/>
        <w:ind w:left="420" w:right="714"/>
        <w:jc w:val="both"/>
      </w:pPr>
      <w:r>
        <w:rPr/>
        <w:t>As developing countries of' West African become industrialized and urbanized, heavy metal pollution is likely to reach disturbing levels, It has been pointed out that African' s contribution</w:t>
      </w:r>
      <w:r>
        <w:rPr>
          <w:spacing w:val="40"/>
        </w:rPr>
        <w:t> </w:t>
      </w:r>
      <w:r>
        <w:rPr/>
        <w:t>to global lead pollution has increased from</w:t>
      </w:r>
      <w:r>
        <w:rPr>
          <w:spacing w:val="-1"/>
        </w:rPr>
        <w:t> </w:t>
      </w:r>
      <w:r>
        <w:rPr/>
        <w:t>just 5% in</w:t>
      </w:r>
      <w:r>
        <w:rPr>
          <w:spacing w:val="-1"/>
        </w:rPr>
        <w:t> </w:t>
      </w:r>
      <w:r>
        <w:rPr/>
        <w:t>1980's to 20% in</w:t>
      </w:r>
      <w:r>
        <w:rPr>
          <w:spacing w:val="-1"/>
        </w:rPr>
        <w:t> </w:t>
      </w:r>
      <w:r>
        <w:rPr/>
        <w:t>1996 (WHO, 1996). The critical issues however are that preparations are not being made towards the protection of the environment. Excessive levels of heavy metals may occur in the biosphere as a result of normal geological phenomena such as ore formation, weathering of rocks and leaching. Other activities that could</w:t>
      </w:r>
      <w:r>
        <w:rPr>
          <w:spacing w:val="-2"/>
        </w:rPr>
        <w:t> </w:t>
      </w:r>
      <w:r>
        <w:rPr/>
        <w:t>contribute</w:t>
      </w:r>
      <w:r>
        <w:rPr>
          <w:spacing w:val="-8"/>
        </w:rPr>
        <w:t> </w:t>
      </w:r>
      <w:r>
        <w:rPr/>
        <w:t>to excessive release</w:t>
      </w:r>
      <w:r>
        <w:rPr>
          <w:spacing w:val="-3"/>
        </w:rPr>
        <w:t> </w:t>
      </w:r>
      <w:r>
        <w:rPr/>
        <w:t>of</w:t>
      </w:r>
      <w:r>
        <w:rPr>
          <w:spacing w:val="-10"/>
        </w:rPr>
        <w:t> </w:t>
      </w:r>
      <w:r>
        <w:rPr/>
        <w:t>these metals into the</w:t>
      </w:r>
      <w:r>
        <w:rPr>
          <w:spacing w:val="-3"/>
        </w:rPr>
        <w:t> </w:t>
      </w:r>
      <w:r>
        <w:rPr/>
        <w:t>environment include burning</w:t>
      </w:r>
      <w:r>
        <w:rPr>
          <w:spacing w:val="-2"/>
        </w:rPr>
        <w:t> </w:t>
      </w:r>
      <w:r>
        <w:rPr/>
        <w:t>of fossil fuels, smelling, and discharges of industrial, agricultural and domestic wastes as well as deliberate application of pesticides. Coastal areas are sites of discharge and accumulation of a range of environmental contaminants. Studies on heavy metals in rivers, lakes, fish and</w:t>
      </w:r>
      <w:r>
        <w:rPr>
          <w:spacing w:val="40"/>
        </w:rPr>
        <w:t> </w:t>
      </w:r>
      <w:r>
        <w:rPr/>
        <w:t>sediments have been a major environmental focus especially</w:t>
      </w:r>
      <w:r>
        <w:rPr>
          <w:spacing w:val="-2"/>
        </w:rPr>
        <w:t> </w:t>
      </w:r>
      <w:r>
        <w:rPr/>
        <w:t>during the last decade (Ikem </w:t>
      </w:r>
      <w:r>
        <w:rPr>
          <w:i/>
        </w:rPr>
        <w:t>et al</w:t>
      </w:r>
      <w:r>
        <w:rPr/>
        <w:t>., 2012). Heavy metals contamination of coastal water and sediment has been identified as a</w:t>
      </w:r>
      <w:r>
        <w:rPr>
          <w:spacing w:val="40"/>
        </w:rPr>
        <w:t> </w:t>
      </w:r>
      <w:r>
        <w:rPr/>
        <w:t>serious pollution resulting from industrialization (Ramos </w:t>
      </w:r>
      <w:r>
        <w:rPr>
          <w:i/>
        </w:rPr>
        <w:t>et al</w:t>
      </w:r>
      <w:r>
        <w:rPr/>
        <w:t>., 2000). Heavy metals contamination of river water is one of the major quality issues in fast growing cities because maintenance of water quality and sanitation infrastructure do not increase along with population and urbanization growth especially in developing countries. There are five major sources of heavy metals namely geological weathering through natural phenomenon, industrial processing of</w:t>
      </w:r>
      <w:r>
        <w:rPr>
          <w:spacing w:val="-7"/>
        </w:rPr>
        <w:t> </w:t>
      </w:r>
      <w:r>
        <w:rPr/>
        <w:t>ore and metals, the disposal</w:t>
      </w:r>
      <w:r>
        <w:rPr>
          <w:spacing w:val="-4"/>
        </w:rPr>
        <w:t> </w:t>
      </w:r>
      <w:r>
        <w:rPr/>
        <w:t>of metals</w:t>
      </w:r>
      <w:r>
        <w:rPr>
          <w:spacing w:val="-1"/>
        </w:rPr>
        <w:t> </w:t>
      </w:r>
      <w:r>
        <w:rPr/>
        <w:t>and metal</w:t>
      </w:r>
      <w:r>
        <w:rPr>
          <w:spacing w:val="-4"/>
        </w:rPr>
        <w:t> </w:t>
      </w:r>
      <w:r>
        <w:rPr/>
        <w:t>components, leaching of</w:t>
      </w:r>
      <w:r>
        <w:rPr>
          <w:spacing w:val="-2"/>
        </w:rPr>
        <w:t> </w:t>
      </w:r>
      <w:r>
        <w:rPr/>
        <w:t>metals from</w:t>
      </w:r>
      <w:r>
        <w:rPr>
          <w:spacing w:val="-8"/>
        </w:rPr>
        <w:t> </w:t>
      </w:r>
      <w:r>
        <w:rPr/>
        <w:t>garbage and solid waste heaps and animal and human excretions. The single largest source of heavy metals in most coastal ecosystems in the United States is residential waste water effluents (Ramos </w:t>
      </w:r>
      <w:r>
        <w:rPr>
          <w:i/>
        </w:rPr>
        <w:t>et al</w:t>
      </w:r>
      <w:r>
        <w:rPr/>
        <w:t>., 2000).</w:t>
      </w:r>
    </w:p>
    <w:p>
      <w:pPr>
        <w:spacing w:after="0" w:line="480" w:lineRule="auto"/>
        <w:jc w:val="both"/>
        <w:sectPr>
          <w:pgSz w:w="12240" w:h="15840"/>
          <w:pgMar w:header="0" w:footer="1012" w:top="1360" w:bottom="1200" w:left="1020" w:right="720"/>
        </w:sectPr>
      </w:pPr>
    </w:p>
    <w:p>
      <w:pPr>
        <w:pStyle w:val="BodyText"/>
        <w:spacing w:line="480" w:lineRule="auto" w:before="72"/>
        <w:ind w:left="420" w:right="719"/>
        <w:jc w:val="both"/>
      </w:pPr>
      <w:r>
        <w:rPr/>
        <w:t>Over the last few decades, there has been growing interest in determining heavy metal levels in the marine environment and attention was drawn to the measurement of contamination levels in public food supplied, particularly fish. Although heavy metal is a loosely defined term, it is widely recognized and usually applied to the wide spread contaminants of terrestrial and fresh water ecosystems. Some examples of heavy metal include lead, zinc, cadmium, copper and manganese. Many of these heavy metals are toxic to organisms at low concentration (Ramos </w:t>
      </w:r>
      <w:r>
        <w:rPr>
          <w:i/>
        </w:rPr>
        <w:t>et al</w:t>
      </w:r>
      <w:r>
        <w:rPr/>
        <w:t>., 2000).</w:t>
      </w:r>
    </w:p>
    <w:p>
      <w:pPr>
        <w:pStyle w:val="BodyText"/>
        <w:spacing w:line="480" w:lineRule="auto" w:before="1"/>
        <w:ind w:left="420" w:right="710"/>
        <w:jc w:val="both"/>
      </w:pPr>
      <w:r>
        <w:rPr/>
        <w:t>The concentration of metals in bio-available form is not necessarily proportional to the total concentration of</w:t>
      </w:r>
      <w:r>
        <w:rPr>
          <w:spacing w:val="-2"/>
        </w:rPr>
        <w:t> </w:t>
      </w:r>
      <w:r>
        <w:rPr/>
        <w:t>the metal. The concentration of various elements in the air, water and land may be increased beyond their natural level due to the agricultural, domestic and industrial effluents. These substances are described as “contaminants” when discharged to the environment (Dike </w:t>
      </w:r>
      <w:r>
        <w:rPr>
          <w:i/>
        </w:rPr>
        <w:t>et al</w:t>
      </w:r>
      <w:r>
        <w:rPr/>
        <w:t>., 2004). In water, insoluble heavy metals may be bound to small silt particles. Metals and</w:t>
      </w:r>
      <w:r>
        <w:rPr>
          <w:spacing w:val="80"/>
        </w:rPr>
        <w:t> </w:t>
      </w:r>
      <w:r>
        <w:rPr/>
        <w:t>other fluvial contaminants in suspension or solution, do simply flow down</w:t>
      </w:r>
      <w:r>
        <w:rPr>
          <w:spacing w:val="-1"/>
        </w:rPr>
        <w:t> </w:t>
      </w:r>
      <w:r>
        <w:rPr/>
        <w:t>the stream, they form complexes with other compounds settle to the bottom and ingested by plants and animals or adsorbed to sediments (Dike </w:t>
      </w:r>
      <w:r>
        <w:rPr>
          <w:i/>
        </w:rPr>
        <w:t>et al</w:t>
      </w:r>
      <w:r>
        <w:rPr/>
        <w:t>., 2004). Consequently, aquatic organisms may acquire heavy metals in body directly from the water via gills or food chain mechanisms.</w:t>
      </w:r>
      <w:r>
        <w:rPr>
          <w:spacing w:val="28"/>
        </w:rPr>
        <w:t> </w:t>
      </w:r>
      <w:r>
        <w:rPr/>
        <w:t>Water, a prime need for human survival and industrial development is being affected by various activities of man which</w:t>
      </w:r>
      <w:r>
        <w:rPr>
          <w:spacing w:val="-4"/>
        </w:rPr>
        <w:t> </w:t>
      </w:r>
      <w:r>
        <w:rPr/>
        <w:t>alters its</w:t>
      </w:r>
      <w:r>
        <w:rPr>
          <w:spacing w:val="-2"/>
        </w:rPr>
        <w:t> </w:t>
      </w:r>
      <w:r>
        <w:rPr/>
        <w:t>composition</w:t>
      </w:r>
      <w:r>
        <w:rPr>
          <w:spacing w:val="-5"/>
        </w:rPr>
        <w:t> </w:t>
      </w:r>
      <w:r>
        <w:rPr/>
        <w:t>physically, chemically</w:t>
      </w:r>
      <w:r>
        <w:rPr>
          <w:spacing w:val="-5"/>
        </w:rPr>
        <w:t> </w:t>
      </w:r>
      <w:r>
        <w:rPr/>
        <w:t>or biologically. Pollution</w:t>
      </w:r>
      <w:r>
        <w:rPr>
          <w:spacing w:val="-5"/>
        </w:rPr>
        <w:t> </w:t>
      </w:r>
      <w:r>
        <w:rPr/>
        <w:t>of</w:t>
      </w:r>
      <w:r>
        <w:rPr>
          <w:spacing w:val="-8"/>
        </w:rPr>
        <w:t> </w:t>
      </w:r>
      <w:r>
        <w:rPr/>
        <w:t>coastal</w:t>
      </w:r>
      <w:r>
        <w:rPr>
          <w:spacing w:val="-9"/>
        </w:rPr>
        <w:t> </w:t>
      </w:r>
      <w:r>
        <w:rPr/>
        <w:t>waters</w:t>
      </w:r>
      <w:r>
        <w:rPr>
          <w:spacing w:val="-2"/>
        </w:rPr>
        <w:t> </w:t>
      </w:r>
      <w:r>
        <w:rPr/>
        <w:t>by heavy metals has been widely reported (Oduemeran, 2005). Sources of</w:t>
      </w:r>
      <w:r>
        <w:rPr>
          <w:spacing w:val="-2"/>
        </w:rPr>
        <w:t> </w:t>
      </w:r>
      <w:r>
        <w:rPr/>
        <w:t>pollution by trace metals include atmospheric release from fossil fuels burning domestic sewage discharge, land run-off and release from industrial operations such as mining, canning and electroplating (Akan </w:t>
      </w:r>
      <w:r>
        <w:rPr>
          <w:i/>
        </w:rPr>
        <w:t>et al</w:t>
      </w:r>
      <w:r>
        <w:rPr/>
        <w:t>., 2010).</w:t>
      </w:r>
      <w:r>
        <w:rPr>
          <w:spacing w:val="40"/>
        </w:rPr>
        <w:t> </w:t>
      </w:r>
      <w:r>
        <w:rPr/>
        <w:t>With</w:t>
      </w:r>
      <w:r>
        <w:rPr>
          <w:spacing w:val="40"/>
        </w:rPr>
        <w:t> </w:t>
      </w:r>
      <w:r>
        <w:rPr/>
        <w:t>increased</w:t>
      </w:r>
      <w:r>
        <w:rPr>
          <w:spacing w:val="40"/>
        </w:rPr>
        <w:t> </w:t>
      </w:r>
      <w:r>
        <w:rPr/>
        <w:t>diversification</w:t>
      </w:r>
      <w:r>
        <w:rPr>
          <w:spacing w:val="40"/>
        </w:rPr>
        <w:t> </w:t>
      </w:r>
      <w:r>
        <w:rPr/>
        <w:t>in</w:t>
      </w:r>
      <w:r>
        <w:rPr>
          <w:spacing w:val="40"/>
        </w:rPr>
        <w:t> </w:t>
      </w:r>
      <w:r>
        <w:rPr/>
        <w:t>industrialization</w:t>
      </w:r>
      <w:r>
        <w:rPr>
          <w:spacing w:val="40"/>
        </w:rPr>
        <w:t> </w:t>
      </w:r>
      <w:r>
        <w:rPr/>
        <w:t>and</w:t>
      </w:r>
      <w:r>
        <w:rPr>
          <w:spacing w:val="40"/>
        </w:rPr>
        <w:t> </w:t>
      </w:r>
      <w:r>
        <w:rPr/>
        <w:t>particularly</w:t>
      </w:r>
      <w:r>
        <w:rPr>
          <w:spacing w:val="40"/>
        </w:rPr>
        <w:t> </w:t>
      </w:r>
      <w:r>
        <w:rPr/>
        <w:t>with</w:t>
      </w:r>
      <w:r>
        <w:rPr>
          <w:spacing w:val="40"/>
        </w:rPr>
        <w:t> </w:t>
      </w:r>
      <w:r>
        <w:rPr/>
        <w:t>the</w:t>
      </w:r>
      <w:r>
        <w:rPr>
          <w:spacing w:val="40"/>
        </w:rPr>
        <w:t> </w:t>
      </w:r>
      <w:r>
        <w:rPr/>
        <w:t>extensive</w:t>
      </w:r>
    </w:p>
    <w:p>
      <w:pPr>
        <w:spacing w:after="0" w:line="480" w:lineRule="auto"/>
        <w:jc w:val="both"/>
        <w:sectPr>
          <w:pgSz w:w="12240" w:h="15840"/>
          <w:pgMar w:header="0" w:footer="1012" w:top="1360" w:bottom="1200" w:left="1020" w:right="720"/>
        </w:sectPr>
      </w:pPr>
    </w:p>
    <w:p>
      <w:pPr>
        <w:pStyle w:val="BodyText"/>
        <w:spacing w:line="480" w:lineRule="auto" w:before="72"/>
        <w:ind w:left="420" w:right="718"/>
        <w:jc w:val="both"/>
      </w:pPr>
      <w:r>
        <w:rPr/>
        <w:t>farming activities in Northern Nigeria, especially in the urban areas, the concentration of metal pollutants in the ecosystem has risen (Akan </w:t>
      </w:r>
      <w:r>
        <w:rPr>
          <w:i/>
        </w:rPr>
        <w:t>et al</w:t>
      </w:r>
      <w:r>
        <w:rPr/>
        <w:t>., 2010).</w:t>
      </w:r>
    </w:p>
    <w:p>
      <w:pPr>
        <w:pStyle w:val="BodyText"/>
        <w:spacing w:line="480" w:lineRule="auto" w:before="202"/>
        <w:ind w:left="420" w:right="718"/>
        <w:jc w:val="both"/>
      </w:pPr>
      <w:r>
        <w:rPr/>
        <w:t>Northern Nigeria lies between 10‟ North latitude and 8‟ South longitude with a total area 660,000 square kilometers. The main rivers are Niger and Benue Rivers which converge at Kabba province and empty into the Atlantic ocean. The expansive valleys of the Niger and</w:t>
      </w:r>
      <w:r>
        <w:rPr>
          <w:spacing w:val="40"/>
        </w:rPr>
        <w:t> </w:t>
      </w:r>
      <w:r>
        <w:rPr/>
        <w:t>Benue River valleys dominate the Northern areas of the country. To the southeast of the Niger and Benue Rivers, hills and mountains which form the Mambilla Plateau create the highest Plateau in Northern Nigeria. This plateau extends to the border with Cameroon, this montane land forms part of the Bamenda Highlands in Cameroon. The Great savannah belt of the Great Plains of Hausa land dominates much of the rest of the country. This region experiences rainfall between</w:t>
      </w:r>
      <w:r>
        <w:rPr>
          <w:spacing w:val="-8"/>
        </w:rPr>
        <w:t> </w:t>
      </w:r>
      <w:r>
        <w:rPr/>
        <w:t>20</w:t>
      </w:r>
      <w:r>
        <w:rPr>
          <w:spacing w:val="-3"/>
        </w:rPr>
        <w:t> </w:t>
      </w:r>
      <w:r>
        <w:rPr/>
        <w:t>and</w:t>
      </w:r>
      <w:r>
        <w:rPr>
          <w:spacing w:val="-3"/>
        </w:rPr>
        <w:t> </w:t>
      </w:r>
      <w:r>
        <w:rPr/>
        <w:t>60 inches</w:t>
      </w:r>
      <w:r>
        <w:rPr>
          <w:spacing w:val="-5"/>
        </w:rPr>
        <w:t> </w:t>
      </w:r>
      <w:r>
        <w:rPr/>
        <w:t>(508</w:t>
      </w:r>
      <w:r>
        <w:rPr>
          <w:spacing w:val="-3"/>
        </w:rPr>
        <w:t> </w:t>
      </w:r>
      <w:r>
        <w:rPr/>
        <w:t>and</w:t>
      </w:r>
      <w:r>
        <w:rPr>
          <w:spacing w:val="-3"/>
        </w:rPr>
        <w:t> </w:t>
      </w:r>
      <w:r>
        <w:rPr/>
        <w:t>1,524 mm)</w:t>
      </w:r>
      <w:r>
        <w:rPr>
          <w:spacing w:val="-2"/>
        </w:rPr>
        <w:t> </w:t>
      </w:r>
      <w:r>
        <w:rPr/>
        <w:t>per year.</w:t>
      </w:r>
      <w:r>
        <w:rPr>
          <w:spacing w:val="-2"/>
        </w:rPr>
        <w:t> </w:t>
      </w:r>
      <w:r>
        <w:rPr/>
        <w:t>The</w:t>
      </w:r>
      <w:r>
        <w:rPr>
          <w:spacing w:val="-4"/>
        </w:rPr>
        <w:t> </w:t>
      </w:r>
      <w:r>
        <w:rPr/>
        <w:t>savannah</w:t>
      </w:r>
      <w:r>
        <w:rPr>
          <w:spacing w:val="-8"/>
        </w:rPr>
        <w:t> </w:t>
      </w:r>
      <w:r>
        <w:rPr/>
        <w:t>zone's</w:t>
      </w:r>
      <w:r>
        <w:rPr>
          <w:spacing w:val="-5"/>
        </w:rPr>
        <w:t> </w:t>
      </w:r>
      <w:r>
        <w:rPr/>
        <w:t>three</w:t>
      </w:r>
      <w:r>
        <w:rPr>
          <w:spacing w:val="-4"/>
        </w:rPr>
        <w:t> </w:t>
      </w:r>
      <w:r>
        <w:rPr/>
        <w:t>categories</w:t>
      </w:r>
      <w:r>
        <w:rPr>
          <w:spacing w:val="-5"/>
        </w:rPr>
        <w:t> </w:t>
      </w:r>
      <w:r>
        <w:rPr/>
        <w:t>are Guinean forest-savanna mosaic, Sudan savannah, and Sahel savannah. Guinean forest-savanna mosaic is plains of tall grass which are interrupted by trees. Sudan savannah is similar but with shorter grasses and shorter trees. Sahel savannah consists of patches of grass and sand, found in the northeast. In the Sahel region, rain is less than 20 inches (508 mm) per year and the Sahara Desert is encroaching. In the dry north-east corner of the country lies Lake Chad, which</w:t>
      </w:r>
      <w:r>
        <w:rPr>
          <w:spacing w:val="40"/>
        </w:rPr>
        <w:t> </w:t>
      </w:r>
      <w:r>
        <w:rPr/>
        <w:t>Northern Nigeria shares with Niger, Chad and Cameroon. Thus much of Nigeria and the region to the west experiences two rainy periods as the inter tropical convergence move north or south; but in the north the two rainy seasons merge to give a single wet season between July and September. The major</w:t>
      </w:r>
      <w:r>
        <w:rPr>
          <w:spacing w:val="-2"/>
        </w:rPr>
        <w:t> </w:t>
      </w:r>
      <w:r>
        <w:rPr/>
        <w:t>rivers</w:t>
      </w:r>
      <w:r>
        <w:rPr>
          <w:spacing w:val="-5"/>
        </w:rPr>
        <w:t> </w:t>
      </w:r>
      <w:r>
        <w:rPr/>
        <w:t>are</w:t>
      </w:r>
      <w:r>
        <w:rPr>
          <w:spacing w:val="-4"/>
        </w:rPr>
        <w:t> </w:t>
      </w:r>
      <w:r>
        <w:rPr/>
        <w:t>rivers</w:t>
      </w:r>
      <w:r>
        <w:rPr>
          <w:spacing w:val="-5"/>
        </w:rPr>
        <w:t> </w:t>
      </w:r>
      <w:r>
        <w:rPr/>
        <w:t>Niger</w:t>
      </w:r>
      <w:r>
        <w:rPr>
          <w:spacing w:val="-2"/>
        </w:rPr>
        <w:t> </w:t>
      </w:r>
      <w:r>
        <w:rPr/>
        <w:t>and Benue</w:t>
      </w:r>
      <w:r>
        <w:rPr>
          <w:spacing w:val="-4"/>
        </w:rPr>
        <w:t> </w:t>
      </w:r>
      <w:r>
        <w:rPr/>
        <w:t>with</w:t>
      </w:r>
      <w:r>
        <w:rPr>
          <w:spacing w:val="-8"/>
        </w:rPr>
        <w:t> </w:t>
      </w:r>
      <w:r>
        <w:rPr/>
        <w:t>confluence</w:t>
      </w:r>
      <w:r>
        <w:rPr>
          <w:spacing w:val="-4"/>
        </w:rPr>
        <w:t> </w:t>
      </w:r>
      <w:r>
        <w:rPr/>
        <w:t>at Lokoja,</w:t>
      </w:r>
      <w:r>
        <w:rPr>
          <w:spacing w:val="-1"/>
        </w:rPr>
        <w:t> </w:t>
      </w:r>
      <w:r>
        <w:rPr/>
        <w:t>North</w:t>
      </w:r>
      <w:r>
        <w:rPr>
          <w:spacing w:val="-8"/>
        </w:rPr>
        <w:t> </w:t>
      </w:r>
      <w:r>
        <w:rPr/>
        <w:t>central Nigeria (Arogunjo, 2006).</w:t>
      </w:r>
    </w:p>
    <w:p>
      <w:pPr>
        <w:pStyle w:val="BodyText"/>
        <w:spacing w:line="480" w:lineRule="auto" w:before="201"/>
        <w:ind w:left="420" w:right="721" w:firstLine="62"/>
        <w:jc w:val="both"/>
      </w:pPr>
      <w:r>
        <w:rPr/>
        <w:t>According to 1991 census total population of Northern Nigeria is put at about 86,950,491 covering</w:t>
      </w:r>
      <w:r>
        <w:rPr>
          <w:spacing w:val="27"/>
        </w:rPr>
        <w:t> </w:t>
      </w:r>
      <w:r>
        <w:rPr/>
        <w:t>62%</w:t>
      </w:r>
      <w:r>
        <w:rPr>
          <w:spacing w:val="29"/>
        </w:rPr>
        <w:t> </w:t>
      </w:r>
      <w:r>
        <w:rPr/>
        <w:t>of</w:t>
      </w:r>
      <w:r>
        <w:rPr>
          <w:spacing w:val="20"/>
        </w:rPr>
        <w:t> </w:t>
      </w:r>
      <w:r>
        <w:rPr/>
        <w:t>Nigeria</w:t>
      </w:r>
      <w:r>
        <w:rPr>
          <w:spacing w:val="27"/>
        </w:rPr>
        <w:t> </w:t>
      </w:r>
      <w:r>
        <w:rPr/>
        <w:t>total</w:t>
      </w:r>
      <w:r>
        <w:rPr>
          <w:spacing w:val="23"/>
        </w:rPr>
        <w:t> </w:t>
      </w:r>
      <w:r>
        <w:rPr/>
        <w:t>land</w:t>
      </w:r>
      <w:r>
        <w:rPr>
          <w:spacing w:val="31"/>
        </w:rPr>
        <w:t> </w:t>
      </w:r>
      <w:r>
        <w:rPr/>
        <w:t>mass.</w:t>
      </w:r>
      <w:r>
        <w:rPr>
          <w:spacing w:val="29"/>
        </w:rPr>
        <w:t> </w:t>
      </w:r>
      <w:r>
        <w:rPr/>
        <w:t>The</w:t>
      </w:r>
      <w:r>
        <w:rPr>
          <w:spacing w:val="30"/>
        </w:rPr>
        <w:t> </w:t>
      </w:r>
      <w:r>
        <w:rPr/>
        <w:t>main</w:t>
      </w:r>
      <w:r>
        <w:rPr>
          <w:spacing w:val="23"/>
        </w:rPr>
        <w:t> </w:t>
      </w:r>
      <w:r>
        <w:rPr/>
        <w:t>occupation</w:t>
      </w:r>
      <w:r>
        <w:rPr>
          <w:spacing w:val="23"/>
        </w:rPr>
        <w:t> </w:t>
      </w:r>
      <w:r>
        <w:rPr/>
        <w:t>of</w:t>
      </w:r>
      <w:r>
        <w:rPr>
          <w:spacing w:val="20"/>
        </w:rPr>
        <w:t> </w:t>
      </w:r>
      <w:r>
        <w:rPr/>
        <w:t>the</w:t>
      </w:r>
      <w:r>
        <w:rPr>
          <w:spacing w:val="27"/>
        </w:rPr>
        <w:t> </w:t>
      </w:r>
      <w:r>
        <w:rPr/>
        <w:t>populace</w:t>
      </w:r>
      <w:r>
        <w:rPr>
          <w:spacing w:val="30"/>
        </w:rPr>
        <w:t> </w:t>
      </w:r>
      <w:r>
        <w:rPr/>
        <w:t>is</w:t>
      </w:r>
      <w:r>
        <w:rPr>
          <w:spacing w:val="29"/>
        </w:rPr>
        <w:t> </w:t>
      </w:r>
      <w:r>
        <w:rPr/>
        <w:t>fishing</w:t>
      </w:r>
      <w:r>
        <w:rPr>
          <w:spacing w:val="27"/>
        </w:rPr>
        <w:t> </w:t>
      </w:r>
      <w:r>
        <w:rPr/>
        <w:t>and</w:t>
      </w:r>
    </w:p>
    <w:p>
      <w:pPr>
        <w:spacing w:after="0" w:line="480" w:lineRule="auto"/>
        <w:jc w:val="both"/>
        <w:sectPr>
          <w:pgSz w:w="12240" w:h="15840"/>
          <w:pgMar w:header="0" w:footer="1012" w:top="1360" w:bottom="1200" w:left="1020" w:right="720"/>
        </w:sectPr>
      </w:pPr>
    </w:p>
    <w:p>
      <w:pPr>
        <w:pStyle w:val="BodyText"/>
        <w:spacing w:line="480" w:lineRule="auto" w:before="72"/>
        <w:ind w:left="420" w:right="715"/>
        <w:jc w:val="both"/>
      </w:pPr>
      <w:r>
        <w:rPr/>
        <w:t>farming. There is object poverty and illiteracy among the people. In the desire to make quick money for survival out of anything available mining activities of abundant natural resources especially Gold is being embark upon by communities without any regard for environmental implications. There are well known industrial cities having big commercial centers along with hundreds of small scale industries. The old cities being comparatively congested due to search</w:t>
      </w:r>
      <w:r>
        <w:rPr>
          <w:spacing w:val="40"/>
        </w:rPr>
        <w:t> </w:t>
      </w:r>
      <w:r>
        <w:rPr/>
        <w:t>for better livelihood is favored by economically weaker sections of the society and most of the people of these sections are unresponsive to the environmental quality. The climate of Northern Nigeria</w:t>
      </w:r>
      <w:r>
        <w:rPr>
          <w:spacing w:val="21"/>
        </w:rPr>
        <w:t> </w:t>
      </w:r>
      <w:r>
        <w:rPr/>
        <w:t>is</w:t>
      </w:r>
      <w:r>
        <w:rPr>
          <w:spacing w:val="15"/>
        </w:rPr>
        <w:t> </w:t>
      </w:r>
      <w:r>
        <w:rPr/>
        <w:t>characterized</w:t>
      </w:r>
      <w:r>
        <w:rPr>
          <w:spacing w:val="17"/>
        </w:rPr>
        <w:t> </w:t>
      </w:r>
      <w:r>
        <w:rPr/>
        <w:t>with</w:t>
      </w:r>
      <w:r>
        <w:rPr>
          <w:spacing w:val="17"/>
        </w:rPr>
        <w:t> </w:t>
      </w:r>
      <w:r>
        <w:rPr/>
        <w:t>a</w:t>
      </w:r>
      <w:r>
        <w:rPr>
          <w:spacing w:val="21"/>
        </w:rPr>
        <w:t> </w:t>
      </w:r>
      <w:r>
        <w:rPr/>
        <w:t>long</w:t>
      </w:r>
      <w:r>
        <w:rPr>
          <w:spacing w:val="22"/>
        </w:rPr>
        <w:t> </w:t>
      </w:r>
      <w:r>
        <w:rPr/>
        <w:t>and</w:t>
      </w:r>
      <w:r>
        <w:rPr>
          <w:spacing w:val="22"/>
        </w:rPr>
        <w:t> </w:t>
      </w:r>
      <w:r>
        <w:rPr/>
        <w:t>intense</w:t>
      </w:r>
      <w:r>
        <w:rPr>
          <w:spacing w:val="21"/>
        </w:rPr>
        <w:t> </w:t>
      </w:r>
      <w:r>
        <w:rPr/>
        <w:t>hot</w:t>
      </w:r>
      <w:r>
        <w:rPr>
          <w:spacing w:val="22"/>
        </w:rPr>
        <w:t> </w:t>
      </w:r>
      <w:r>
        <w:rPr/>
        <w:t>summer,</w:t>
      </w:r>
      <w:r>
        <w:rPr>
          <w:spacing w:val="24"/>
        </w:rPr>
        <w:t> </w:t>
      </w:r>
      <w:r>
        <w:rPr/>
        <w:t>medium</w:t>
      </w:r>
      <w:r>
        <w:rPr>
          <w:spacing w:val="13"/>
        </w:rPr>
        <w:t> </w:t>
      </w:r>
      <w:r>
        <w:rPr/>
        <w:t>rainfall</w:t>
      </w:r>
      <w:r>
        <w:rPr>
          <w:spacing w:val="13"/>
        </w:rPr>
        <w:t> </w:t>
      </w:r>
      <w:r>
        <w:rPr/>
        <w:t>and</w:t>
      </w:r>
      <w:r>
        <w:rPr>
          <w:spacing w:val="17"/>
        </w:rPr>
        <w:t> </w:t>
      </w:r>
      <w:r>
        <w:rPr/>
        <w:t>a</w:t>
      </w:r>
      <w:r>
        <w:rPr>
          <w:spacing w:val="16"/>
        </w:rPr>
        <w:t> </w:t>
      </w:r>
      <w:r>
        <w:rPr/>
        <w:t>short</w:t>
      </w:r>
      <w:r>
        <w:rPr>
          <w:spacing w:val="22"/>
        </w:rPr>
        <w:t> </w:t>
      </w:r>
      <w:r>
        <w:rPr/>
        <w:t>mild</w:t>
      </w:r>
    </w:p>
    <w:p>
      <w:pPr>
        <w:pStyle w:val="BodyText"/>
        <w:spacing w:line="475" w:lineRule="auto" w:before="7"/>
        <w:ind w:left="420" w:right="714"/>
        <w:jc w:val="both"/>
      </w:pPr>
      <w:r>
        <w:rPr/>
        <w:t>winter. The temperature normally varies from 32 – 48</w:t>
      </w:r>
      <w:r>
        <w:rPr>
          <w:rFonts w:ascii="Calibri" w:hAnsi="Calibri"/>
          <w:vertAlign w:val="superscript"/>
        </w:rPr>
        <w:t>o</w:t>
      </w:r>
      <w:r>
        <w:rPr>
          <w:vertAlign w:val="baseline"/>
        </w:rPr>
        <w:t>C in April/May to 18 – 30 ºC in July/August. The hot weather usually extends from the beginning of March to the end of June. The area is agriculturally rich, and use of fertilizers, insecticides and pesticides is common. In northern Nigeria highlands, negative livestock-environment interaction impacts are mainly associated</w:t>
      </w:r>
      <w:r>
        <w:rPr>
          <w:spacing w:val="-2"/>
          <w:vertAlign w:val="baseline"/>
        </w:rPr>
        <w:t> </w:t>
      </w:r>
      <w:r>
        <w:rPr>
          <w:vertAlign w:val="baseline"/>
        </w:rPr>
        <w:t>with</w:t>
      </w:r>
      <w:r>
        <w:rPr>
          <w:spacing w:val="-7"/>
          <w:vertAlign w:val="baseline"/>
        </w:rPr>
        <w:t> </w:t>
      </w:r>
      <w:r>
        <w:rPr>
          <w:vertAlign w:val="baseline"/>
        </w:rPr>
        <w:t>overgrazing</w:t>
      </w:r>
      <w:r>
        <w:rPr>
          <w:spacing w:val="-2"/>
          <w:vertAlign w:val="baseline"/>
        </w:rPr>
        <w:t> </w:t>
      </w:r>
      <w:r>
        <w:rPr>
          <w:vertAlign w:val="baseline"/>
        </w:rPr>
        <w:t>and</w:t>
      </w:r>
      <w:r>
        <w:rPr>
          <w:spacing w:val="-2"/>
          <w:vertAlign w:val="baseline"/>
        </w:rPr>
        <w:t> </w:t>
      </w:r>
      <w:r>
        <w:rPr>
          <w:vertAlign w:val="baseline"/>
        </w:rPr>
        <w:t>use</w:t>
      </w:r>
      <w:r>
        <w:rPr>
          <w:spacing w:val="-3"/>
          <w:vertAlign w:val="baseline"/>
        </w:rPr>
        <w:t> </w:t>
      </w:r>
      <w:r>
        <w:rPr>
          <w:vertAlign w:val="baseline"/>
        </w:rPr>
        <w:t>of</w:t>
      </w:r>
      <w:r>
        <w:rPr>
          <w:spacing w:val="-9"/>
          <w:vertAlign w:val="baseline"/>
        </w:rPr>
        <w:t> </w:t>
      </w:r>
      <w:r>
        <w:rPr>
          <w:vertAlign w:val="baseline"/>
        </w:rPr>
        <w:t>organic fertilizer from</w:t>
      </w:r>
      <w:r>
        <w:rPr>
          <w:spacing w:val="-10"/>
          <w:vertAlign w:val="baseline"/>
        </w:rPr>
        <w:t> </w:t>
      </w:r>
      <w:r>
        <w:rPr>
          <w:vertAlign w:val="baseline"/>
        </w:rPr>
        <w:t>animal</w:t>
      </w:r>
      <w:r>
        <w:rPr>
          <w:spacing w:val="-7"/>
          <w:vertAlign w:val="baseline"/>
        </w:rPr>
        <w:t> </w:t>
      </w:r>
      <w:r>
        <w:rPr>
          <w:vertAlign w:val="baseline"/>
        </w:rPr>
        <w:t>dung</w:t>
      </w:r>
      <w:r>
        <w:rPr>
          <w:spacing w:val="-2"/>
          <w:vertAlign w:val="baseline"/>
        </w:rPr>
        <w:t> </w:t>
      </w:r>
      <w:r>
        <w:rPr>
          <w:vertAlign w:val="baseline"/>
        </w:rPr>
        <w:t>(Webber </w:t>
      </w:r>
      <w:r>
        <w:rPr>
          <w:i/>
          <w:vertAlign w:val="baseline"/>
        </w:rPr>
        <w:t>et</w:t>
      </w:r>
      <w:r>
        <w:rPr>
          <w:i/>
          <w:spacing w:val="-2"/>
          <w:vertAlign w:val="baseline"/>
        </w:rPr>
        <w:t> </w:t>
      </w:r>
      <w:r>
        <w:rPr>
          <w:i/>
          <w:vertAlign w:val="baseline"/>
        </w:rPr>
        <w:t>al.,</w:t>
      </w:r>
      <w:r>
        <w:rPr>
          <w:i/>
          <w:spacing w:val="-3"/>
          <w:vertAlign w:val="baseline"/>
        </w:rPr>
        <w:t> </w:t>
      </w:r>
      <w:r>
        <w:rPr>
          <w:vertAlign w:val="baseline"/>
        </w:rPr>
        <w:t>2004). Overgrazing causes chemical and physical soil degradation which reduces infiltration and increases</w:t>
      </w:r>
      <w:r>
        <w:rPr>
          <w:spacing w:val="32"/>
          <w:vertAlign w:val="baseline"/>
        </w:rPr>
        <w:t> </w:t>
      </w:r>
      <w:r>
        <w:rPr>
          <w:vertAlign w:val="baseline"/>
        </w:rPr>
        <w:t>run-off</w:t>
      </w:r>
      <w:r>
        <w:rPr>
          <w:spacing w:val="33"/>
          <w:vertAlign w:val="baseline"/>
        </w:rPr>
        <w:t> </w:t>
      </w:r>
      <w:r>
        <w:rPr>
          <w:vertAlign w:val="baseline"/>
        </w:rPr>
        <w:t>into</w:t>
      </w:r>
      <w:r>
        <w:rPr>
          <w:spacing w:val="41"/>
          <w:vertAlign w:val="baseline"/>
        </w:rPr>
        <w:t> </w:t>
      </w:r>
      <w:r>
        <w:rPr>
          <w:vertAlign w:val="baseline"/>
        </w:rPr>
        <w:t>our</w:t>
      </w:r>
      <w:r>
        <w:rPr>
          <w:spacing w:val="33"/>
          <w:vertAlign w:val="baseline"/>
        </w:rPr>
        <w:t> </w:t>
      </w:r>
      <w:r>
        <w:rPr>
          <w:vertAlign w:val="baseline"/>
        </w:rPr>
        <w:t>rivers</w:t>
      </w:r>
      <w:r>
        <w:rPr>
          <w:spacing w:val="34"/>
          <w:vertAlign w:val="baseline"/>
        </w:rPr>
        <w:t> </w:t>
      </w:r>
      <w:r>
        <w:rPr>
          <w:vertAlign w:val="baseline"/>
        </w:rPr>
        <w:t>and</w:t>
      </w:r>
      <w:r>
        <w:rPr>
          <w:spacing w:val="41"/>
          <w:vertAlign w:val="baseline"/>
        </w:rPr>
        <w:t> </w:t>
      </w:r>
      <w:r>
        <w:rPr>
          <w:vertAlign w:val="baseline"/>
        </w:rPr>
        <w:t>streams.</w:t>
      </w:r>
      <w:r>
        <w:rPr>
          <w:spacing w:val="37"/>
          <w:vertAlign w:val="baseline"/>
        </w:rPr>
        <w:t> </w:t>
      </w:r>
      <w:r>
        <w:rPr>
          <w:vertAlign w:val="baseline"/>
        </w:rPr>
        <w:t>Moreover,</w:t>
      </w:r>
      <w:r>
        <w:rPr>
          <w:spacing w:val="38"/>
          <w:vertAlign w:val="baseline"/>
        </w:rPr>
        <w:t> </w:t>
      </w:r>
      <w:r>
        <w:rPr>
          <w:vertAlign w:val="baseline"/>
        </w:rPr>
        <w:t>socio-economic</w:t>
      </w:r>
      <w:r>
        <w:rPr>
          <w:spacing w:val="35"/>
          <w:vertAlign w:val="baseline"/>
        </w:rPr>
        <w:t> </w:t>
      </w:r>
      <w:r>
        <w:rPr>
          <w:vertAlign w:val="baseline"/>
        </w:rPr>
        <w:t>changes</w:t>
      </w:r>
      <w:r>
        <w:rPr>
          <w:spacing w:val="39"/>
          <w:vertAlign w:val="baseline"/>
        </w:rPr>
        <w:t> </w:t>
      </w:r>
      <w:r>
        <w:rPr>
          <w:vertAlign w:val="baseline"/>
        </w:rPr>
        <w:t>in</w:t>
      </w:r>
      <w:r>
        <w:rPr>
          <w:spacing w:val="31"/>
          <w:vertAlign w:val="baseline"/>
        </w:rPr>
        <w:t> </w:t>
      </w:r>
      <w:r>
        <w:rPr>
          <w:vertAlign w:val="baseline"/>
        </w:rPr>
        <w:t>the</w:t>
      </w:r>
      <w:r>
        <w:rPr>
          <w:spacing w:val="36"/>
          <w:vertAlign w:val="baseline"/>
        </w:rPr>
        <w:t> </w:t>
      </w:r>
      <w:r>
        <w:rPr>
          <w:spacing w:val="-2"/>
          <w:vertAlign w:val="baseline"/>
        </w:rPr>
        <w:t>rural</w:t>
      </w:r>
    </w:p>
    <w:p>
      <w:pPr>
        <w:pStyle w:val="BodyText"/>
        <w:spacing w:line="480" w:lineRule="auto" w:before="6"/>
        <w:ind w:left="420" w:right="713"/>
        <w:jc w:val="both"/>
      </w:pPr>
      <w:r>
        <w:rPr/>
        <w:t>areas such as population growth, has forced people to turn to cultivating crops with increasing use of organic fertilizer (FAO, 2006). Livestock play an important role as a source of power for crop</w:t>
      </w:r>
      <w:r>
        <w:rPr>
          <w:spacing w:val="-3"/>
        </w:rPr>
        <w:t> </w:t>
      </w:r>
      <w:r>
        <w:rPr/>
        <w:t>production</w:t>
      </w:r>
      <w:r>
        <w:rPr>
          <w:spacing w:val="-3"/>
        </w:rPr>
        <w:t> </w:t>
      </w:r>
      <w:r>
        <w:rPr/>
        <w:t>and manure as</w:t>
      </w:r>
      <w:r>
        <w:rPr>
          <w:spacing w:val="-1"/>
        </w:rPr>
        <w:t> </w:t>
      </w:r>
      <w:r>
        <w:rPr/>
        <w:t>organic fertilizer (Webber </w:t>
      </w:r>
      <w:r>
        <w:rPr>
          <w:i/>
        </w:rPr>
        <w:t>et al., </w:t>
      </w:r>
      <w:r>
        <w:rPr/>
        <w:t>2004).</w:t>
      </w:r>
      <w:r>
        <w:rPr>
          <w:spacing w:val="-1"/>
        </w:rPr>
        <w:t> </w:t>
      </w:r>
      <w:r>
        <w:rPr/>
        <w:t>However, no detail</w:t>
      </w:r>
      <w:r>
        <w:rPr>
          <w:spacing w:val="-3"/>
        </w:rPr>
        <w:t> </w:t>
      </w:r>
      <w:r>
        <w:rPr/>
        <w:t>study has so far been done on the contribution of manure as a source of environmental heavy metal pollution. The shift in</w:t>
      </w:r>
      <w:r>
        <w:rPr>
          <w:spacing w:val="-1"/>
        </w:rPr>
        <w:t> </w:t>
      </w:r>
      <w:r>
        <w:rPr/>
        <w:t>the use of manure</w:t>
      </w:r>
      <w:r>
        <w:rPr>
          <w:spacing w:val="-1"/>
        </w:rPr>
        <w:t> </w:t>
      </w:r>
      <w:r>
        <w:rPr/>
        <w:t>as a fertilizer to a source</w:t>
      </w:r>
      <w:r>
        <w:rPr>
          <w:spacing w:val="-1"/>
        </w:rPr>
        <w:t> </w:t>
      </w:r>
      <w:r>
        <w:rPr/>
        <w:t>of</w:t>
      </w:r>
      <w:r>
        <w:rPr>
          <w:spacing w:val="-8"/>
        </w:rPr>
        <w:t> </w:t>
      </w:r>
      <w:r>
        <w:rPr/>
        <w:t>soil manure became evident very</w:t>
      </w:r>
      <w:r>
        <w:rPr>
          <w:spacing w:val="-5"/>
        </w:rPr>
        <w:t> </w:t>
      </w:r>
      <w:r>
        <w:rPr/>
        <w:t>recently, because of</w:t>
      </w:r>
      <w:r>
        <w:rPr>
          <w:spacing w:val="-3"/>
        </w:rPr>
        <w:t> </w:t>
      </w:r>
      <w:r>
        <w:rPr/>
        <w:t>continuous deforestation for firewood and increased level of</w:t>
      </w:r>
      <w:r>
        <w:rPr>
          <w:spacing w:val="-3"/>
        </w:rPr>
        <w:t> </w:t>
      </w:r>
      <w:r>
        <w:rPr/>
        <w:t>poverty in the rural areas that compelled farmers to use animal farm manure in place of modern chemical fertilizers (Gabriel </w:t>
      </w:r>
      <w:r>
        <w:rPr>
          <w:i/>
        </w:rPr>
        <w:t>et al</w:t>
      </w:r>
      <w:r>
        <w:rPr/>
        <w:t>., 2007).</w:t>
      </w:r>
    </w:p>
    <w:p>
      <w:pPr>
        <w:spacing w:after="0" w:line="480" w:lineRule="auto"/>
        <w:jc w:val="both"/>
        <w:sectPr>
          <w:pgSz w:w="12240" w:h="15840"/>
          <w:pgMar w:header="0" w:footer="1012" w:top="1360" w:bottom="1200" w:left="1020" w:right="720"/>
        </w:sectPr>
      </w:pPr>
    </w:p>
    <w:p>
      <w:pPr>
        <w:pStyle w:val="BodyText"/>
        <w:spacing w:line="480" w:lineRule="auto" w:before="72"/>
        <w:ind w:left="420" w:right="716"/>
        <w:jc w:val="both"/>
      </w:pPr>
      <w:r>
        <w:rPr/>
        <w:t>The vast majority</w:t>
      </w:r>
      <w:r>
        <w:rPr>
          <w:spacing w:val="-7"/>
        </w:rPr>
        <w:t> </w:t>
      </w:r>
      <w:r>
        <w:rPr/>
        <w:t>of</w:t>
      </w:r>
      <w:r>
        <w:rPr>
          <w:spacing w:val="-10"/>
        </w:rPr>
        <w:t> </w:t>
      </w:r>
      <w:r>
        <w:rPr/>
        <w:t>small-scale farmers</w:t>
      </w:r>
      <w:r>
        <w:rPr>
          <w:spacing w:val="-1"/>
        </w:rPr>
        <w:t> </w:t>
      </w:r>
      <w:r>
        <w:rPr/>
        <w:t>in northern</w:t>
      </w:r>
      <w:r>
        <w:rPr>
          <w:spacing w:val="-7"/>
        </w:rPr>
        <w:t> </w:t>
      </w:r>
      <w:r>
        <w:rPr/>
        <w:t>Nigeria highlands</w:t>
      </w:r>
      <w:r>
        <w:rPr>
          <w:spacing w:val="-1"/>
        </w:rPr>
        <w:t> </w:t>
      </w:r>
      <w:r>
        <w:rPr/>
        <w:t>are into nutrient recycling through manure, to compensate for lack of access to chemical fertilizer (Konegay </w:t>
      </w:r>
      <w:r>
        <w:rPr>
          <w:i/>
        </w:rPr>
        <w:t>et al. </w:t>
      </w:r>
      <w:r>
        <w:rPr/>
        <w:t>1976). The traditional practice of adding manure to the soil and allowing crop residues to decay in the fields has also dropped due to use of animal dung (Konegay </w:t>
      </w:r>
      <w:r>
        <w:rPr>
          <w:i/>
        </w:rPr>
        <w:t>et al</w:t>
      </w:r>
      <w:r>
        <w:rPr/>
        <w:t>., 1976). Nutrients and heavy metals are moved from the soil through plant root systems, transported to plants tissues and leaves being consumed as vegetable, exported in the form</w:t>
      </w:r>
      <w:r>
        <w:rPr>
          <w:spacing w:val="-4"/>
        </w:rPr>
        <w:t> </w:t>
      </w:r>
      <w:r>
        <w:rPr/>
        <w:t>of</w:t>
      </w:r>
      <w:r>
        <w:rPr>
          <w:spacing w:val="-2"/>
        </w:rPr>
        <w:t> </w:t>
      </w:r>
      <w:r>
        <w:rPr/>
        <w:t>grain and straw. Therefore, organic matter and metal content in the soil is increasing fast. Farmers rely on organic fertilizer from animal feaces to meet crop needs for nutrients over short term, but over the long-term large off- farm fertilizer inputs would be required to maintain soil nutrient balance and crop yields. The current prices of</w:t>
      </w:r>
      <w:r>
        <w:rPr>
          <w:spacing w:val="-3"/>
        </w:rPr>
        <w:t> </w:t>
      </w:r>
      <w:r>
        <w:rPr/>
        <w:t>commercial</w:t>
      </w:r>
      <w:r>
        <w:rPr>
          <w:spacing w:val="-1"/>
        </w:rPr>
        <w:t> </w:t>
      </w:r>
      <w:r>
        <w:rPr/>
        <w:t>fertilizer are beyond the reach</w:t>
      </w:r>
      <w:r>
        <w:rPr>
          <w:spacing w:val="-1"/>
        </w:rPr>
        <w:t> </w:t>
      </w:r>
      <w:r>
        <w:rPr/>
        <w:t>of</w:t>
      </w:r>
      <w:r>
        <w:rPr>
          <w:spacing w:val="-3"/>
        </w:rPr>
        <w:t> </w:t>
      </w:r>
      <w:r>
        <w:rPr/>
        <w:t>resource-poor farmers, which</w:t>
      </w:r>
      <w:r>
        <w:rPr>
          <w:spacing w:val="-1"/>
        </w:rPr>
        <w:t> </w:t>
      </w:r>
      <w:r>
        <w:rPr/>
        <w:t>will force some farmers to drop the use of chemical fertilizers (Endale, 2014).</w:t>
      </w:r>
    </w:p>
    <w:p>
      <w:pPr>
        <w:pStyle w:val="BodyText"/>
        <w:spacing w:before="48"/>
      </w:pPr>
    </w:p>
    <w:p>
      <w:pPr>
        <w:pStyle w:val="Heading2"/>
        <w:numPr>
          <w:ilvl w:val="1"/>
          <w:numId w:val="15"/>
        </w:numPr>
        <w:tabs>
          <w:tab w:pos="784" w:val="left" w:leader="none"/>
        </w:tabs>
        <w:spacing w:line="240" w:lineRule="auto" w:before="0" w:after="0"/>
        <w:ind w:left="784" w:right="0" w:hanging="364"/>
        <w:jc w:val="left"/>
      </w:pPr>
      <w:bookmarkStart w:name="_TOC_250020" w:id="9"/>
      <w:r>
        <w:rPr/>
        <w:t>Heavy</w:t>
      </w:r>
      <w:r>
        <w:rPr>
          <w:spacing w:val="-7"/>
        </w:rPr>
        <w:t> </w:t>
      </w:r>
      <w:r>
        <w:rPr/>
        <w:t>Metals</w:t>
      </w:r>
      <w:r>
        <w:rPr>
          <w:spacing w:val="-1"/>
        </w:rPr>
        <w:t> </w:t>
      </w:r>
      <w:r>
        <w:rPr/>
        <w:t>and</w:t>
      </w:r>
      <w:r>
        <w:rPr>
          <w:spacing w:val="-3"/>
        </w:rPr>
        <w:t> </w:t>
      </w:r>
      <w:r>
        <w:rPr/>
        <w:t>Human</w:t>
      </w:r>
      <w:r>
        <w:rPr>
          <w:spacing w:val="1"/>
        </w:rPr>
        <w:t> </w:t>
      </w:r>
      <w:bookmarkEnd w:id="9"/>
      <w:r>
        <w:rPr>
          <w:spacing w:val="-2"/>
        </w:rPr>
        <w:t>Health</w:t>
      </w:r>
    </w:p>
    <w:p>
      <w:pPr>
        <w:pStyle w:val="BodyText"/>
        <w:spacing w:before="176"/>
        <w:rPr>
          <w:b/>
        </w:rPr>
      </w:pPr>
    </w:p>
    <w:p>
      <w:pPr>
        <w:pStyle w:val="BodyText"/>
        <w:spacing w:line="480" w:lineRule="auto"/>
        <w:ind w:left="420" w:right="717"/>
        <w:jc w:val="both"/>
      </w:pPr>
      <w:r>
        <w:rPr/>
        <w:t>Strictly speaking, heavy metals are defined as those with higher density than 5 mg ml</w:t>
      </w:r>
      <w:r>
        <w:rPr>
          <w:vertAlign w:val="superscript"/>
        </w:rPr>
        <w:t>-1</w:t>
      </w:r>
      <w:r>
        <w:rPr>
          <w:vertAlign w:val="baseline"/>
        </w:rPr>
        <w:t> (Duda, 2008) but the collective term now includes arsenic, cadmium, chromium, copper, lead, nickel, molybdenum, vanadium and zinc. Some interest also exists in aluminium, cobalt, strontium and other rare metals (Ihedioha and Okoye, 2012). A heavy metal is not toxic per se and it is only toxic when its concentration in the plant and animal exceeds a certain threshold (it is the dose</w:t>
      </w:r>
      <w:r>
        <w:rPr>
          <w:spacing w:val="40"/>
          <w:vertAlign w:val="baseline"/>
        </w:rPr>
        <w:t> </w:t>
      </w:r>
      <w:r>
        <w:rPr>
          <w:vertAlign w:val="baseline"/>
        </w:rPr>
        <w:t>that makes the effect). Some elements, called trace elements or micronutrients, have essential functions in plant and animal cells. This has been shown for Co, Cu, Fe, Mn, Mo, Ni and Zn. Only when the internal concentration exceeds a certain threshold do they demonstrate toxic effects, and then they are commonly termed “heavy metals.” Studies of heavy metal in water, sediments and plants carried out in Sosiani River, Uasin Gishu County, Kenya reveal that the plants</w:t>
      </w:r>
      <w:r>
        <w:rPr>
          <w:spacing w:val="68"/>
          <w:vertAlign w:val="baseline"/>
        </w:rPr>
        <w:t> </w:t>
      </w:r>
      <w:r>
        <w:rPr>
          <w:vertAlign w:val="baseline"/>
        </w:rPr>
        <w:t>found</w:t>
      </w:r>
      <w:r>
        <w:rPr>
          <w:spacing w:val="76"/>
          <w:vertAlign w:val="baseline"/>
        </w:rPr>
        <w:t> </w:t>
      </w:r>
      <w:r>
        <w:rPr>
          <w:vertAlign w:val="baseline"/>
        </w:rPr>
        <w:t>in</w:t>
      </w:r>
      <w:r>
        <w:rPr>
          <w:spacing w:val="67"/>
          <w:vertAlign w:val="baseline"/>
        </w:rPr>
        <w:t> </w:t>
      </w:r>
      <w:r>
        <w:rPr>
          <w:vertAlign w:val="baseline"/>
        </w:rPr>
        <w:t>the</w:t>
      </w:r>
      <w:r>
        <w:rPr>
          <w:spacing w:val="71"/>
          <w:vertAlign w:val="baseline"/>
        </w:rPr>
        <w:t> </w:t>
      </w:r>
      <w:r>
        <w:rPr>
          <w:vertAlign w:val="baseline"/>
        </w:rPr>
        <w:t>study</w:t>
      </w:r>
      <w:r>
        <w:rPr>
          <w:spacing w:val="62"/>
          <w:vertAlign w:val="baseline"/>
        </w:rPr>
        <w:t> </w:t>
      </w:r>
      <w:r>
        <w:rPr>
          <w:vertAlign w:val="baseline"/>
        </w:rPr>
        <w:t>area</w:t>
      </w:r>
      <w:r>
        <w:rPr>
          <w:spacing w:val="71"/>
          <w:vertAlign w:val="baseline"/>
        </w:rPr>
        <w:t> </w:t>
      </w:r>
      <w:r>
        <w:rPr>
          <w:vertAlign w:val="baseline"/>
        </w:rPr>
        <w:t>showed</w:t>
      </w:r>
      <w:r>
        <w:rPr>
          <w:spacing w:val="67"/>
          <w:vertAlign w:val="baseline"/>
        </w:rPr>
        <w:t> </w:t>
      </w:r>
      <w:r>
        <w:rPr>
          <w:vertAlign w:val="baseline"/>
        </w:rPr>
        <w:t>a</w:t>
      </w:r>
      <w:r>
        <w:rPr>
          <w:spacing w:val="67"/>
          <w:vertAlign w:val="baseline"/>
        </w:rPr>
        <w:t> </w:t>
      </w:r>
      <w:r>
        <w:rPr>
          <w:vertAlign w:val="baseline"/>
        </w:rPr>
        <w:t>preferential</w:t>
      </w:r>
      <w:r>
        <w:rPr>
          <w:spacing w:val="63"/>
          <w:vertAlign w:val="baseline"/>
        </w:rPr>
        <w:t> </w:t>
      </w:r>
      <w:r>
        <w:rPr>
          <w:vertAlign w:val="baseline"/>
        </w:rPr>
        <w:t>zinc</w:t>
      </w:r>
      <w:r>
        <w:rPr>
          <w:spacing w:val="71"/>
          <w:vertAlign w:val="baseline"/>
        </w:rPr>
        <w:t> </w:t>
      </w:r>
      <w:r>
        <w:rPr>
          <w:vertAlign w:val="baseline"/>
        </w:rPr>
        <w:t>metal</w:t>
      </w:r>
      <w:r>
        <w:rPr>
          <w:spacing w:val="63"/>
          <w:vertAlign w:val="baseline"/>
        </w:rPr>
        <w:t> </w:t>
      </w:r>
      <w:r>
        <w:rPr>
          <w:vertAlign w:val="baseline"/>
        </w:rPr>
        <w:t>uptake</w:t>
      </w:r>
      <w:r>
        <w:rPr>
          <w:spacing w:val="66"/>
          <w:vertAlign w:val="baseline"/>
        </w:rPr>
        <w:t> </w:t>
      </w:r>
      <w:r>
        <w:rPr>
          <w:vertAlign w:val="baseline"/>
        </w:rPr>
        <w:t>and</w:t>
      </w:r>
      <w:r>
        <w:rPr>
          <w:spacing w:val="76"/>
          <w:vertAlign w:val="baseline"/>
        </w:rPr>
        <w:t> </w:t>
      </w:r>
      <w:r>
        <w:rPr>
          <w:vertAlign w:val="baseline"/>
        </w:rPr>
        <w:t>may</w:t>
      </w:r>
      <w:r>
        <w:rPr>
          <w:spacing w:val="67"/>
          <w:vertAlign w:val="baseline"/>
        </w:rPr>
        <w:t> </w:t>
      </w:r>
      <w:r>
        <w:rPr>
          <w:vertAlign w:val="baseline"/>
        </w:rPr>
        <w:t>lead</w:t>
      </w:r>
      <w:r>
        <w:rPr>
          <w:spacing w:val="72"/>
          <w:vertAlign w:val="baseline"/>
        </w:rPr>
        <w:t> </w:t>
      </w:r>
      <w:r>
        <w:rPr>
          <w:spacing w:val="-5"/>
          <w:vertAlign w:val="baseline"/>
        </w:rPr>
        <w:t>to</w:t>
      </w:r>
    </w:p>
    <w:p>
      <w:pPr>
        <w:spacing w:after="0" w:line="480" w:lineRule="auto"/>
        <w:jc w:val="both"/>
        <w:sectPr>
          <w:pgSz w:w="12240" w:h="15840"/>
          <w:pgMar w:header="0" w:footer="1012" w:top="1360" w:bottom="1200" w:left="1020" w:right="720"/>
        </w:sectPr>
      </w:pPr>
    </w:p>
    <w:p>
      <w:pPr>
        <w:pStyle w:val="BodyText"/>
        <w:spacing w:line="480" w:lineRule="auto" w:before="72"/>
        <w:ind w:left="420" w:right="710"/>
        <w:jc w:val="both"/>
      </w:pPr>
      <w:r>
        <w:rPr/>
        <w:t>accumulation in exposed plants posing Zn exposure risks along the food chain (Duda </w:t>
      </w:r>
      <w:r>
        <w:rPr>
          <w:i/>
        </w:rPr>
        <w:t>et al,</w:t>
      </w:r>
      <w:r>
        <w:rPr>
          <w:i/>
          <w:spacing w:val="40"/>
        </w:rPr>
        <w:t> </w:t>
      </w:r>
      <w:r>
        <w:rPr/>
        <w:t>2008). The same study showed that the site near the Moi Teaching and Referral Hospital (MTRH) Uasin Gishu County in Kenya had the highest total heavy metals concentrations in water : Cu (0.18 ppm); Pb (0.46 ppm) and Zn (0.70 ppm) and sediments: Cu (1.62 ppm); Pb</w:t>
      </w:r>
      <w:r>
        <w:rPr>
          <w:spacing w:val="40"/>
        </w:rPr>
        <w:t> </w:t>
      </w:r>
      <w:r>
        <w:rPr/>
        <w:t>(1.27 ppm) and Zn (6.73 ppm) respectively. Other studies carried out to monitor exposure to heavy metals among children in Lake Victoria reported significant correlations between Pb, Cd and Cu in hair, nails and heavy metals from fish consumed. The study suggested fish consumption as a possible pathway of heavy metals in humans and possible health risks from heavy metals toxicity. This was due to consumption of higher quantities of fish from the geological basins. Concentration of Pb and Cu in water reflected anthropogenic pathways; while Cd and Cr reflected accumulation from the catchment basin (Ogabiola </w:t>
      </w:r>
      <w:r>
        <w:rPr>
          <w:i/>
        </w:rPr>
        <w:t>et al</w:t>
      </w:r>
      <w:r>
        <w:rPr/>
        <w:t>., 2013) reported that there was evidence of bioaccumulation of heavy metals in the fish. The study also showed that the concentrations of heavy metal found in the water from the Athi River tributaries and gills of the tilapia fish examined was higher than the WHO limits, therefore posing potential risk for inhabitants that depended on the river (Eddy </w:t>
      </w:r>
      <w:r>
        <w:rPr>
          <w:i/>
        </w:rPr>
        <w:t>et al.</w:t>
      </w:r>
      <w:r>
        <w:rPr/>
        <w:t>, 2006).</w:t>
      </w:r>
    </w:p>
    <w:p>
      <w:pPr>
        <w:pStyle w:val="Heading2"/>
        <w:numPr>
          <w:ilvl w:val="1"/>
          <w:numId w:val="15"/>
        </w:numPr>
        <w:tabs>
          <w:tab w:pos="784" w:val="left" w:leader="none"/>
        </w:tabs>
        <w:spacing w:line="240" w:lineRule="auto" w:before="210" w:after="0"/>
        <w:ind w:left="784" w:right="0" w:hanging="364"/>
        <w:jc w:val="both"/>
      </w:pPr>
      <w:bookmarkStart w:name="_TOC_250019" w:id="10"/>
      <w:r>
        <w:rPr/>
        <w:t>Routes</w:t>
      </w:r>
      <w:r>
        <w:rPr>
          <w:spacing w:val="-1"/>
        </w:rPr>
        <w:t> </w:t>
      </w:r>
      <w:r>
        <w:rPr/>
        <w:t>of</w:t>
      </w:r>
      <w:r>
        <w:rPr>
          <w:spacing w:val="-2"/>
        </w:rPr>
        <w:t> </w:t>
      </w:r>
      <w:r>
        <w:rPr/>
        <w:t>Heavy</w:t>
      </w:r>
      <w:r>
        <w:rPr>
          <w:spacing w:val="-4"/>
        </w:rPr>
        <w:t> </w:t>
      </w:r>
      <w:r>
        <w:rPr/>
        <w:t>Metal</w:t>
      </w:r>
      <w:r>
        <w:rPr>
          <w:spacing w:val="-3"/>
        </w:rPr>
        <w:t> </w:t>
      </w:r>
      <w:bookmarkEnd w:id="10"/>
      <w:r>
        <w:rPr>
          <w:spacing w:val="-2"/>
        </w:rPr>
        <w:t>Exposure</w:t>
      </w:r>
    </w:p>
    <w:p>
      <w:pPr>
        <w:pStyle w:val="BodyText"/>
        <w:spacing w:before="192"/>
        <w:rPr>
          <w:b/>
        </w:rPr>
      </w:pPr>
    </w:p>
    <w:p>
      <w:pPr>
        <w:pStyle w:val="BodyText"/>
        <w:spacing w:line="480" w:lineRule="auto"/>
        <w:ind w:left="420" w:right="716"/>
        <w:jc w:val="both"/>
      </w:pPr>
      <w:r>
        <w:rPr/>
        <w:t>Heavy metals enter the human body mainly through two routes which are inhalation and ingestion. Ingestion is the main route</w:t>
      </w:r>
      <w:r>
        <w:rPr>
          <w:spacing w:val="-1"/>
        </w:rPr>
        <w:t> </w:t>
      </w:r>
      <w:r>
        <w:rPr/>
        <w:t>of</w:t>
      </w:r>
      <w:r>
        <w:rPr>
          <w:spacing w:val="-2"/>
        </w:rPr>
        <w:t> </w:t>
      </w:r>
      <w:r>
        <w:rPr/>
        <w:t>exposure to these elements in human population (Cui </w:t>
      </w:r>
      <w:r>
        <w:rPr>
          <w:i/>
        </w:rPr>
        <w:t>et al</w:t>
      </w:r>
      <w:r>
        <w:rPr/>
        <w:t>., 2007). Absorption through the skin is another route of exposure when the metals come in contact with humans in agriculture and in manufacturing, pharmaceutical, industrial, or residential settings. Industrial exposure accounts for a common route of exposure for adults (Dimerizen, 2006). Ingestion is the most common route of exposure in children. Children may acquire</w:t>
      </w:r>
      <w:r>
        <w:rPr>
          <w:spacing w:val="66"/>
        </w:rPr>
        <w:t> </w:t>
      </w:r>
      <w:r>
        <w:rPr/>
        <w:t>toxic</w:t>
      </w:r>
      <w:r>
        <w:rPr>
          <w:spacing w:val="71"/>
        </w:rPr>
        <w:t> </w:t>
      </w:r>
      <w:r>
        <w:rPr/>
        <w:t>levels</w:t>
      </w:r>
      <w:r>
        <w:rPr>
          <w:spacing w:val="70"/>
        </w:rPr>
        <w:t> </w:t>
      </w:r>
      <w:r>
        <w:rPr/>
        <w:t>from</w:t>
      </w:r>
      <w:r>
        <w:rPr>
          <w:spacing w:val="59"/>
        </w:rPr>
        <w:t> </w:t>
      </w:r>
      <w:r>
        <w:rPr/>
        <w:t>the</w:t>
      </w:r>
      <w:r>
        <w:rPr>
          <w:spacing w:val="67"/>
        </w:rPr>
        <w:t> </w:t>
      </w:r>
      <w:r>
        <w:rPr/>
        <w:t>normal</w:t>
      </w:r>
      <w:r>
        <w:rPr>
          <w:spacing w:val="64"/>
        </w:rPr>
        <w:t> </w:t>
      </w:r>
      <w:r>
        <w:rPr/>
        <w:t>hand-to-mouth</w:t>
      </w:r>
      <w:r>
        <w:rPr>
          <w:spacing w:val="58"/>
        </w:rPr>
        <w:t> </w:t>
      </w:r>
      <w:r>
        <w:rPr/>
        <w:t>activity</w:t>
      </w:r>
      <w:r>
        <w:rPr>
          <w:spacing w:val="63"/>
        </w:rPr>
        <w:t> </w:t>
      </w:r>
      <w:r>
        <w:rPr/>
        <w:t>with</w:t>
      </w:r>
      <w:r>
        <w:rPr>
          <w:spacing w:val="63"/>
        </w:rPr>
        <w:t> </w:t>
      </w:r>
      <w:r>
        <w:rPr/>
        <w:t>contaminated</w:t>
      </w:r>
      <w:r>
        <w:rPr>
          <w:spacing w:val="63"/>
        </w:rPr>
        <w:t> </w:t>
      </w:r>
      <w:r>
        <w:rPr/>
        <w:t>soil</w:t>
      </w:r>
      <w:r>
        <w:rPr>
          <w:spacing w:val="59"/>
        </w:rPr>
        <w:t> </w:t>
      </w:r>
      <w:r>
        <w:rPr/>
        <w:t>or</w:t>
      </w:r>
      <w:r>
        <w:rPr>
          <w:spacing w:val="65"/>
        </w:rPr>
        <w:t> </w:t>
      </w:r>
      <w:r>
        <w:rPr>
          <w:spacing w:val="-5"/>
        </w:rPr>
        <w:t>by</w:t>
      </w:r>
    </w:p>
    <w:p>
      <w:pPr>
        <w:spacing w:after="0" w:line="480" w:lineRule="auto"/>
        <w:jc w:val="both"/>
        <w:sectPr>
          <w:pgSz w:w="12240" w:h="15840"/>
          <w:pgMar w:header="0" w:footer="1012" w:top="1360" w:bottom="1200" w:left="1020" w:right="720"/>
        </w:sectPr>
      </w:pPr>
    </w:p>
    <w:p>
      <w:pPr>
        <w:pStyle w:val="BodyText"/>
        <w:spacing w:line="480" w:lineRule="auto" w:before="72"/>
        <w:ind w:left="420" w:right="719"/>
        <w:jc w:val="both"/>
      </w:pPr>
      <w:r>
        <w:rPr/>
        <w:t>actually eating objects that are not food (Uba </w:t>
      </w:r>
      <w:r>
        <w:rPr>
          <w:i/>
        </w:rPr>
        <w:t>et al., </w:t>
      </w:r>
      <w:r>
        <w:rPr/>
        <w:t>2013). Exposure to toxic heavy metals is generally classified as acute, 14 days or less; intermediate, 15-354 days; and chronic, more than 365 days. Chronic low level intakes of heavy metals have adverse effects on human beings and other animals due to the fact that there is no effective mechanism for their elimination from the body</w:t>
      </w:r>
      <w:r>
        <w:rPr>
          <w:spacing w:val="-7"/>
        </w:rPr>
        <w:t> </w:t>
      </w:r>
      <w:r>
        <w:rPr/>
        <w:t>(Fatoki, 2000). Metals such</w:t>
      </w:r>
      <w:r>
        <w:rPr>
          <w:spacing w:val="-2"/>
        </w:rPr>
        <w:t> </w:t>
      </w:r>
      <w:r>
        <w:rPr/>
        <w:t>as lead, mercury, cadmium</w:t>
      </w:r>
      <w:r>
        <w:rPr>
          <w:spacing w:val="-2"/>
        </w:rPr>
        <w:t> </w:t>
      </w:r>
      <w:r>
        <w:rPr/>
        <w:t>and copper are cumulative poisons. These metals cause environmental hazards and are reported to be exceptionally toxic (Finster </w:t>
      </w:r>
      <w:r>
        <w:rPr>
          <w:i/>
        </w:rPr>
        <w:t>et al</w:t>
      </w:r>
      <w:r>
        <w:rPr/>
        <w:t>., 2004). Additionally, acute</w:t>
      </w:r>
      <w:r>
        <w:rPr>
          <w:spacing w:val="-1"/>
        </w:rPr>
        <w:t> </w:t>
      </w:r>
      <w:r>
        <w:rPr/>
        <w:t>toxicity</w:t>
      </w:r>
      <w:r>
        <w:rPr>
          <w:spacing w:val="-5"/>
        </w:rPr>
        <w:t> </w:t>
      </w:r>
      <w:r>
        <w:rPr/>
        <w:t>is usually from</w:t>
      </w:r>
      <w:r>
        <w:rPr>
          <w:spacing w:val="-9"/>
        </w:rPr>
        <w:t> </w:t>
      </w:r>
      <w:r>
        <w:rPr/>
        <w:t>a sudden</w:t>
      </w:r>
      <w:r>
        <w:rPr>
          <w:spacing w:val="-5"/>
        </w:rPr>
        <w:t> </w:t>
      </w:r>
      <w:r>
        <w:rPr/>
        <w:t>or unexpected exposure</w:t>
      </w:r>
      <w:r>
        <w:rPr>
          <w:spacing w:val="-1"/>
        </w:rPr>
        <w:t> </w:t>
      </w:r>
      <w:r>
        <w:rPr/>
        <w:t>to a</w:t>
      </w:r>
      <w:r>
        <w:rPr>
          <w:spacing w:val="-1"/>
        </w:rPr>
        <w:t> </w:t>
      </w:r>
      <w:r>
        <w:rPr/>
        <w:t>high level of the heavy metal. Chronic toxicity results from repeated or continuous exposure, leading to an accumulation of the toxic substance in the body. Chronic exposure may result from contaminated food, air, water, or dust; living near a hazardous waste site;</w:t>
      </w:r>
      <w:r>
        <w:rPr>
          <w:spacing w:val="-1"/>
        </w:rPr>
        <w:t> </w:t>
      </w:r>
      <w:r>
        <w:rPr/>
        <w:t>spending time in areas with</w:t>
      </w:r>
      <w:r>
        <w:rPr>
          <w:spacing w:val="-5"/>
        </w:rPr>
        <w:t> </w:t>
      </w:r>
      <w:r>
        <w:rPr/>
        <w:t>deteriorating lead paint; maternal</w:t>
      </w:r>
      <w:r>
        <w:rPr>
          <w:spacing w:val="-5"/>
        </w:rPr>
        <w:t> </w:t>
      </w:r>
      <w:r>
        <w:rPr/>
        <w:t>transfer in</w:t>
      </w:r>
      <w:r>
        <w:rPr>
          <w:spacing w:val="-5"/>
        </w:rPr>
        <w:t> </w:t>
      </w:r>
      <w:r>
        <w:rPr/>
        <w:t>the</w:t>
      </w:r>
      <w:r>
        <w:rPr>
          <w:spacing w:val="-1"/>
        </w:rPr>
        <w:t> </w:t>
      </w:r>
      <w:r>
        <w:rPr/>
        <w:t>womb;</w:t>
      </w:r>
      <w:r>
        <w:rPr>
          <w:spacing w:val="-5"/>
        </w:rPr>
        <w:t> </w:t>
      </w:r>
      <w:r>
        <w:rPr/>
        <w:t>or from</w:t>
      </w:r>
      <w:r>
        <w:rPr>
          <w:spacing w:val="-9"/>
        </w:rPr>
        <w:t> </w:t>
      </w:r>
      <w:r>
        <w:rPr/>
        <w:t>participating in hobbies</w:t>
      </w:r>
      <w:r>
        <w:rPr>
          <w:spacing w:val="-2"/>
        </w:rPr>
        <w:t> </w:t>
      </w:r>
      <w:r>
        <w:rPr/>
        <w:t>that use lead paint or solder. Chronic exposure may</w:t>
      </w:r>
      <w:r>
        <w:rPr>
          <w:spacing w:val="-2"/>
        </w:rPr>
        <w:t> </w:t>
      </w:r>
      <w:r>
        <w:rPr/>
        <w:t>occur in</w:t>
      </w:r>
      <w:r>
        <w:rPr>
          <w:spacing w:val="-2"/>
        </w:rPr>
        <w:t> </w:t>
      </w:r>
      <w:r>
        <w:rPr/>
        <w:t>either at home or workplace. Symptoms of chronic toxicity are often similar to many common conditions and may not be readily recognized (Miranda </w:t>
      </w:r>
      <w:r>
        <w:rPr>
          <w:i/>
        </w:rPr>
        <w:t>et al</w:t>
      </w:r>
      <w:r>
        <w:rPr/>
        <w:t>., 2005). Chronic accumulation of heavy metals in the kidney and liver of humans causes disruption of numerous biochemical processes, leading to cardiovascular, nervous, kidney and bone diseases. Furthermore, the consumption of heavy metal-contaminated food can seriously deplete some essential nutrients in the body causing a decrease in immunological defenses, intrauterine growth retardation, impaired psycho- social behaviour, disabilities associated with malnutrition and a high prevalence of upper gastrointestinal cancer (Garcia</w:t>
      </w:r>
      <w:r>
        <w:rPr>
          <w:spacing w:val="40"/>
        </w:rPr>
        <w:t> </w:t>
      </w:r>
      <w:r>
        <w:rPr>
          <w:i/>
        </w:rPr>
        <w:t>et al</w:t>
      </w:r>
      <w:r>
        <w:rPr/>
        <w:t>., 2007).</w:t>
      </w:r>
    </w:p>
    <w:p>
      <w:pPr>
        <w:pStyle w:val="Heading2"/>
        <w:numPr>
          <w:ilvl w:val="1"/>
          <w:numId w:val="15"/>
        </w:numPr>
        <w:tabs>
          <w:tab w:pos="784" w:val="left" w:leader="none"/>
        </w:tabs>
        <w:spacing w:line="240" w:lineRule="auto" w:before="201" w:after="0"/>
        <w:ind w:left="784" w:right="0" w:hanging="364"/>
        <w:jc w:val="both"/>
      </w:pPr>
      <w:r>
        <w:rPr/>
        <w:t>Hazardous</w:t>
      </w:r>
      <w:r>
        <w:rPr>
          <w:spacing w:val="-3"/>
        </w:rPr>
        <w:t> </w:t>
      </w:r>
      <w:r>
        <w:rPr/>
        <w:t>Effects</w:t>
      </w:r>
      <w:r>
        <w:rPr>
          <w:spacing w:val="-3"/>
        </w:rPr>
        <w:t> </w:t>
      </w:r>
      <w:r>
        <w:rPr/>
        <w:t>of</w:t>
      </w:r>
      <w:r>
        <w:rPr>
          <w:spacing w:val="-4"/>
        </w:rPr>
        <w:t> </w:t>
      </w:r>
      <w:r>
        <w:rPr/>
        <w:t>Heavy</w:t>
      </w:r>
      <w:r>
        <w:rPr>
          <w:spacing w:val="-1"/>
        </w:rPr>
        <w:t> </w:t>
      </w:r>
      <w:r>
        <w:rPr/>
        <w:t>Metals</w:t>
      </w:r>
      <w:r>
        <w:rPr>
          <w:spacing w:val="-3"/>
        </w:rPr>
        <w:t> </w:t>
      </w:r>
      <w:r>
        <w:rPr/>
        <w:t>on</w:t>
      </w:r>
      <w:r>
        <w:rPr>
          <w:spacing w:val="-1"/>
        </w:rPr>
        <w:t> </w:t>
      </w:r>
      <w:r>
        <w:rPr/>
        <w:t>Human </w:t>
      </w:r>
      <w:r>
        <w:rPr>
          <w:spacing w:val="-2"/>
        </w:rPr>
        <w:t>Health</w:t>
      </w:r>
    </w:p>
    <w:p>
      <w:pPr>
        <w:pStyle w:val="BodyText"/>
        <w:spacing w:line="480" w:lineRule="auto" w:before="243"/>
        <w:ind w:left="420" w:right="719" w:firstLine="57"/>
        <w:jc w:val="both"/>
      </w:pPr>
      <w:r>
        <w:rPr/>
        <w:t>Food safety issues and potential adverse health risks made metal consumptions one of the most serious</w:t>
      </w:r>
      <w:r>
        <w:rPr>
          <w:spacing w:val="17"/>
        </w:rPr>
        <w:t> </w:t>
      </w:r>
      <w:r>
        <w:rPr/>
        <w:t>environmental</w:t>
      </w:r>
      <w:r>
        <w:rPr>
          <w:spacing w:val="16"/>
        </w:rPr>
        <w:t> </w:t>
      </w:r>
      <w:r>
        <w:rPr/>
        <w:t>concerns</w:t>
      </w:r>
      <w:r>
        <w:rPr>
          <w:spacing w:val="17"/>
        </w:rPr>
        <w:t> </w:t>
      </w:r>
      <w:r>
        <w:rPr/>
        <w:t>(Bakare-Odunola,</w:t>
      </w:r>
      <w:r>
        <w:rPr>
          <w:spacing w:val="26"/>
        </w:rPr>
        <w:t> </w:t>
      </w:r>
      <w:r>
        <w:rPr/>
        <w:t>2005).</w:t>
      </w:r>
      <w:r>
        <w:rPr>
          <w:spacing w:val="22"/>
        </w:rPr>
        <w:t> </w:t>
      </w:r>
      <w:r>
        <w:rPr/>
        <w:t>Mercury</w:t>
      </w:r>
      <w:r>
        <w:rPr>
          <w:spacing w:val="10"/>
        </w:rPr>
        <w:t> </w:t>
      </w:r>
      <w:r>
        <w:rPr/>
        <w:t>and</w:t>
      </w:r>
      <w:r>
        <w:rPr>
          <w:spacing w:val="24"/>
        </w:rPr>
        <w:t> </w:t>
      </w:r>
      <w:r>
        <w:rPr/>
        <w:t>lead</w:t>
      </w:r>
      <w:r>
        <w:rPr>
          <w:spacing w:val="20"/>
        </w:rPr>
        <w:t> </w:t>
      </w:r>
      <w:r>
        <w:rPr/>
        <w:t>are</w:t>
      </w:r>
      <w:r>
        <w:rPr>
          <w:spacing w:val="18"/>
        </w:rPr>
        <w:t> </w:t>
      </w:r>
      <w:r>
        <w:rPr/>
        <w:t>associated</w:t>
      </w:r>
      <w:r>
        <w:rPr>
          <w:spacing w:val="20"/>
        </w:rPr>
        <w:t> </w:t>
      </w:r>
      <w:r>
        <w:rPr>
          <w:spacing w:val="-4"/>
        </w:rPr>
        <w:t>with</w:t>
      </w:r>
    </w:p>
    <w:p>
      <w:pPr>
        <w:spacing w:after="0" w:line="480" w:lineRule="auto"/>
        <w:jc w:val="both"/>
        <w:sectPr>
          <w:pgSz w:w="12240" w:h="15840"/>
          <w:pgMar w:header="0" w:footer="1012" w:top="1360" w:bottom="1200" w:left="1020" w:right="720"/>
        </w:sectPr>
      </w:pPr>
    </w:p>
    <w:p>
      <w:pPr>
        <w:pStyle w:val="BodyText"/>
        <w:spacing w:line="480" w:lineRule="auto" w:before="72"/>
        <w:ind w:left="420" w:right="715"/>
        <w:jc w:val="both"/>
      </w:pPr>
      <w:r>
        <w:rPr/>
        <w:t>the development of abnormalities in children (Finster </w:t>
      </w:r>
      <w:r>
        <w:rPr>
          <w:i/>
        </w:rPr>
        <w:t>et al</w:t>
      </w:r>
      <w:r>
        <w:rPr/>
        <w:t>., 2004) also reported that long term intake of cadmium causes renal, prostate and ovarian cancers.</w:t>
      </w:r>
    </w:p>
    <w:p>
      <w:pPr>
        <w:pStyle w:val="BodyText"/>
        <w:spacing w:line="480" w:lineRule="auto" w:before="202"/>
        <w:ind w:left="420" w:right="714"/>
        <w:jc w:val="both"/>
      </w:pPr>
      <w:r>
        <w:rPr/>
        <w:t>Generally, at the biochemical levels, the toxic effects caused by excess concentrations of heavy metals include competition for sites with essential metabolites, replacement of essential ions, reactions with –SH groups, damage to cell membranes and reactions with the phosphates groups (Finster </w:t>
      </w:r>
      <w:r>
        <w:rPr>
          <w:i/>
        </w:rPr>
        <w:t>et al</w:t>
      </w:r>
      <w:r>
        <w:rPr/>
        <w:t>., 2004).</w:t>
      </w:r>
    </w:p>
    <w:p>
      <w:pPr>
        <w:pStyle w:val="Heading2"/>
        <w:numPr>
          <w:ilvl w:val="1"/>
          <w:numId w:val="15"/>
        </w:numPr>
        <w:tabs>
          <w:tab w:pos="3066" w:val="left" w:leader="none"/>
        </w:tabs>
        <w:spacing w:line="240" w:lineRule="auto" w:before="203" w:after="0"/>
        <w:ind w:left="3066" w:right="0" w:hanging="2646"/>
        <w:jc w:val="both"/>
      </w:pPr>
      <w:r>
        <w:rPr/>
        <w:t>Statement</w:t>
      </w:r>
      <w:r>
        <w:rPr>
          <w:spacing w:val="-3"/>
        </w:rPr>
        <w:t> </w:t>
      </w:r>
      <w:r>
        <w:rPr/>
        <w:t>of</w:t>
      </w:r>
      <w:r>
        <w:rPr>
          <w:spacing w:val="-7"/>
        </w:rPr>
        <w:t> </w:t>
      </w:r>
      <w:r>
        <w:rPr/>
        <w:t>Research</w:t>
      </w:r>
      <w:r>
        <w:rPr>
          <w:spacing w:val="-3"/>
        </w:rPr>
        <w:t> </w:t>
      </w:r>
      <w:r>
        <w:rPr>
          <w:spacing w:val="-2"/>
        </w:rPr>
        <w:t>Problem</w:t>
      </w:r>
    </w:p>
    <w:p>
      <w:pPr>
        <w:pStyle w:val="BodyText"/>
        <w:spacing w:before="82"/>
        <w:rPr>
          <w:b/>
        </w:rPr>
      </w:pPr>
    </w:p>
    <w:p>
      <w:pPr>
        <w:pStyle w:val="BodyText"/>
        <w:spacing w:line="480" w:lineRule="auto"/>
        <w:ind w:left="420" w:right="715"/>
        <w:jc w:val="both"/>
      </w:pPr>
      <w:r>
        <w:rPr/>
        <w:t>Environmental pollution is one of the problems that pose serious health threats to animals and humans worldwide. Metals and metalloids tend to bioaccumulate in the environment and biomagnified in food chains where their levels might reach toxic limits even when found in low concentrations in environmental samples (Caggiano </w:t>
      </w:r>
      <w:r>
        <w:rPr>
          <w:i/>
        </w:rPr>
        <w:t>et al</w:t>
      </w:r>
      <w:r>
        <w:rPr/>
        <w:t>., 2004). Therefore monitoring the</w:t>
      </w:r>
      <w:r>
        <w:rPr>
          <w:spacing w:val="40"/>
        </w:rPr>
        <w:t> </w:t>
      </w:r>
      <w:r>
        <w:rPr/>
        <w:t>levels</w:t>
      </w:r>
      <w:r>
        <w:rPr>
          <w:spacing w:val="-3"/>
        </w:rPr>
        <w:t> </w:t>
      </w:r>
      <w:r>
        <w:rPr/>
        <w:t>of</w:t>
      </w:r>
      <w:r>
        <w:rPr>
          <w:spacing w:val="-9"/>
        </w:rPr>
        <w:t> </w:t>
      </w:r>
      <w:r>
        <w:rPr/>
        <w:t>heavy</w:t>
      </w:r>
      <w:r>
        <w:rPr>
          <w:spacing w:val="-6"/>
        </w:rPr>
        <w:t> </w:t>
      </w:r>
      <w:r>
        <w:rPr/>
        <w:t>metals in</w:t>
      </w:r>
      <w:r>
        <w:rPr>
          <w:spacing w:val="-6"/>
        </w:rPr>
        <w:t> </w:t>
      </w:r>
      <w:r>
        <w:rPr/>
        <w:t>the food</w:t>
      </w:r>
      <w:r>
        <w:rPr>
          <w:spacing w:val="-6"/>
        </w:rPr>
        <w:t> </w:t>
      </w:r>
      <w:r>
        <w:rPr/>
        <w:t>chain</w:t>
      </w:r>
      <w:r>
        <w:rPr>
          <w:spacing w:val="-1"/>
        </w:rPr>
        <w:t> </w:t>
      </w:r>
      <w:r>
        <w:rPr/>
        <w:t>is</w:t>
      </w:r>
      <w:r>
        <w:rPr>
          <w:spacing w:val="-3"/>
        </w:rPr>
        <w:t> </w:t>
      </w:r>
      <w:r>
        <w:rPr/>
        <w:t>of</w:t>
      </w:r>
      <w:r>
        <w:rPr>
          <w:spacing w:val="-9"/>
        </w:rPr>
        <w:t> </w:t>
      </w:r>
      <w:r>
        <w:rPr/>
        <w:t>great</w:t>
      </w:r>
      <w:r>
        <w:rPr>
          <w:spacing w:val="-1"/>
        </w:rPr>
        <w:t> </w:t>
      </w:r>
      <w:r>
        <w:rPr/>
        <w:t>importance for</w:t>
      </w:r>
      <w:r>
        <w:rPr>
          <w:spacing w:val="-4"/>
        </w:rPr>
        <w:t> </w:t>
      </w:r>
      <w:r>
        <w:rPr/>
        <w:t>the</w:t>
      </w:r>
      <w:r>
        <w:rPr>
          <w:spacing w:val="-2"/>
        </w:rPr>
        <w:t> </w:t>
      </w:r>
      <w:r>
        <w:rPr/>
        <w:t>well</w:t>
      </w:r>
      <w:r>
        <w:rPr>
          <w:spacing w:val="-6"/>
        </w:rPr>
        <w:t> </w:t>
      </w:r>
      <w:r>
        <w:rPr/>
        <w:t>being</w:t>
      </w:r>
      <w:r>
        <w:rPr>
          <w:spacing w:val="-1"/>
        </w:rPr>
        <w:t> </w:t>
      </w:r>
      <w:r>
        <w:rPr/>
        <w:t>of all</w:t>
      </w:r>
      <w:r>
        <w:rPr>
          <w:spacing w:val="-1"/>
        </w:rPr>
        <w:t> </w:t>
      </w:r>
      <w:r>
        <w:rPr/>
        <w:t>life forms. The traditional system of management of livestock, free ranging, which involves animals taken from place to place in search for water and pasture, has remained the most practiced in the country. Free ranged animals can pick toxicants such as heavy metals from the environment by feeding on fodder in the open or from waste dumps, drinking polluted water from drains and streams, and intake of atmospheric depositions especially from vehicular emission and fumes from</w:t>
      </w:r>
      <w:r>
        <w:rPr>
          <w:spacing w:val="-4"/>
        </w:rPr>
        <w:t> </w:t>
      </w:r>
      <w:r>
        <w:rPr/>
        <w:t>open burning of</w:t>
      </w:r>
      <w:r>
        <w:rPr>
          <w:spacing w:val="-3"/>
        </w:rPr>
        <w:t> </w:t>
      </w:r>
      <w:r>
        <w:rPr/>
        <w:t>wastes (Ihedioha and Okoye, 2012). The water sources in northern Nigeria also get contaminated with the heavy metals as a result of leaching and from rain water which drains into them. This water is then used for irrigating crops around and domestic use including drinking and may directly cause heavy metal poisoning to the consumer.</w:t>
      </w:r>
    </w:p>
    <w:p>
      <w:pPr>
        <w:pStyle w:val="BodyText"/>
        <w:spacing w:line="480" w:lineRule="auto"/>
        <w:ind w:left="420" w:right="724"/>
        <w:jc w:val="both"/>
      </w:pPr>
      <w:r>
        <w:rPr/>
        <w:t>Animal manure is applied to agricultural land to improve the soil fertility and organic matter content.</w:t>
      </w:r>
      <w:r>
        <w:rPr>
          <w:spacing w:val="28"/>
        </w:rPr>
        <w:t> </w:t>
      </w:r>
      <w:r>
        <w:rPr/>
        <w:t>However,</w:t>
      </w:r>
      <w:r>
        <w:rPr>
          <w:spacing w:val="30"/>
        </w:rPr>
        <w:t> </w:t>
      </w:r>
      <w:r>
        <w:rPr/>
        <w:t>this</w:t>
      </w:r>
      <w:r>
        <w:rPr>
          <w:spacing w:val="31"/>
        </w:rPr>
        <w:t> </w:t>
      </w:r>
      <w:r>
        <w:rPr/>
        <w:t>practice</w:t>
      </w:r>
      <w:r>
        <w:rPr>
          <w:spacing w:val="27"/>
        </w:rPr>
        <w:t> </w:t>
      </w:r>
      <w:r>
        <w:rPr/>
        <w:t>also</w:t>
      </w:r>
      <w:r>
        <w:rPr>
          <w:spacing w:val="32"/>
        </w:rPr>
        <w:t> </w:t>
      </w:r>
      <w:r>
        <w:rPr/>
        <w:t>results</w:t>
      </w:r>
      <w:r>
        <w:rPr>
          <w:spacing w:val="31"/>
        </w:rPr>
        <w:t> </w:t>
      </w:r>
      <w:r>
        <w:rPr/>
        <w:t>in</w:t>
      </w:r>
      <w:r>
        <w:rPr>
          <w:spacing w:val="32"/>
        </w:rPr>
        <w:t> </w:t>
      </w:r>
      <w:r>
        <w:rPr/>
        <w:t>serious</w:t>
      </w:r>
      <w:r>
        <w:rPr>
          <w:spacing w:val="26"/>
        </w:rPr>
        <w:t> </w:t>
      </w:r>
      <w:r>
        <w:rPr/>
        <w:t>environmental</w:t>
      </w:r>
      <w:r>
        <w:rPr>
          <w:spacing w:val="18"/>
        </w:rPr>
        <w:t> </w:t>
      </w:r>
      <w:r>
        <w:rPr/>
        <w:t>problems,</w:t>
      </w:r>
      <w:r>
        <w:rPr>
          <w:spacing w:val="35"/>
        </w:rPr>
        <w:t> </w:t>
      </w:r>
      <w:r>
        <w:rPr/>
        <w:t>such</w:t>
      </w:r>
      <w:r>
        <w:rPr>
          <w:spacing w:val="27"/>
        </w:rPr>
        <w:t> </w:t>
      </w:r>
      <w:r>
        <w:rPr/>
        <w:t>as</w:t>
      </w:r>
      <w:r>
        <w:rPr>
          <w:spacing w:val="31"/>
        </w:rPr>
        <w:t> </w:t>
      </w:r>
      <w:r>
        <w:rPr>
          <w:spacing w:val="-2"/>
        </w:rPr>
        <w:t>heavy</w:t>
      </w:r>
    </w:p>
    <w:p>
      <w:pPr>
        <w:spacing w:after="0" w:line="480" w:lineRule="auto"/>
        <w:jc w:val="both"/>
        <w:sectPr>
          <w:pgSz w:w="12240" w:h="15840"/>
          <w:pgMar w:header="0" w:footer="1012" w:top="1360" w:bottom="1200" w:left="1020" w:right="720"/>
        </w:sectPr>
      </w:pPr>
    </w:p>
    <w:p>
      <w:pPr>
        <w:pStyle w:val="BodyText"/>
        <w:spacing w:line="480" w:lineRule="auto" w:before="72"/>
        <w:ind w:left="420" w:right="716"/>
        <w:jc w:val="both"/>
      </w:pPr>
      <w:r>
        <w:rPr/>
        <w:t>metal</w:t>
      </w:r>
      <w:r>
        <w:rPr>
          <w:spacing w:val="-7"/>
        </w:rPr>
        <w:t> </w:t>
      </w:r>
      <w:r>
        <w:rPr/>
        <w:t>contamination</w:t>
      </w:r>
      <w:r>
        <w:rPr>
          <w:spacing w:val="-3"/>
        </w:rPr>
        <w:t> </w:t>
      </w:r>
      <w:r>
        <w:rPr/>
        <w:t>of</w:t>
      </w:r>
      <w:r>
        <w:rPr>
          <w:spacing w:val="-6"/>
        </w:rPr>
        <w:t> </w:t>
      </w:r>
      <w:r>
        <w:rPr/>
        <w:t>surface waters through</w:t>
      </w:r>
      <w:r>
        <w:rPr>
          <w:spacing w:val="-3"/>
        </w:rPr>
        <w:t> </w:t>
      </w:r>
      <w:r>
        <w:rPr/>
        <w:t>runoff</w:t>
      </w:r>
      <w:r>
        <w:rPr>
          <w:spacing w:val="-6"/>
        </w:rPr>
        <w:t> </w:t>
      </w:r>
      <w:r>
        <w:rPr/>
        <w:t>and also promotes metal</w:t>
      </w:r>
      <w:r>
        <w:rPr>
          <w:spacing w:val="-3"/>
        </w:rPr>
        <w:t> </w:t>
      </w:r>
      <w:r>
        <w:rPr/>
        <w:t>migration</w:t>
      </w:r>
      <w:r>
        <w:rPr>
          <w:spacing w:val="-3"/>
        </w:rPr>
        <w:t> </w:t>
      </w:r>
      <w:r>
        <w:rPr/>
        <w:t>through leaching to the underground waters. Another important problem induced by animal manure application is metal pollution as residues of heavy metals in manure can be accumulated in surface soils as a result of long-term agricultural use and in plants through uptake in crops and being primary producers contaminate the eco system. The metals present in animal manure are largely derived from feeds.</w:t>
      </w:r>
    </w:p>
    <w:p>
      <w:pPr>
        <w:pStyle w:val="BodyText"/>
      </w:pPr>
    </w:p>
    <w:p>
      <w:pPr>
        <w:pStyle w:val="BodyText"/>
      </w:pPr>
    </w:p>
    <w:p>
      <w:pPr>
        <w:pStyle w:val="BodyText"/>
        <w:spacing w:before="85"/>
      </w:pPr>
    </w:p>
    <w:p>
      <w:pPr>
        <w:tabs>
          <w:tab w:pos="1582" w:val="left" w:leader="none"/>
        </w:tabs>
        <w:spacing w:before="0"/>
        <w:ind w:left="420" w:right="0" w:firstLine="0"/>
        <w:jc w:val="left"/>
        <w:rPr>
          <w:b/>
          <w:sz w:val="22"/>
        </w:rPr>
      </w:pPr>
      <w:r>
        <w:rPr>
          <w:b/>
          <w:spacing w:val="-5"/>
          <w:sz w:val="22"/>
        </w:rPr>
        <w:t>1.5</w:t>
      </w:r>
      <w:r>
        <w:rPr>
          <w:b/>
          <w:sz w:val="22"/>
        </w:rPr>
        <w:tab/>
        <w:t>Justification</w:t>
      </w:r>
      <w:r>
        <w:rPr>
          <w:b/>
          <w:spacing w:val="-10"/>
          <w:sz w:val="22"/>
        </w:rPr>
        <w:t> </w:t>
      </w:r>
      <w:r>
        <w:rPr>
          <w:b/>
          <w:sz w:val="22"/>
        </w:rPr>
        <w:t>of</w:t>
      </w:r>
      <w:r>
        <w:rPr>
          <w:b/>
          <w:spacing w:val="-8"/>
          <w:sz w:val="22"/>
        </w:rPr>
        <w:t> </w:t>
      </w:r>
      <w:r>
        <w:rPr>
          <w:b/>
          <w:sz w:val="22"/>
        </w:rPr>
        <w:t>the</w:t>
      </w:r>
      <w:r>
        <w:rPr>
          <w:b/>
          <w:spacing w:val="-4"/>
          <w:sz w:val="22"/>
        </w:rPr>
        <w:t> study</w:t>
      </w:r>
    </w:p>
    <w:p>
      <w:pPr>
        <w:pStyle w:val="BodyText"/>
        <w:rPr>
          <w:b/>
          <w:sz w:val="22"/>
        </w:rPr>
      </w:pPr>
    </w:p>
    <w:p>
      <w:pPr>
        <w:pStyle w:val="BodyText"/>
        <w:spacing w:before="24"/>
        <w:rPr>
          <w:b/>
          <w:sz w:val="22"/>
        </w:rPr>
      </w:pPr>
    </w:p>
    <w:p>
      <w:pPr>
        <w:pStyle w:val="BodyText"/>
        <w:spacing w:line="480" w:lineRule="auto"/>
        <w:ind w:left="420" w:right="716"/>
        <w:jc w:val="both"/>
      </w:pPr>
      <w:r>
        <w:rPr/>
        <w:t>Nigeria</w:t>
      </w:r>
      <w:r>
        <w:rPr>
          <w:spacing w:val="-2"/>
        </w:rPr>
        <w:t> </w:t>
      </w:r>
      <w:r>
        <w:rPr/>
        <w:t>as a</w:t>
      </w:r>
      <w:r>
        <w:rPr>
          <w:spacing w:val="-2"/>
        </w:rPr>
        <w:t> </w:t>
      </w:r>
      <w:r>
        <w:rPr/>
        <w:t>developing</w:t>
      </w:r>
      <w:r>
        <w:rPr>
          <w:spacing w:val="-1"/>
        </w:rPr>
        <w:t> </w:t>
      </w:r>
      <w:r>
        <w:rPr/>
        <w:t>country, currently</w:t>
      </w:r>
      <w:r>
        <w:rPr>
          <w:spacing w:val="-5"/>
        </w:rPr>
        <w:t> </w:t>
      </w:r>
      <w:r>
        <w:rPr/>
        <w:t>depend on</w:t>
      </w:r>
      <w:r>
        <w:rPr>
          <w:spacing w:val="-1"/>
        </w:rPr>
        <w:t> </w:t>
      </w:r>
      <w:r>
        <w:rPr/>
        <w:t>fish</w:t>
      </w:r>
      <w:r>
        <w:rPr>
          <w:spacing w:val="-5"/>
        </w:rPr>
        <w:t> </w:t>
      </w:r>
      <w:r>
        <w:rPr/>
        <w:t>and livestock</w:t>
      </w:r>
      <w:r>
        <w:rPr>
          <w:spacing w:val="-1"/>
        </w:rPr>
        <w:t> </w:t>
      </w:r>
      <w:r>
        <w:rPr/>
        <w:t>for her primary</w:t>
      </w:r>
      <w:r>
        <w:rPr>
          <w:spacing w:val="-5"/>
        </w:rPr>
        <w:t> </w:t>
      </w:r>
      <w:r>
        <w:rPr/>
        <w:t>source</w:t>
      </w:r>
      <w:r>
        <w:rPr>
          <w:spacing w:val="-2"/>
        </w:rPr>
        <w:t> </w:t>
      </w:r>
      <w:r>
        <w:rPr/>
        <w:t>of protein but animal feed supplies also have to cope</w:t>
      </w:r>
      <w:r>
        <w:rPr>
          <w:spacing w:val="-2"/>
        </w:rPr>
        <w:t> </w:t>
      </w:r>
      <w:r>
        <w:rPr/>
        <w:t>with increasing safety</w:t>
      </w:r>
      <w:r>
        <w:rPr>
          <w:spacing w:val="-6"/>
        </w:rPr>
        <w:t> </w:t>
      </w:r>
      <w:r>
        <w:rPr/>
        <w:t>concerns, optimized by contaminations from</w:t>
      </w:r>
      <w:r>
        <w:rPr>
          <w:spacing w:val="-7"/>
        </w:rPr>
        <w:t> </w:t>
      </w:r>
      <w:r>
        <w:rPr/>
        <w:t>chemicals e.g. heavy</w:t>
      </w:r>
      <w:r>
        <w:rPr>
          <w:spacing w:val="-2"/>
        </w:rPr>
        <w:t> </w:t>
      </w:r>
      <w:r>
        <w:rPr/>
        <w:t>metals. In</w:t>
      </w:r>
      <w:r>
        <w:rPr>
          <w:spacing w:val="-2"/>
        </w:rPr>
        <w:t> </w:t>
      </w:r>
      <w:r>
        <w:rPr/>
        <w:t>Northern</w:t>
      </w:r>
      <w:r>
        <w:rPr>
          <w:spacing w:val="-2"/>
        </w:rPr>
        <w:t> </w:t>
      </w:r>
      <w:r>
        <w:rPr/>
        <w:t>Nigeria, the farming communities contribute about imminent environmental contaminations and the likely impacts on our livelihoods. There is</w:t>
      </w:r>
      <w:r>
        <w:rPr>
          <w:spacing w:val="-3"/>
        </w:rPr>
        <w:t> </w:t>
      </w:r>
      <w:r>
        <w:rPr/>
        <w:t>the need for people</w:t>
      </w:r>
      <w:r>
        <w:rPr>
          <w:spacing w:val="-2"/>
        </w:rPr>
        <w:t> </w:t>
      </w:r>
      <w:r>
        <w:rPr/>
        <w:t>and</w:t>
      </w:r>
      <w:r>
        <w:rPr>
          <w:spacing w:val="-1"/>
        </w:rPr>
        <w:t> </w:t>
      </w:r>
      <w:r>
        <w:rPr/>
        <w:t>government bodies</w:t>
      </w:r>
      <w:r>
        <w:rPr>
          <w:spacing w:val="-3"/>
        </w:rPr>
        <w:t> </w:t>
      </w:r>
      <w:r>
        <w:rPr/>
        <w:t>to be</w:t>
      </w:r>
      <w:r>
        <w:rPr>
          <w:spacing w:val="-2"/>
        </w:rPr>
        <w:t> </w:t>
      </w:r>
      <w:r>
        <w:rPr/>
        <w:t>aware</w:t>
      </w:r>
      <w:r>
        <w:rPr>
          <w:spacing w:val="-2"/>
        </w:rPr>
        <w:t> </w:t>
      </w:r>
      <w:r>
        <w:rPr/>
        <w:t>of</w:t>
      </w:r>
      <w:r>
        <w:rPr>
          <w:spacing w:val="-9"/>
        </w:rPr>
        <w:t> </w:t>
      </w:r>
      <w:r>
        <w:rPr/>
        <w:t>the</w:t>
      </w:r>
      <w:r>
        <w:rPr>
          <w:spacing w:val="-2"/>
        </w:rPr>
        <w:t> </w:t>
      </w:r>
      <w:r>
        <w:rPr/>
        <w:t>consequences of our activities and the need to safeguard health. There has been indiscriminate local gold mining activities in North central and Northwest Nigerian communities by the inhabitants</w:t>
      </w:r>
      <w:r>
        <w:rPr>
          <w:spacing w:val="40"/>
        </w:rPr>
        <w:t> </w:t>
      </w:r>
      <w:r>
        <w:rPr/>
        <w:t>evident in 2010 Medecins Sans Frontieres (MSF) discovery</w:t>
      </w:r>
      <w:r>
        <w:rPr>
          <w:spacing w:val="-1"/>
        </w:rPr>
        <w:t> </w:t>
      </w:r>
      <w:r>
        <w:rPr/>
        <w:t>of an epidemic of lead poisoning in Zamfara state in North–Western Nigeria particularly in Anka and Bukkuyum Local Government Areas of the state (MSF, 2010). Subsequent investigations by the Centers for Disease Control (CDC), the World Health Organization (WHO) and the Zamfara State Ministry of Health (ZMoH) confirmed that hundreds of children under ages of five were at risk of death or serious acute and chronic health effects due to extremely high levels of lead and mercury (WHO, 2011). At</w:t>
      </w:r>
      <w:r>
        <w:rPr>
          <w:spacing w:val="37"/>
        </w:rPr>
        <w:t> </w:t>
      </w:r>
      <w:r>
        <w:rPr/>
        <w:t>least</w:t>
      </w:r>
      <w:r>
        <w:rPr>
          <w:spacing w:val="37"/>
        </w:rPr>
        <w:t> </w:t>
      </w:r>
      <w:r>
        <w:rPr/>
        <w:t>10,000</w:t>
      </w:r>
      <w:r>
        <w:rPr>
          <w:spacing w:val="32"/>
        </w:rPr>
        <w:t> </w:t>
      </w:r>
      <w:r>
        <w:rPr/>
        <w:t>people</w:t>
      </w:r>
      <w:r>
        <w:rPr>
          <w:spacing w:val="31"/>
        </w:rPr>
        <w:t> </w:t>
      </w:r>
      <w:r>
        <w:rPr/>
        <w:t>were</w:t>
      </w:r>
      <w:r>
        <w:rPr>
          <w:spacing w:val="31"/>
        </w:rPr>
        <w:t> </w:t>
      </w:r>
      <w:r>
        <w:rPr/>
        <w:t>estimated</w:t>
      </w:r>
      <w:r>
        <w:rPr>
          <w:spacing w:val="28"/>
        </w:rPr>
        <w:t> </w:t>
      </w:r>
      <w:r>
        <w:rPr/>
        <w:t>to</w:t>
      </w:r>
      <w:r>
        <w:rPr>
          <w:spacing w:val="37"/>
        </w:rPr>
        <w:t> </w:t>
      </w:r>
      <w:r>
        <w:rPr/>
        <w:t>be</w:t>
      </w:r>
      <w:r>
        <w:rPr>
          <w:spacing w:val="31"/>
        </w:rPr>
        <w:t> </w:t>
      </w:r>
      <w:r>
        <w:rPr/>
        <w:t>affected</w:t>
      </w:r>
      <w:r>
        <w:rPr>
          <w:spacing w:val="28"/>
        </w:rPr>
        <w:t> </w:t>
      </w:r>
      <w:r>
        <w:rPr/>
        <w:t>overall</w:t>
      </w:r>
      <w:r>
        <w:rPr>
          <w:spacing w:val="24"/>
        </w:rPr>
        <w:t> </w:t>
      </w:r>
      <w:r>
        <w:rPr/>
        <w:t>(MSF,</w:t>
      </w:r>
      <w:r>
        <w:rPr>
          <w:spacing w:val="34"/>
        </w:rPr>
        <w:t> </w:t>
      </w:r>
      <w:r>
        <w:rPr/>
        <w:t>2010).</w:t>
      </w:r>
      <w:r>
        <w:rPr>
          <w:spacing w:val="30"/>
        </w:rPr>
        <w:t> </w:t>
      </w:r>
      <w:r>
        <w:rPr/>
        <w:t>The</w:t>
      </w:r>
      <w:r>
        <w:rPr>
          <w:spacing w:val="31"/>
        </w:rPr>
        <w:t> </w:t>
      </w:r>
      <w:r>
        <w:rPr/>
        <w:t>source</w:t>
      </w:r>
      <w:r>
        <w:rPr>
          <w:spacing w:val="28"/>
        </w:rPr>
        <w:t> </w:t>
      </w:r>
      <w:r>
        <w:rPr/>
        <w:t>of</w:t>
      </w:r>
      <w:r>
        <w:rPr>
          <w:spacing w:val="25"/>
        </w:rPr>
        <w:t> </w:t>
      </w:r>
      <w:r>
        <w:rPr/>
        <w:t>the</w:t>
      </w:r>
    </w:p>
    <w:p>
      <w:pPr>
        <w:spacing w:after="0" w:line="480" w:lineRule="auto"/>
        <w:jc w:val="both"/>
        <w:sectPr>
          <w:pgSz w:w="12240" w:h="15840"/>
          <w:pgMar w:header="0" w:footer="1012" w:top="1360" w:bottom="1200" w:left="1020" w:right="720"/>
        </w:sectPr>
      </w:pPr>
    </w:p>
    <w:p>
      <w:pPr>
        <w:pStyle w:val="BodyText"/>
        <w:spacing w:line="480" w:lineRule="auto" w:before="72"/>
        <w:ind w:left="420" w:right="714"/>
        <w:jc w:val="both"/>
      </w:pPr>
      <w:r>
        <w:rPr/>
        <w:t>outbreak was associated with artisanal gold ore processing that occurs in the villages (Udiba </w:t>
      </w:r>
      <w:r>
        <w:rPr>
          <w:i/>
        </w:rPr>
        <w:t>et al</w:t>
      </w:r>
      <w:r>
        <w:rPr/>
        <w:t>., 2013). The medium through which the people were affected include drinking water, food,</w:t>
      </w:r>
      <w:r>
        <w:rPr>
          <w:spacing w:val="40"/>
        </w:rPr>
        <w:t> </w:t>
      </w:r>
      <w:r>
        <w:rPr/>
        <w:t>and inhalation of contaminated dust, oral ingestion of particles especially by children and</w:t>
      </w:r>
      <w:r>
        <w:rPr>
          <w:spacing w:val="40"/>
        </w:rPr>
        <w:t> </w:t>
      </w:r>
      <w:r>
        <w:rPr/>
        <w:t>through</w:t>
      </w:r>
      <w:r>
        <w:rPr>
          <w:spacing w:val="-6"/>
        </w:rPr>
        <w:t> </w:t>
      </w:r>
      <w:r>
        <w:rPr/>
        <w:t>breast feeding. Mining</w:t>
      </w:r>
      <w:r>
        <w:rPr>
          <w:spacing w:val="-1"/>
        </w:rPr>
        <w:t> </w:t>
      </w:r>
      <w:r>
        <w:rPr/>
        <w:t>of</w:t>
      </w:r>
      <w:r>
        <w:rPr>
          <w:spacing w:val="-4"/>
        </w:rPr>
        <w:t> </w:t>
      </w:r>
      <w:r>
        <w:rPr/>
        <w:t>gold has being left in</w:t>
      </w:r>
      <w:r>
        <w:rPr>
          <w:spacing w:val="-6"/>
        </w:rPr>
        <w:t> </w:t>
      </w:r>
      <w:r>
        <w:rPr/>
        <w:t>the hands of</w:t>
      </w:r>
      <w:r>
        <w:rPr>
          <w:spacing w:val="-4"/>
        </w:rPr>
        <w:t> </w:t>
      </w:r>
      <w:r>
        <w:rPr/>
        <w:t>artisanal</w:t>
      </w:r>
      <w:r>
        <w:rPr>
          <w:spacing w:val="-1"/>
        </w:rPr>
        <w:t> </w:t>
      </w:r>
      <w:r>
        <w:rPr/>
        <w:t>miners who do not have enough resources and adequate equipment and technology required for the mining</w:t>
      </w:r>
      <w:r>
        <w:rPr>
          <w:spacing w:val="40"/>
        </w:rPr>
        <w:t> </w:t>
      </w:r>
      <w:r>
        <w:rPr/>
        <w:t>activities. Many</w:t>
      </w:r>
      <w:r>
        <w:rPr>
          <w:spacing w:val="-6"/>
        </w:rPr>
        <w:t> </w:t>
      </w:r>
      <w:r>
        <w:rPr/>
        <w:t>of</w:t>
      </w:r>
      <w:r>
        <w:rPr>
          <w:spacing w:val="-4"/>
        </w:rPr>
        <w:t> </w:t>
      </w:r>
      <w:r>
        <w:rPr/>
        <w:t>these communities make their living from</w:t>
      </w:r>
      <w:r>
        <w:rPr>
          <w:spacing w:val="-6"/>
        </w:rPr>
        <w:t> </w:t>
      </w:r>
      <w:r>
        <w:rPr/>
        <w:t>subsistence farming, growing food from the surroundings, and obtaining drinking water from nearby surface and sub-surface water sources. Farming is the main occupation of Northern populace primarily due to poverty leading</w:t>
      </w:r>
      <w:r>
        <w:rPr>
          <w:spacing w:val="40"/>
        </w:rPr>
        <w:t> </w:t>
      </w:r>
      <w:r>
        <w:rPr/>
        <w:t>to extensive use of animal manure on farm lands which is the major route of heavy metal inputs to agricultural soils. Expansion of processing industries, farms and abattoirs produce chemical discharge into the soil and water bodies that are used by livestock and people. These animals when exposed to toxic metals accumulate them in their tissues and organs which are considered delicacies in Nigeria. Meat produced from these animals is considered rich and convenient</w:t>
      </w:r>
      <w:r>
        <w:rPr>
          <w:spacing w:val="40"/>
        </w:rPr>
        <w:t> </w:t>
      </w:r>
      <w:r>
        <w:rPr/>
        <w:t>source of nutrients such as proteins and micronutrients and consumption of these contaminated meat may pose public trait to human health. Despite the high concentrations of heavy metals in some environmental samples from Nigeria, no precise studies to the best of my knowledge have been conducted to determine metal contamination levels in animal feeds</w:t>
      </w:r>
      <w:r>
        <w:rPr>
          <w:spacing w:val="40"/>
        </w:rPr>
        <w:t> </w:t>
      </w:r>
      <w:r>
        <w:rPr/>
        <w:t>for fish, poultry and cattle and from major rivers as the source of drinking water</w:t>
      </w:r>
      <w:r>
        <w:rPr>
          <w:spacing w:val="40"/>
        </w:rPr>
        <w:t> </w:t>
      </w:r>
      <w:r>
        <w:rPr/>
        <w:t>in Northern part of the country.</w:t>
      </w:r>
    </w:p>
    <w:p>
      <w:pPr>
        <w:pStyle w:val="BodyText"/>
        <w:spacing w:before="11"/>
      </w:pPr>
    </w:p>
    <w:p>
      <w:pPr>
        <w:pStyle w:val="Heading2"/>
        <w:numPr>
          <w:ilvl w:val="1"/>
          <w:numId w:val="16"/>
        </w:numPr>
        <w:tabs>
          <w:tab w:pos="1081" w:val="left" w:leader="none"/>
        </w:tabs>
        <w:spacing w:line="240" w:lineRule="auto" w:before="0" w:after="0"/>
        <w:ind w:left="1081" w:right="0" w:hanging="661"/>
        <w:jc w:val="left"/>
      </w:pPr>
      <w:bookmarkStart w:name="_TOC_250018" w:id="11"/>
      <w:r>
        <w:rPr/>
        <w:t>Research</w:t>
      </w:r>
      <w:r>
        <w:rPr>
          <w:spacing w:val="-7"/>
        </w:rPr>
        <w:t> </w:t>
      </w:r>
      <w:bookmarkEnd w:id="11"/>
      <w:r>
        <w:rPr>
          <w:spacing w:val="-2"/>
        </w:rPr>
        <w:t>Hypothesis</w:t>
      </w:r>
    </w:p>
    <w:p>
      <w:pPr>
        <w:pStyle w:val="BodyText"/>
        <w:spacing w:before="197"/>
        <w:rPr>
          <w:b/>
        </w:rPr>
      </w:pPr>
    </w:p>
    <w:p>
      <w:pPr>
        <w:pStyle w:val="BodyText"/>
        <w:spacing w:line="480" w:lineRule="auto"/>
        <w:ind w:left="420" w:right="722"/>
        <w:jc w:val="both"/>
      </w:pPr>
      <w:r>
        <w:rPr/>
        <w:t>The levels of heavy metal concentration in livestock feeds, manure and rivers and streams in Northern Nigeria have reached detrimental levels to animals and human.</w:t>
      </w:r>
    </w:p>
    <w:p>
      <w:pPr>
        <w:pStyle w:val="Heading2"/>
        <w:numPr>
          <w:ilvl w:val="1"/>
          <w:numId w:val="16"/>
        </w:numPr>
        <w:tabs>
          <w:tab w:pos="1081" w:val="left" w:leader="none"/>
        </w:tabs>
        <w:spacing w:line="240" w:lineRule="auto" w:before="202" w:after="0"/>
        <w:ind w:left="1081" w:right="0" w:hanging="661"/>
        <w:jc w:val="left"/>
      </w:pPr>
      <w:r>
        <w:rPr/>
        <w:t>Aim</w:t>
      </w:r>
      <w:r>
        <w:rPr>
          <w:spacing w:val="-1"/>
        </w:rPr>
        <w:t> </w:t>
      </w:r>
      <w:r>
        <w:rPr/>
        <w:t>of</w:t>
      </w:r>
      <w:r>
        <w:rPr>
          <w:spacing w:val="-1"/>
        </w:rPr>
        <w:t> </w:t>
      </w:r>
      <w:r>
        <w:rPr>
          <w:spacing w:val="-2"/>
        </w:rPr>
        <w:t>research</w:t>
      </w:r>
    </w:p>
    <w:p>
      <w:pPr>
        <w:spacing w:after="0" w:line="240" w:lineRule="auto"/>
        <w:jc w:val="left"/>
        <w:sectPr>
          <w:pgSz w:w="12240" w:h="15840"/>
          <w:pgMar w:header="0" w:footer="1012" w:top="1360" w:bottom="1200" w:left="1020" w:right="720"/>
        </w:sectPr>
      </w:pPr>
    </w:p>
    <w:p>
      <w:pPr>
        <w:pStyle w:val="BodyText"/>
        <w:spacing w:line="480" w:lineRule="auto" w:before="72"/>
        <w:ind w:left="420" w:right="765"/>
      </w:pPr>
      <w:r>
        <w:rPr/>
        <w:t>The aim of this study was to</w:t>
      </w:r>
      <w:r>
        <w:rPr>
          <w:spacing w:val="19"/>
        </w:rPr>
        <w:t> </w:t>
      </w:r>
      <w:r>
        <w:rPr/>
        <w:t>determine the level of some heavy metals (Zn, Cu, Ni, Pb and As)</w:t>
      </w:r>
      <w:r>
        <w:rPr>
          <w:spacing w:val="40"/>
        </w:rPr>
        <w:t> </w:t>
      </w:r>
      <w:r>
        <w:rPr/>
        <w:t>in fish and livestock feeds, animal manure and rivers in selected states in northern Nigeria.</w:t>
      </w:r>
    </w:p>
    <w:p>
      <w:pPr>
        <w:pStyle w:val="Heading2"/>
        <w:numPr>
          <w:ilvl w:val="2"/>
          <w:numId w:val="16"/>
        </w:numPr>
        <w:tabs>
          <w:tab w:pos="1081" w:val="left" w:leader="none"/>
        </w:tabs>
        <w:spacing w:line="240" w:lineRule="auto" w:before="6" w:after="0"/>
        <w:ind w:left="1081" w:right="0" w:hanging="661"/>
        <w:jc w:val="left"/>
      </w:pPr>
      <w:r>
        <w:rPr/>
        <w:t>Specific</w:t>
      </w:r>
      <w:r>
        <w:rPr>
          <w:spacing w:val="-1"/>
        </w:rPr>
        <w:t> </w:t>
      </w:r>
      <w:r>
        <w:rPr/>
        <w:t>objectives</w:t>
      </w:r>
      <w:r>
        <w:rPr>
          <w:spacing w:val="-2"/>
        </w:rPr>
        <w:t> </w:t>
      </w:r>
      <w:r>
        <w:rPr/>
        <w:t>of</w:t>
      </w:r>
      <w:r>
        <w:rPr>
          <w:spacing w:val="-2"/>
        </w:rPr>
        <w:t> </w:t>
      </w:r>
      <w:r>
        <w:rPr/>
        <w:t>the</w:t>
      </w:r>
      <w:r>
        <w:rPr>
          <w:spacing w:val="-4"/>
        </w:rPr>
        <w:t> </w:t>
      </w:r>
      <w:r>
        <w:rPr>
          <w:spacing w:val="-2"/>
        </w:rPr>
        <w:t>study</w:t>
      </w:r>
    </w:p>
    <w:p>
      <w:pPr>
        <w:pStyle w:val="BodyText"/>
        <w:spacing w:before="271"/>
        <w:ind w:left="842"/>
      </w:pPr>
      <w:r>
        <w:rPr/>
        <w:t>The objectives</w:t>
      </w:r>
      <w:r>
        <w:rPr>
          <w:spacing w:val="-1"/>
        </w:rPr>
        <w:t> </w:t>
      </w:r>
      <w:r>
        <w:rPr/>
        <w:t>of</w:t>
      </w:r>
      <w:r>
        <w:rPr>
          <w:spacing w:val="-7"/>
        </w:rPr>
        <w:t> </w:t>
      </w:r>
      <w:r>
        <w:rPr/>
        <w:t>this</w:t>
      </w:r>
      <w:r>
        <w:rPr>
          <w:spacing w:val="-1"/>
        </w:rPr>
        <w:t> </w:t>
      </w:r>
      <w:r>
        <w:rPr/>
        <w:t>study</w:t>
      </w:r>
      <w:r>
        <w:rPr>
          <w:spacing w:val="-8"/>
        </w:rPr>
        <w:t> </w:t>
      </w:r>
      <w:r>
        <w:rPr>
          <w:spacing w:val="-4"/>
        </w:rPr>
        <w:t>were:</w:t>
      </w:r>
    </w:p>
    <w:p>
      <w:pPr>
        <w:pStyle w:val="BodyText"/>
      </w:pPr>
    </w:p>
    <w:p>
      <w:pPr>
        <w:pStyle w:val="ListParagraph"/>
        <w:numPr>
          <w:ilvl w:val="3"/>
          <w:numId w:val="16"/>
        </w:numPr>
        <w:tabs>
          <w:tab w:pos="1057" w:val="left" w:leader="none"/>
        </w:tabs>
        <w:spacing w:line="480" w:lineRule="auto" w:before="0" w:after="0"/>
        <w:ind w:left="780" w:right="709" w:firstLine="0"/>
        <w:jc w:val="left"/>
        <w:rPr>
          <w:sz w:val="24"/>
        </w:rPr>
      </w:pPr>
      <w:r>
        <w:rPr>
          <w:sz w:val="24"/>
        </w:rPr>
        <w:t>Adopt</w:t>
      </w:r>
      <w:r>
        <w:rPr>
          <w:spacing w:val="36"/>
          <w:sz w:val="24"/>
        </w:rPr>
        <w:t> </w:t>
      </w:r>
      <w:r>
        <w:rPr>
          <w:sz w:val="24"/>
        </w:rPr>
        <w:t>and</w:t>
      </w:r>
      <w:r>
        <w:rPr>
          <w:spacing w:val="31"/>
          <w:sz w:val="24"/>
        </w:rPr>
        <w:t> </w:t>
      </w:r>
      <w:r>
        <w:rPr>
          <w:sz w:val="24"/>
        </w:rPr>
        <w:t>validate</w:t>
      </w:r>
      <w:r>
        <w:rPr>
          <w:spacing w:val="30"/>
          <w:sz w:val="24"/>
        </w:rPr>
        <w:t> </w:t>
      </w:r>
      <w:r>
        <w:rPr>
          <w:sz w:val="24"/>
        </w:rPr>
        <w:t>atomic</w:t>
      </w:r>
      <w:r>
        <w:rPr>
          <w:spacing w:val="30"/>
          <w:sz w:val="24"/>
        </w:rPr>
        <w:t> </w:t>
      </w:r>
      <w:r>
        <w:rPr>
          <w:sz w:val="24"/>
        </w:rPr>
        <w:t>absorption spectrometric</w:t>
      </w:r>
      <w:r>
        <w:rPr>
          <w:spacing w:val="35"/>
          <w:sz w:val="24"/>
        </w:rPr>
        <w:t> </w:t>
      </w:r>
      <w:r>
        <w:rPr>
          <w:sz w:val="24"/>
        </w:rPr>
        <w:t>method</w:t>
      </w:r>
      <w:r>
        <w:rPr>
          <w:spacing w:val="36"/>
          <w:sz w:val="24"/>
        </w:rPr>
        <w:t> </w:t>
      </w:r>
      <w:r>
        <w:rPr>
          <w:sz w:val="24"/>
        </w:rPr>
        <w:t>for</w:t>
      </w:r>
      <w:r>
        <w:rPr>
          <w:spacing w:val="33"/>
          <w:sz w:val="24"/>
        </w:rPr>
        <w:t> </w:t>
      </w:r>
      <w:r>
        <w:rPr>
          <w:sz w:val="24"/>
        </w:rPr>
        <w:t>determination of heavy metals via percentage extraction recovery and precision of the method adopted.</w:t>
      </w:r>
    </w:p>
    <w:p>
      <w:pPr>
        <w:pStyle w:val="ListParagraph"/>
        <w:numPr>
          <w:ilvl w:val="3"/>
          <w:numId w:val="16"/>
        </w:numPr>
        <w:tabs>
          <w:tab w:pos="1091" w:val="left" w:leader="none"/>
        </w:tabs>
        <w:spacing w:line="480" w:lineRule="auto" w:before="0" w:after="0"/>
        <w:ind w:left="780" w:right="726" w:firstLine="0"/>
        <w:jc w:val="left"/>
        <w:rPr>
          <w:sz w:val="24"/>
        </w:rPr>
      </w:pPr>
      <w:r>
        <w:rPr>
          <w:sz w:val="24"/>
        </w:rPr>
        <w:t>Determine</w:t>
      </w:r>
      <w:r>
        <w:rPr>
          <w:spacing w:val="40"/>
          <w:sz w:val="24"/>
        </w:rPr>
        <w:t> </w:t>
      </w:r>
      <w:r>
        <w:rPr>
          <w:sz w:val="24"/>
        </w:rPr>
        <w:t>the</w:t>
      </w:r>
      <w:r>
        <w:rPr>
          <w:spacing w:val="40"/>
          <w:sz w:val="24"/>
        </w:rPr>
        <w:t> </w:t>
      </w:r>
      <w:r>
        <w:rPr>
          <w:sz w:val="24"/>
        </w:rPr>
        <w:t>heavy</w:t>
      </w:r>
      <w:r>
        <w:rPr>
          <w:spacing w:val="40"/>
          <w:sz w:val="24"/>
        </w:rPr>
        <w:t> </w:t>
      </w:r>
      <w:r>
        <w:rPr>
          <w:sz w:val="24"/>
        </w:rPr>
        <w:t>metal</w:t>
      </w:r>
      <w:r>
        <w:rPr>
          <w:spacing w:val="40"/>
          <w:sz w:val="24"/>
        </w:rPr>
        <w:t> </w:t>
      </w:r>
      <w:r>
        <w:rPr>
          <w:sz w:val="24"/>
        </w:rPr>
        <w:t>concentrations</w:t>
      </w:r>
      <w:r>
        <w:rPr>
          <w:spacing w:val="40"/>
          <w:sz w:val="24"/>
        </w:rPr>
        <w:t> </w:t>
      </w:r>
      <w:r>
        <w:rPr>
          <w:sz w:val="24"/>
        </w:rPr>
        <w:t>in</w:t>
      </w:r>
      <w:r>
        <w:rPr>
          <w:spacing w:val="40"/>
          <w:sz w:val="24"/>
        </w:rPr>
        <w:t> </w:t>
      </w:r>
      <w:r>
        <w:rPr>
          <w:sz w:val="24"/>
        </w:rPr>
        <w:t>compound</w:t>
      </w:r>
      <w:r>
        <w:rPr>
          <w:spacing w:val="40"/>
          <w:sz w:val="24"/>
        </w:rPr>
        <w:t> </w:t>
      </w:r>
      <w:r>
        <w:rPr>
          <w:sz w:val="24"/>
        </w:rPr>
        <w:t>fish</w:t>
      </w:r>
      <w:r>
        <w:rPr>
          <w:spacing w:val="40"/>
          <w:sz w:val="24"/>
        </w:rPr>
        <w:t> </w:t>
      </w:r>
      <w:r>
        <w:rPr>
          <w:sz w:val="24"/>
        </w:rPr>
        <w:t>and</w:t>
      </w:r>
      <w:r>
        <w:rPr>
          <w:spacing w:val="40"/>
          <w:sz w:val="24"/>
        </w:rPr>
        <w:t> </w:t>
      </w:r>
      <w:r>
        <w:rPr>
          <w:sz w:val="24"/>
        </w:rPr>
        <w:t>livestock</w:t>
      </w:r>
      <w:r>
        <w:rPr>
          <w:spacing w:val="40"/>
          <w:sz w:val="24"/>
        </w:rPr>
        <w:t> </w:t>
      </w:r>
      <w:r>
        <w:rPr>
          <w:sz w:val="24"/>
        </w:rPr>
        <w:t>feeds</w:t>
      </w:r>
      <w:r>
        <w:rPr>
          <w:spacing w:val="40"/>
          <w:sz w:val="24"/>
        </w:rPr>
        <w:t> </w:t>
      </w:r>
      <w:r>
        <w:rPr>
          <w:sz w:val="24"/>
        </w:rPr>
        <w:t>in</w:t>
      </w:r>
      <w:r>
        <w:rPr>
          <w:spacing w:val="80"/>
          <w:sz w:val="24"/>
        </w:rPr>
        <w:t> </w:t>
      </w:r>
      <w:r>
        <w:rPr>
          <w:sz w:val="24"/>
        </w:rPr>
        <w:t>selected states in northern Nigeria.</w:t>
      </w:r>
    </w:p>
    <w:p>
      <w:pPr>
        <w:pStyle w:val="ListParagraph"/>
        <w:numPr>
          <w:ilvl w:val="3"/>
          <w:numId w:val="16"/>
        </w:numPr>
        <w:tabs>
          <w:tab w:pos="1057" w:val="left" w:leader="none"/>
        </w:tabs>
        <w:spacing w:line="480" w:lineRule="auto" w:before="1" w:after="0"/>
        <w:ind w:left="780" w:right="722" w:firstLine="0"/>
        <w:jc w:val="left"/>
        <w:rPr>
          <w:sz w:val="24"/>
        </w:rPr>
      </w:pPr>
      <w:r>
        <w:rPr>
          <w:sz w:val="24"/>
        </w:rPr>
        <w:t>Determine</w:t>
      </w:r>
      <w:r>
        <w:rPr>
          <w:spacing w:val="29"/>
          <w:sz w:val="24"/>
        </w:rPr>
        <w:t> </w:t>
      </w:r>
      <w:r>
        <w:rPr>
          <w:sz w:val="24"/>
        </w:rPr>
        <w:t>the</w:t>
      </w:r>
      <w:r>
        <w:rPr>
          <w:spacing w:val="29"/>
          <w:sz w:val="24"/>
        </w:rPr>
        <w:t> </w:t>
      </w:r>
      <w:r>
        <w:rPr>
          <w:sz w:val="24"/>
        </w:rPr>
        <w:t>heavy</w:t>
      </w:r>
      <w:r>
        <w:rPr>
          <w:spacing w:val="25"/>
          <w:sz w:val="24"/>
        </w:rPr>
        <w:t> </w:t>
      </w:r>
      <w:r>
        <w:rPr>
          <w:sz w:val="24"/>
        </w:rPr>
        <w:t>metal concentrations</w:t>
      </w:r>
      <w:r>
        <w:rPr>
          <w:spacing w:val="33"/>
          <w:sz w:val="24"/>
        </w:rPr>
        <w:t> </w:t>
      </w:r>
      <w:r>
        <w:rPr>
          <w:sz w:val="24"/>
        </w:rPr>
        <w:t>in</w:t>
      </w:r>
      <w:r>
        <w:rPr>
          <w:spacing w:val="35"/>
          <w:sz w:val="24"/>
        </w:rPr>
        <w:t> </w:t>
      </w:r>
      <w:r>
        <w:rPr>
          <w:sz w:val="24"/>
        </w:rPr>
        <w:t>major</w:t>
      </w:r>
      <w:r>
        <w:rPr>
          <w:spacing w:val="32"/>
          <w:sz w:val="24"/>
        </w:rPr>
        <w:t> </w:t>
      </w:r>
      <w:r>
        <w:rPr>
          <w:sz w:val="24"/>
        </w:rPr>
        <w:t>rivers</w:t>
      </w:r>
      <w:r>
        <w:rPr>
          <w:spacing w:val="33"/>
          <w:sz w:val="24"/>
        </w:rPr>
        <w:t> </w:t>
      </w:r>
      <w:r>
        <w:rPr>
          <w:sz w:val="24"/>
        </w:rPr>
        <w:t>in</w:t>
      </w:r>
      <w:r>
        <w:rPr>
          <w:spacing w:val="30"/>
          <w:sz w:val="24"/>
        </w:rPr>
        <w:t> </w:t>
      </w:r>
      <w:r>
        <w:rPr>
          <w:sz w:val="24"/>
        </w:rPr>
        <w:t>selected</w:t>
      </w:r>
      <w:r>
        <w:rPr>
          <w:spacing w:val="30"/>
          <w:sz w:val="24"/>
        </w:rPr>
        <w:t> </w:t>
      </w:r>
      <w:r>
        <w:rPr>
          <w:sz w:val="24"/>
        </w:rPr>
        <w:t>states</w:t>
      </w:r>
      <w:r>
        <w:rPr>
          <w:spacing w:val="28"/>
          <w:sz w:val="24"/>
        </w:rPr>
        <w:t> </w:t>
      </w:r>
      <w:r>
        <w:rPr>
          <w:sz w:val="24"/>
        </w:rPr>
        <w:t>in</w:t>
      </w:r>
      <w:r>
        <w:rPr>
          <w:spacing w:val="30"/>
          <w:sz w:val="24"/>
        </w:rPr>
        <w:t> </w:t>
      </w:r>
      <w:r>
        <w:rPr>
          <w:sz w:val="24"/>
        </w:rPr>
        <w:t>northern </w:t>
      </w:r>
      <w:r>
        <w:rPr>
          <w:spacing w:val="-2"/>
          <w:sz w:val="24"/>
        </w:rPr>
        <w:t>Nigeria</w:t>
      </w:r>
    </w:p>
    <w:p>
      <w:pPr>
        <w:pStyle w:val="ListParagraph"/>
        <w:numPr>
          <w:ilvl w:val="3"/>
          <w:numId w:val="16"/>
        </w:numPr>
        <w:tabs>
          <w:tab w:pos="1043" w:val="left" w:leader="none"/>
        </w:tabs>
        <w:spacing w:line="360" w:lineRule="auto" w:before="0" w:after="0"/>
        <w:ind w:left="780" w:right="728" w:firstLine="0"/>
        <w:jc w:val="left"/>
        <w:rPr>
          <w:sz w:val="24"/>
        </w:rPr>
      </w:pPr>
      <w:r>
        <w:rPr>
          <w:sz w:val="24"/>
        </w:rPr>
        <w:t>Assess the heavy metal concentrations in poultry and cattle manures in selected states in</w:t>
      </w:r>
      <w:r>
        <w:rPr>
          <w:spacing w:val="40"/>
          <w:sz w:val="24"/>
        </w:rPr>
        <w:t> </w:t>
      </w:r>
      <w:r>
        <w:rPr>
          <w:sz w:val="24"/>
        </w:rPr>
        <w:t>northern Nigeria</w:t>
      </w:r>
    </w:p>
    <w:p>
      <w:pPr>
        <w:pStyle w:val="BodyText"/>
        <w:spacing w:before="140"/>
      </w:pPr>
    </w:p>
    <w:p>
      <w:pPr>
        <w:pStyle w:val="ListParagraph"/>
        <w:numPr>
          <w:ilvl w:val="3"/>
          <w:numId w:val="16"/>
        </w:numPr>
        <w:tabs>
          <w:tab w:pos="1077" w:val="left" w:leader="none"/>
        </w:tabs>
        <w:spacing w:line="480" w:lineRule="auto" w:before="0" w:after="0"/>
        <w:ind w:left="780" w:right="721" w:firstLine="0"/>
        <w:jc w:val="left"/>
        <w:rPr>
          <w:sz w:val="24"/>
        </w:rPr>
      </w:pPr>
      <w:r>
        <w:rPr>
          <w:sz w:val="24"/>
        </w:rPr>
        <w:t>Compare</w:t>
      </w:r>
      <w:r>
        <w:rPr>
          <w:spacing w:val="40"/>
          <w:sz w:val="24"/>
        </w:rPr>
        <w:t> </w:t>
      </w:r>
      <w:r>
        <w:rPr>
          <w:sz w:val="24"/>
        </w:rPr>
        <w:t>all</w:t>
      </w:r>
      <w:r>
        <w:rPr>
          <w:spacing w:val="40"/>
          <w:sz w:val="24"/>
        </w:rPr>
        <w:t> </w:t>
      </w:r>
      <w:r>
        <w:rPr>
          <w:sz w:val="24"/>
        </w:rPr>
        <w:t>the</w:t>
      </w:r>
      <w:r>
        <w:rPr>
          <w:spacing w:val="40"/>
          <w:sz w:val="24"/>
        </w:rPr>
        <w:t> </w:t>
      </w:r>
      <w:r>
        <w:rPr>
          <w:sz w:val="24"/>
        </w:rPr>
        <w:t>heavy</w:t>
      </w:r>
      <w:r>
        <w:rPr>
          <w:spacing w:val="40"/>
          <w:sz w:val="24"/>
        </w:rPr>
        <w:t> </w:t>
      </w:r>
      <w:r>
        <w:rPr>
          <w:sz w:val="24"/>
        </w:rPr>
        <w:t>metals</w:t>
      </w:r>
      <w:r>
        <w:rPr>
          <w:spacing w:val="40"/>
          <w:sz w:val="24"/>
        </w:rPr>
        <w:t> </w:t>
      </w:r>
      <w:r>
        <w:rPr>
          <w:sz w:val="24"/>
        </w:rPr>
        <w:t>concentrations</w:t>
      </w:r>
      <w:r>
        <w:rPr>
          <w:spacing w:val="40"/>
          <w:sz w:val="24"/>
        </w:rPr>
        <w:t> </w:t>
      </w:r>
      <w:r>
        <w:rPr>
          <w:sz w:val="24"/>
        </w:rPr>
        <w:t>determined</w:t>
      </w:r>
      <w:r>
        <w:rPr>
          <w:spacing w:val="40"/>
          <w:sz w:val="24"/>
        </w:rPr>
        <w:t> </w:t>
      </w:r>
      <w:r>
        <w:rPr>
          <w:sz w:val="24"/>
        </w:rPr>
        <w:t>in</w:t>
      </w:r>
      <w:r>
        <w:rPr>
          <w:spacing w:val="40"/>
          <w:sz w:val="24"/>
        </w:rPr>
        <w:t> </w:t>
      </w:r>
      <w:r>
        <w:rPr>
          <w:sz w:val="24"/>
        </w:rPr>
        <w:t>fish</w:t>
      </w:r>
      <w:r>
        <w:rPr>
          <w:spacing w:val="40"/>
          <w:sz w:val="24"/>
        </w:rPr>
        <w:t> </w:t>
      </w:r>
      <w:r>
        <w:rPr>
          <w:sz w:val="24"/>
        </w:rPr>
        <w:t>and</w:t>
      </w:r>
      <w:r>
        <w:rPr>
          <w:spacing w:val="40"/>
          <w:sz w:val="24"/>
        </w:rPr>
        <w:t> </w:t>
      </w:r>
      <w:r>
        <w:rPr>
          <w:sz w:val="24"/>
        </w:rPr>
        <w:t>livestock</w:t>
      </w:r>
      <w:r>
        <w:rPr>
          <w:spacing w:val="40"/>
          <w:sz w:val="24"/>
        </w:rPr>
        <w:t> </w:t>
      </w:r>
      <w:r>
        <w:rPr>
          <w:sz w:val="24"/>
        </w:rPr>
        <w:t>feeds, manures and rivers within the selected states of northern Nigeria</w:t>
      </w:r>
    </w:p>
    <w:p>
      <w:pPr>
        <w:pStyle w:val="BodyText"/>
      </w:pPr>
    </w:p>
    <w:p>
      <w:pPr>
        <w:pStyle w:val="BodyText"/>
        <w:spacing w:before="10"/>
      </w:pPr>
    </w:p>
    <w:p>
      <w:pPr>
        <w:pStyle w:val="Heading2"/>
        <w:numPr>
          <w:ilvl w:val="1"/>
          <w:numId w:val="16"/>
        </w:numPr>
        <w:tabs>
          <w:tab w:pos="1024" w:val="left" w:leader="none"/>
        </w:tabs>
        <w:spacing w:line="240" w:lineRule="auto" w:before="0" w:after="0"/>
        <w:ind w:left="1024" w:right="0" w:hanging="604"/>
        <w:jc w:val="left"/>
      </w:pPr>
      <w:bookmarkStart w:name="_TOC_250017" w:id="12"/>
      <w:r>
        <w:rPr/>
        <w:t>Research</w:t>
      </w:r>
      <w:r>
        <w:rPr>
          <w:spacing w:val="-11"/>
        </w:rPr>
        <w:t> </w:t>
      </w:r>
      <w:bookmarkEnd w:id="12"/>
      <w:r>
        <w:rPr>
          <w:spacing w:val="-2"/>
        </w:rPr>
        <w:t>Limitations</w:t>
      </w:r>
    </w:p>
    <w:p>
      <w:pPr>
        <w:pStyle w:val="BodyText"/>
        <w:spacing w:before="274"/>
        <w:rPr>
          <w:b/>
        </w:rPr>
      </w:pPr>
    </w:p>
    <w:p>
      <w:pPr>
        <w:pStyle w:val="BodyText"/>
        <w:spacing w:line="480" w:lineRule="auto"/>
        <w:ind w:left="420" w:right="837"/>
      </w:pPr>
      <w:r>
        <w:rPr/>
        <w:t>The forage grasses collected for sampling excludes those identified as poisonous to the ruminants that are not palatable or grazed by</w:t>
      </w:r>
      <w:r>
        <w:rPr>
          <w:spacing w:val="-1"/>
        </w:rPr>
        <w:t> </w:t>
      </w:r>
      <w:r>
        <w:rPr/>
        <w:t>the cattle. These include lupine (</w:t>
      </w:r>
      <w:r>
        <w:rPr>
          <w:i/>
        </w:rPr>
        <w:t>Lupinus spp</w:t>
      </w:r>
      <w:r>
        <w:rPr/>
        <w:t>), death camas (</w:t>
      </w:r>
      <w:r>
        <w:rPr>
          <w:i/>
        </w:rPr>
        <w:t>Amsinckia intermedia</w:t>
      </w:r>
      <w:r>
        <w:rPr/>
        <w:t>), nightshades (</w:t>
      </w:r>
      <w:r>
        <w:rPr>
          <w:i/>
        </w:rPr>
        <w:t>Solanum spp</w:t>
      </w:r>
      <w:r>
        <w:rPr/>
        <w:t>), poison hemlock (</w:t>
      </w:r>
      <w:r>
        <w:rPr>
          <w:i/>
        </w:rPr>
        <w:t>Apocynum spp</w:t>
      </w:r>
      <w:r>
        <w:rPr/>
        <w:t>),</w:t>
      </w:r>
      <w:r>
        <w:rPr>
          <w:spacing w:val="-1"/>
        </w:rPr>
        <w:t> </w:t>
      </w:r>
      <w:r>
        <w:rPr/>
        <w:t>water</w:t>
      </w:r>
      <w:r>
        <w:rPr>
          <w:spacing w:val="-2"/>
        </w:rPr>
        <w:t> </w:t>
      </w:r>
      <w:r>
        <w:rPr/>
        <w:t>hemlock</w:t>
      </w:r>
      <w:r>
        <w:rPr>
          <w:spacing w:val="-3"/>
        </w:rPr>
        <w:t> </w:t>
      </w:r>
      <w:r>
        <w:rPr/>
        <w:t>(</w:t>
      </w:r>
      <w:r>
        <w:rPr>
          <w:i/>
        </w:rPr>
        <w:t>Aconitum</w:t>
      </w:r>
      <w:r>
        <w:rPr>
          <w:i/>
          <w:spacing w:val="-4"/>
        </w:rPr>
        <w:t> </w:t>
      </w:r>
      <w:r>
        <w:rPr>
          <w:i/>
        </w:rPr>
        <w:t>spp</w:t>
      </w:r>
      <w:r>
        <w:rPr/>
        <w:t>)</w:t>
      </w:r>
      <w:r>
        <w:rPr>
          <w:spacing w:val="-2"/>
        </w:rPr>
        <w:t> </w:t>
      </w:r>
      <w:r>
        <w:rPr/>
        <w:t>and</w:t>
      </w:r>
      <w:r>
        <w:rPr>
          <w:spacing w:val="-3"/>
        </w:rPr>
        <w:t> </w:t>
      </w:r>
      <w:r>
        <w:rPr/>
        <w:t>larkspurs</w:t>
      </w:r>
      <w:r>
        <w:rPr>
          <w:spacing w:val="-5"/>
        </w:rPr>
        <w:t> </w:t>
      </w:r>
      <w:r>
        <w:rPr/>
        <w:t>(</w:t>
      </w:r>
      <w:r>
        <w:rPr>
          <w:i/>
        </w:rPr>
        <w:t>Asclepias</w:t>
      </w:r>
      <w:r>
        <w:rPr>
          <w:i/>
          <w:spacing w:val="-5"/>
        </w:rPr>
        <w:t> </w:t>
      </w:r>
      <w:r>
        <w:rPr>
          <w:i/>
        </w:rPr>
        <w:t>spp</w:t>
      </w:r>
      <w:r>
        <w:rPr/>
        <w:t>).</w:t>
      </w:r>
      <w:r>
        <w:rPr>
          <w:spacing w:val="40"/>
        </w:rPr>
        <w:t> </w:t>
      </w:r>
      <w:r>
        <w:rPr/>
        <w:t>It</w:t>
      </w:r>
      <w:r>
        <w:rPr>
          <w:spacing w:val="-3"/>
        </w:rPr>
        <w:t> </w:t>
      </w:r>
      <w:r>
        <w:rPr/>
        <w:t>is</w:t>
      </w:r>
      <w:r>
        <w:rPr>
          <w:spacing w:val="-5"/>
        </w:rPr>
        <w:t> </w:t>
      </w:r>
      <w:r>
        <w:rPr/>
        <w:t>critical</w:t>
      </w:r>
      <w:r>
        <w:rPr>
          <w:spacing w:val="-11"/>
        </w:rPr>
        <w:t> </w:t>
      </w:r>
      <w:r>
        <w:rPr/>
        <w:t>that</w:t>
      </w:r>
      <w:r>
        <w:rPr>
          <w:spacing w:val="-3"/>
        </w:rPr>
        <w:t> </w:t>
      </w:r>
      <w:r>
        <w:rPr/>
        <w:t>overgrazing pastures</w:t>
      </w:r>
      <w:r>
        <w:rPr>
          <w:spacing w:val="-5"/>
        </w:rPr>
        <w:t> </w:t>
      </w:r>
      <w:r>
        <w:rPr/>
        <w:t>that contain</w:t>
      </w:r>
      <w:r>
        <w:rPr>
          <w:spacing w:val="-3"/>
        </w:rPr>
        <w:t> </w:t>
      </w:r>
      <w:r>
        <w:rPr/>
        <w:t>these plants are avoided to prevent livestock</w:t>
      </w:r>
      <w:r>
        <w:rPr>
          <w:spacing w:val="-3"/>
        </w:rPr>
        <w:t> </w:t>
      </w:r>
      <w:r>
        <w:rPr/>
        <w:t>toxicity</w:t>
      </w:r>
      <w:r>
        <w:rPr>
          <w:spacing w:val="-8"/>
        </w:rPr>
        <w:t> </w:t>
      </w:r>
      <w:r>
        <w:rPr/>
        <w:t>and the right pastures that are being grazed by the animals are analyzed.</w:t>
      </w:r>
    </w:p>
    <w:p>
      <w:pPr>
        <w:spacing w:after="0" w:line="480" w:lineRule="auto"/>
        <w:sectPr>
          <w:pgSz w:w="12240" w:h="15840"/>
          <w:pgMar w:header="0" w:footer="1012" w:top="1360" w:bottom="1200" w:left="1020" w:right="7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8"/>
      </w:pPr>
    </w:p>
    <w:p>
      <w:pPr>
        <w:pStyle w:val="Heading1"/>
        <w:ind w:right="870"/>
        <w:jc w:val="center"/>
      </w:pPr>
      <w:bookmarkStart w:name="_TOC_250016" w:id="13"/>
      <w:r>
        <w:rPr/>
        <w:t>CHAPTER</w:t>
      </w:r>
      <w:r>
        <w:rPr>
          <w:spacing w:val="-9"/>
        </w:rPr>
        <w:t> </w:t>
      </w:r>
      <w:bookmarkEnd w:id="13"/>
      <w:r>
        <w:rPr>
          <w:spacing w:val="-5"/>
        </w:rPr>
        <w:t>TWO</w:t>
      </w:r>
    </w:p>
    <w:p>
      <w:pPr>
        <w:pStyle w:val="BodyText"/>
        <w:spacing w:before="273"/>
        <w:rPr>
          <w:b/>
        </w:rPr>
      </w:pPr>
    </w:p>
    <w:p>
      <w:pPr>
        <w:pStyle w:val="Heading1"/>
        <w:numPr>
          <w:ilvl w:val="1"/>
          <w:numId w:val="17"/>
        </w:numPr>
        <w:tabs>
          <w:tab w:pos="3716" w:val="left" w:leader="none"/>
        </w:tabs>
        <w:spacing w:line="240" w:lineRule="auto" w:before="1" w:after="0"/>
        <w:ind w:left="3716" w:right="0" w:hanging="3296"/>
        <w:jc w:val="both"/>
      </w:pPr>
      <w:bookmarkStart w:name="_TOC_250015" w:id="14"/>
      <w:r>
        <w:rPr/>
        <w:t>LITERATURE</w:t>
      </w:r>
      <w:r>
        <w:rPr>
          <w:spacing w:val="-4"/>
        </w:rPr>
        <w:t> </w:t>
      </w:r>
      <w:bookmarkEnd w:id="14"/>
      <w:r>
        <w:rPr>
          <w:spacing w:val="-2"/>
        </w:rPr>
        <w:t>REVIEW</w:t>
      </w:r>
    </w:p>
    <w:p>
      <w:pPr>
        <w:pStyle w:val="Heading2"/>
        <w:numPr>
          <w:ilvl w:val="1"/>
          <w:numId w:val="17"/>
        </w:numPr>
        <w:tabs>
          <w:tab w:pos="784" w:val="left" w:leader="none"/>
        </w:tabs>
        <w:spacing w:line="240" w:lineRule="auto" w:before="238" w:after="0"/>
        <w:ind w:left="784" w:right="0" w:hanging="364"/>
        <w:jc w:val="both"/>
      </w:pPr>
      <w:bookmarkStart w:name="_TOC_250014" w:id="15"/>
      <w:r>
        <w:rPr/>
        <w:t>Selected</w:t>
      </w:r>
      <w:r>
        <w:rPr>
          <w:spacing w:val="-3"/>
        </w:rPr>
        <w:t> </w:t>
      </w:r>
      <w:r>
        <w:rPr/>
        <w:t>heavy</w:t>
      </w:r>
      <w:bookmarkEnd w:id="15"/>
      <w:r>
        <w:rPr>
          <w:spacing w:val="-2"/>
        </w:rPr>
        <w:t> metals</w:t>
      </w:r>
    </w:p>
    <w:p>
      <w:pPr>
        <w:pStyle w:val="ListParagraph"/>
        <w:numPr>
          <w:ilvl w:val="2"/>
          <w:numId w:val="17"/>
        </w:numPr>
        <w:tabs>
          <w:tab w:pos="1200" w:val="left" w:leader="none"/>
        </w:tabs>
        <w:spacing w:line="240" w:lineRule="auto" w:before="237" w:after="0"/>
        <w:ind w:left="1200" w:right="0" w:hanging="780"/>
        <w:jc w:val="both"/>
        <w:rPr>
          <w:sz w:val="24"/>
        </w:rPr>
      </w:pPr>
      <w:r>
        <w:rPr>
          <w:spacing w:val="-4"/>
          <w:sz w:val="24"/>
        </w:rPr>
        <w:t>Zinc</w:t>
      </w:r>
    </w:p>
    <w:p>
      <w:pPr>
        <w:pStyle w:val="BodyText"/>
        <w:spacing w:line="480" w:lineRule="auto" w:before="248"/>
        <w:ind w:left="420" w:right="718"/>
        <w:jc w:val="both"/>
      </w:pPr>
      <w:r>
        <w:rPr/>
        <w:t>Zinc is</w:t>
      </w:r>
      <w:r>
        <w:rPr>
          <w:spacing w:val="-3"/>
        </w:rPr>
        <w:t> </w:t>
      </w:r>
      <w:r>
        <w:rPr/>
        <w:t>a bluish</w:t>
      </w:r>
      <w:r>
        <w:rPr>
          <w:spacing w:val="-6"/>
        </w:rPr>
        <w:t> </w:t>
      </w:r>
      <w:r>
        <w:rPr/>
        <w:t>white</w:t>
      </w:r>
      <w:r>
        <w:rPr>
          <w:spacing w:val="-2"/>
        </w:rPr>
        <w:t> </w:t>
      </w:r>
      <w:r>
        <w:rPr/>
        <w:t>soft metal, belongs</w:t>
      </w:r>
      <w:r>
        <w:rPr>
          <w:spacing w:val="-3"/>
        </w:rPr>
        <w:t> </w:t>
      </w:r>
      <w:r>
        <w:rPr/>
        <w:t>to group</w:t>
      </w:r>
      <w:r>
        <w:rPr>
          <w:spacing w:val="-6"/>
        </w:rPr>
        <w:t> </w:t>
      </w:r>
      <w:r>
        <w:rPr/>
        <w:t>I-B</w:t>
      </w:r>
      <w:r>
        <w:rPr>
          <w:spacing w:val="-3"/>
        </w:rPr>
        <w:t> </w:t>
      </w:r>
      <w:r>
        <w:rPr/>
        <w:t>of</w:t>
      </w:r>
      <w:r>
        <w:rPr>
          <w:spacing w:val="-9"/>
        </w:rPr>
        <w:t> </w:t>
      </w:r>
      <w:r>
        <w:rPr/>
        <w:t>the</w:t>
      </w:r>
      <w:r>
        <w:rPr>
          <w:spacing w:val="-2"/>
        </w:rPr>
        <w:t> </w:t>
      </w:r>
      <w:r>
        <w:rPr/>
        <w:t>periodic</w:t>
      </w:r>
      <w:r>
        <w:rPr>
          <w:spacing w:val="-2"/>
        </w:rPr>
        <w:t> </w:t>
      </w:r>
      <w:r>
        <w:rPr/>
        <w:t>table, it has</w:t>
      </w:r>
      <w:r>
        <w:rPr>
          <w:spacing w:val="-3"/>
        </w:rPr>
        <w:t> </w:t>
      </w:r>
      <w:r>
        <w:rPr/>
        <w:t>atom</w:t>
      </w:r>
      <w:r>
        <w:rPr>
          <w:spacing w:val="-10"/>
        </w:rPr>
        <w:t> </w:t>
      </w:r>
      <w:r>
        <w:rPr/>
        <w:t>weight of 65.38, and density</w:t>
      </w:r>
      <w:r>
        <w:rPr>
          <w:spacing w:val="-5"/>
        </w:rPr>
        <w:t> </w:t>
      </w:r>
      <w:r>
        <w:rPr/>
        <w:t>of</w:t>
      </w:r>
      <w:r>
        <w:rPr>
          <w:spacing w:val="-3"/>
        </w:rPr>
        <w:t> </w:t>
      </w:r>
      <w:r>
        <w:rPr/>
        <w:t>7.13. The</w:t>
      </w:r>
      <w:r>
        <w:rPr>
          <w:spacing w:val="-1"/>
        </w:rPr>
        <w:t> </w:t>
      </w:r>
      <w:r>
        <w:rPr/>
        <w:t>oxidation state</w:t>
      </w:r>
      <w:r>
        <w:rPr>
          <w:spacing w:val="-6"/>
        </w:rPr>
        <w:t> </w:t>
      </w:r>
      <w:r>
        <w:rPr/>
        <w:t>of</w:t>
      </w:r>
      <w:r>
        <w:rPr>
          <w:spacing w:val="-3"/>
        </w:rPr>
        <w:t> </w:t>
      </w:r>
      <w:r>
        <w:rPr/>
        <w:t>zinc in nature is 1. The most common minerals of zinc are zinc sulphide (ZnS), zincite (ZnO), and smith- sonite (ZnCO</w:t>
      </w:r>
      <w:r>
        <w:rPr>
          <w:vertAlign w:val="subscript"/>
        </w:rPr>
        <w:t>3</w:t>
      </w:r>
      <w:r>
        <w:rPr>
          <w:vertAlign w:val="baseline"/>
        </w:rPr>
        <w:t>). Zinc is fourth among metals of the world in annual consumption after Fe, Al, and Cu. Zinc is used in many industries as manufacture of dry cell batteries, production of alloys such as bras or bronze, producing a galvanized coating (Coleman </w:t>
      </w:r>
      <w:r>
        <w:rPr>
          <w:i/>
          <w:vertAlign w:val="baseline"/>
        </w:rPr>
        <w:t>et al </w:t>
      </w:r>
      <w:r>
        <w:rPr>
          <w:vertAlign w:val="baseline"/>
        </w:rPr>
        <w:t>., 2002). The main sources</w:t>
      </w:r>
      <w:r>
        <w:rPr>
          <w:spacing w:val="-1"/>
          <w:vertAlign w:val="baseline"/>
        </w:rPr>
        <w:t> </w:t>
      </w:r>
      <w:r>
        <w:rPr>
          <w:vertAlign w:val="baseline"/>
        </w:rPr>
        <w:t>of</w:t>
      </w:r>
      <w:r>
        <w:rPr>
          <w:spacing w:val="-2"/>
          <w:vertAlign w:val="baseline"/>
        </w:rPr>
        <w:t> </w:t>
      </w:r>
      <w:r>
        <w:rPr>
          <w:vertAlign w:val="baseline"/>
        </w:rPr>
        <w:t>Zn</w:t>
      </w:r>
      <w:r>
        <w:rPr>
          <w:spacing w:val="-4"/>
          <w:vertAlign w:val="baseline"/>
        </w:rPr>
        <w:t> </w:t>
      </w:r>
      <w:r>
        <w:rPr>
          <w:vertAlign w:val="baseline"/>
        </w:rPr>
        <w:t>pollution in the environment are</w:t>
      </w:r>
      <w:r>
        <w:rPr>
          <w:spacing w:val="-2"/>
          <w:vertAlign w:val="baseline"/>
        </w:rPr>
        <w:t> </w:t>
      </w:r>
      <w:r>
        <w:rPr>
          <w:vertAlign w:val="baseline"/>
        </w:rPr>
        <w:t>zinc fertilizers, sewage sludge, and mining (Gabriel </w:t>
      </w:r>
      <w:r>
        <w:rPr>
          <w:i/>
          <w:vertAlign w:val="baseline"/>
        </w:rPr>
        <w:t>et al</w:t>
      </w:r>
      <w:r>
        <w:rPr>
          <w:vertAlign w:val="baseline"/>
        </w:rPr>
        <w:t>., 2007). Zinc is an</w:t>
      </w:r>
      <w:r>
        <w:rPr>
          <w:spacing w:val="-6"/>
          <w:vertAlign w:val="baseline"/>
        </w:rPr>
        <w:t> </w:t>
      </w:r>
      <w:r>
        <w:rPr>
          <w:vertAlign w:val="baseline"/>
        </w:rPr>
        <w:t>essential</w:t>
      </w:r>
      <w:r>
        <w:rPr>
          <w:spacing w:val="-1"/>
          <w:vertAlign w:val="baseline"/>
        </w:rPr>
        <w:t> </w:t>
      </w:r>
      <w:r>
        <w:rPr>
          <w:vertAlign w:val="baseline"/>
        </w:rPr>
        <w:t>nutrient in humans and animals and is necessary for the function of a large number of metallo enzymes. These enzymes include alcohol dehydrogenase, alkaline phosphatase, carbonic anhydrase, leucine aminopeptidase, superoxide dismutase, and deoxyribonucleic acid (DNA) and</w:t>
      </w:r>
      <w:r>
        <w:rPr>
          <w:spacing w:val="40"/>
          <w:vertAlign w:val="baseline"/>
        </w:rPr>
        <w:t> </w:t>
      </w:r>
      <w:r>
        <w:rPr>
          <w:vertAlign w:val="baseline"/>
        </w:rPr>
        <w:t>ribonucleic</w:t>
      </w:r>
      <w:r>
        <w:rPr>
          <w:spacing w:val="26"/>
          <w:vertAlign w:val="baseline"/>
        </w:rPr>
        <w:t> </w:t>
      </w:r>
      <w:r>
        <w:rPr>
          <w:vertAlign w:val="baseline"/>
        </w:rPr>
        <w:t>acid</w:t>
      </w:r>
      <w:r>
        <w:rPr>
          <w:spacing w:val="29"/>
          <w:vertAlign w:val="baseline"/>
        </w:rPr>
        <w:t> </w:t>
      </w:r>
      <w:r>
        <w:rPr>
          <w:vertAlign w:val="baseline"/>
        </w:rPr>
        <w:t>(RNA)</w:t>
      </w:r>
      <w:r>
        <w:rPr>
          <w:spacing w:val="31"/>
          <w:vertAlign w:val="baseline"/>
        </w:rPr>
        <w:t> </w:t>
      </w:r>
      <w:r>
        <w:rPr>
          <w:vertAlign w:val="baseline"/>
        </w:rPr>
        <w:t>polymerase.</w:t>
      </w:r>
      <w:r>
        <w:rPr>
          <w:spacing w:val="32"/>
          <w:vertAlign w:val="baseline"/>
        </w:rPr>
        <w:t> </w:t>
      </w:r>
      <w:r>
        <w:rPr>
          <w:vertAlign w:val="baseline"/>
        </w:rPr>
        <w:t>An</w:t>
      </w:r>
      <w:r>
        <w:rPr>
          <w:spacing w:val="24"/>
          <w:vertAlign w:val="baseline"/>
        </w:rPr>
        <w:t> </w:t>
      </w:r>
      <w:r>
        <w:rPr>
          <w:vertAlign w:val="baseline"/>
        </w:rPr>
        <w:t>acute</w:t>
      </w:r>
      <w:r>
        <w:rPr>
          <w:spacing w:val="29"/>
          <w:vertAlign w:val="baseline"/>
        </w:rPr>
        <w:t> </w:t>
      </w:r>
      <w:r>
        <w:rPr>
          <w:vertAlign w:val="baseline"/>
        </w:rPr>
        <w:t>oral</w:t>
      </w:r>
      <w:r>
        <w:rPr>
          <w:spacing w:val="20"/>
          <w:vertAlign w:val="baseline"/>
        </w:rPr>
        <w:t> </w:t>
      </w:r>
      <w:r>
        <w:rPr>
          <w:vertAlign w:val="baseline"/>
        </w:rPr>
        <w:t>dose</w:t>
      </w:r>
      <w:r>
        <w:rPr>
          <w:spacing w:val="29"/>
          <w:vertAlign w:val="baseline"/>
        </w:rPr>
        <w:t> </w:t>
      </w:r>
      <w:r>
        <w:rPr>
          <w:vertAlign w:val="baseline"/>
        </w:rPr>
        <w:t>of</w:t>
      </w:r>
      <w:r>
        <w:rPr>
          <w:spacing w:val="23"/>
          <w:vertAlign w:val="baseline"/>
        </w:rPr>
        <w:t> </w:t>
      </w:r>
      <w:r>
        <w:rPr>
          <w:vertAlign w:val="baseline"/>
        </w:rPr>
        <w:t>zinc</w:t>
      </w:r>
      <w:r>
        <w:rPr>
          <w:spacing w:val="32"/>
          <w:vertAlign w:val="baseline"/>
        </w:rPr>
        <w:t> </w:t>
      </w:r>
      <w:r>
        <w:rPr>
          <w:vertAlign w:val="baseline"/>
        </w:rPr>
        <w:t>may</w:t>
      </w:r>
      <w:r>
        <w:rPr>
          <w:spacing w:val="25"/>
          <w:vertAlign w:val="baseline"/>
        </w:rPr>
        <w:t> </w:t>
      </w:r>
      <w:r>
        <w:rPr>
          <w:vertAlign w:val="baseline"/>
        </w:rPr>
        <w:t>cause</w:t>
      </w:r>
      <w:r>
        <w:rPr>
          <w:spacing w:val="29"/>
          <w:vertAlign w:val="baseline"/>
        </w:rPr>
        <w:t> </w:t>
      </w:r>
      <w:r>
        <w:rPr>
          <w:vertAlign w:val="baseline"/>
        </w:rPr>
        <w:t>symptoms</w:t>
      </w:r>
      <w:r>
        <w:rPr>
          <w:spacing w:val="27"/>
          <w:vertAlign w:val="baseline"/>
        </w:rPr>
        <w:t> </w:t>
      </w:r>
      <w:r>
        <w:rPr>
          <w:vertAlign w:val="baseline"/>
        </w:rPr>
        <w:t>such</w:t>
      </w:r>
      <w:r>
        <w:rPr>
          <w:spacing w:val="26"/>
          <w:vertAlign w:val="baseline"/>
        </w:rPr>
        <w:t> </w:t>
      </w:r>
      <w:r>
        <w:rPr>
          <w:spacing w:val="-5"/>
          <w:vertAlign w:val="baseline"/>
        </w:rPr>
        <w:t>as</w:t>
      </w:r>
    </w:p>
    <w:p>
      <w:pPr>
        <w:spacing w:after="0" w:line="480" w:lineRule="auto"/>
        <w:jc w:val="both"/>
        <w:sectPr>
          <w:pgSz w:w="12240" w:h="15840"/>
          <w:pgMar w:header="0" w:footer="1012" w:top="1820" w:bottom="1200" w:left="1020" w:right="720"/>
        </w:sectPr>
      </w:pPr>
    </w:p>
    <w:p>
      <w:pPr>
        <w:pStyle w:val="BodyText"/>
        <w:spacing w:line="480" w:lineRule="auto" w:before="72"/>
        <w:ind w:left="420" w:right="711"/>
        <w:jc w:val="both"/>
      </w:pPr>
      <w:r>
        <w:rPr/>
        <w:t>tachycardia, vascular shock, dyspeptic nausea, vomiting, diarrhea, pancreatitis and damage of hepatic</w:t>
      </w:r>
      <w:r>
        <w:rPr>
          <w:spacing w:val="-2"/>
        </w:rPr>
        <w:t> </w:t>
      </w:r>
      <w:r>
        <w:rPr/>
        <w:t>parenchyma</w:t>
      </w:r>
      <w:r>
        <w:rPr>
          <w:spacing w:val="-2"/>
        </w:rPr>
        <w:t> </w:t>
      </w:r>
      <w:r>
        <w:rPr/>
        <w:t>(ATSDR, 2007). When</w:t>
      </w:r>
      <w:r>
        <w:rPr>
          <w:spacing w:val="-1"/>
        </w:rPr>
        <w:t> </w:t>
      </w:r>
      <w:r>
        <w:rPr/>
        <w:t>high</w:t>
      </w:r>
      <w:r>
        <w:rPr>
          <w:spacing w:val="-1"/>
        </w:rPr>
        <w:t> </w:t>
      </w:r>
      <w:r>
        <w:rPr/>
        <w:t>levels of</w:t>
      </w:r>
      <w:r>
        <w:rPr>
          <w:spacing w:val="-9"/>
        </w:rPr>
        <w:t> </w:t>
      </w:r>
      <w:r>
        <w:rPr/>
        <w:t>zinc</w:t>
      </w:r>
      <w:r>
        <w:rPr>
          <w:spacing w:val="-2"/>
        </w:rPr>
        <w:t> </w:t>
      </w:r>
      <w:r>
        <w:rPr/>
        <w:t>are ingested,</w:t>
      </w:r>
      <w:r>
        <w:rPr>
          <w:spacing w:val="-4"/>
        </w:rPr>
        <w:t> </w:t>
      </w:r>
      <w:r>
        <w:rPr/>
        <w:t>there is inhibition</w:t>
      </w:r>
      <w:r>
        <w:rPr>
          <w:spacing w:val="-6"/>
        </w:rPr>
        <w:t> </w:t>
      </w:r>
      <w:r>
        <w:rPr/>
        <w:t>of copper absorption through interaction with metallothionein at the brush border of the intestinal lumen</w:t>
      </w:r>
      <w:r>
        <w:rPr>
          <w:spacing w:val="-6"/>
        </w:rPr>
        <w:t> </w:t>
      </w:r>
      <w:r>
        <w:rPr/>
        <w:t>occurs. Both</w:t>
      </w:r>
      <w:r>
        <w:rPr>
          <w:spacing w:val="-6"/>
        </w:rPr>
        <w:t> </w:t>
      </w:r>
      <w:r>
        <w:rPr/>
        <w:t>copper</w:t>
      </w:r>
      <w:r>
        <w:rPr>
          <w:spacing w:val="-4"/>
        </w:rPr>
        <w:t> </w:t>
      </w:r>
      <w:r>
        <w:rPr/>
        <w:t>and</w:t>
      </w:r>
      <w:r>
        <w:rPr>
          <w:spacing w:val="-2"/>
        </w:rPr>
        <w:t> </w:t>
      </w:r>
      <w:r>
        <w:rPr/>
        <w:t>zinc</w:t>
      </w:r>
      <w:r>
        <w:rPr>
          <w:spacing w:val="-3"/>
        </w:rPr>
        <w:t> </w:t>
      </w:r>
      <w:r>
        <w:rPr/>
        <w:t>appear</w:t>
      </w:r>
      <w:r>
        <w:rPr>
          <w:spacing w:val="-1"/>
        </w:rPr>
        <w:t> </w:t>
      </w:r>
      <w:r>
        <w:rPr/>
        <w:t>to bind</w:t>
      </w:r>
      <w:r>
        <w:rPr>
          <w:spacing w:val="-2"/>
        </w:rPr>
        <w:t> </w:t>
      </w:r>
      <w:r>
        <w:rPr/>
        <w:t>to</w:t>
      </w:r>
      <w:r>
        <w:rPr>
          <w:spacing w:val="-2"/>
        </w:rPr>
        <w:t> </w:t>
      </w:r>
      <w:r>
        <w:rPr/>
        <w:t>the</w:t>
      </w:r>
      <w:r>
        <w:rPr>
          <w:spacing w:val="-3"/>
        </w:rPr>
        <w:t> </w:t>
      </w:r>
      <w:r>
        <w:rPr/>
        <w:t>same metallothionein</w:t>
      </w:r>
      <w:r>
        <w:rPr>
          <w:spacing w:val="-6"/>
        </w:rPr>
        <w:t> </w:t>
      </w:r>
      <w:r>
        <w:rPr/>
        <w:t>protein;</w:t>
      </w:r>
      <w:r>
        <w:rPr>
          <w:spacing w:val="-6"/>
        </w:rPr>
        <w:t> </w:t>
      </w:r>
      <w:r>
        <w:rPr/>
        <w:t>however, copper has a higher affinity for metallothionein than zinc and displaces zinc from</w:t>
      </w:r>
      <w:r>
        <w:rPr>
          <w:spacing w:val="40"/>
        </w:rPr>
        <w:t> </w:t>
      </w:r>
      <w:r>
        <w:rPr/>
        <w:t>metallothionein protein. Copper complexes with metallothione and is retained in the mucosal cell, relatively unavailable for transfer to plasma, and is excreted in the feces when the mucosal cells are sloughed off. Thus, an excess of zinc can result in a decreased availability of dietary copper, and the development of copper deficiency (ATSDR, 2005). On the other hand zinc deficiency has been associated with dermatitis, anorexia, growth retardation, poor wound</w:t>
      </w:r>
      <w:r>
        <w:rPr>
          <w:spacing w:val="40"/>
        </w:rPr>
        <w:t> </w:t>
      </w:r>
      <w:r>
        <w:rPr/>
        <w:t>healing, hypogonadism with impaired reproductive capacity, impaired immune function, and depressed mental function; increased incidence of congenital malformations in infants has also been associated with zinc deficiency in the mothers (Ihedioha and Okoye, 2012).</w:t>
      </w:r>
    </w:p>
    <w:p>
      <w:pPr>
        <w:pStyle w:val="ListParagraph"/>
        <w:numPr>
          <w:ilvl w:val="2"/>
          <w:numId w:val="17"/>
        </w:numPr>
        <w:tabs>
          <w:tab w:pos="961" w:val="left" w:leader="none"/>
        </w:tabs>
        <w:spacing w:line="240" w:lineRule="auto" w:before="204" w:after="0"/>
        <w:ind w:left="961" w:right="0" w:hanging="541"/>
        <w:jc w:val="both"/>
        <w:rPr>
          <w:sz w:val="24"/>
        </w:rPr>
      </w:pPr>
      <w:r>
        <w:rPr>
          <w:spacing w:val="-2"/>
          <w:sz w:val="24"/>
        </w:rPr>
        <w:t>Copper</w:t>
      </w:r>
    </w:p>
    <w:p>
      <w:pPr>
        <w:pStyle w:val="BodyText"/>
        <w:spacing w:before="197"/>
      </w:pPr>
    </w:p>
    <w:p>
      <w:pPr>
        <w:pStyle w:val="BodyText"/>
        <w:spacing w:line="480" w:lineRule="auto"/>
        <w:ind w:left="420" w:right="719"/>
        <w:jc w:val="both"/>
      </w:pPr>
      <w:r>
        <w:rPr/>
        <w:t>Copper belongs</w:t>
      </w:r>
      <w:r>
        <w:rPr>
          <w:spacing w:val="-1"/>
        </w:rPr>
        <w:t> </w:t>
      </w:r>
      <w:r>
        <w:rPr/>
        <w:t>to group I-B</w:t>
      </w:r>
      <w:r>
        <w:rPr>
          <w:spacing w:val="-6"/>
        </w:rPr>
        <w:t> </w:t>
      </w:r>
      <w:r>
        <w:rPr/>
        <w:t>of</w:t>
      </w:r>
      <w:r>
        <w:rPr>
          <w:spacing w:val="-7"/>
        </w:rPr>
        <w:t> </w:t>
      </w:r>
      <w:r>
        <w:rPr/>
        <w:t>the periodic table, it has</w:t>
      </w:r>
      <w:r>
        <w:rPr>
          <w:spacing w:val="-1"/>
        </w:rPr>
        <w:t> </w:t>
      </w:r>
      <w:r>
        <w:rPr/>
        <w:t>an atomic weight of</w:t>
      </w:r>
      <w:r>
        <w:rPr>
          <w:spacing w:val="-7"/>
        </w:rPr>
        <w:t> </w:t>
      </w:r>
      <w:r>
        <w:rPr/>
        <w:t>63.5 with</w:t>
      </w:r>
      <w:r>
        <w:rPr>
          <w:spacing w:val="-4"/>
        </w:rPr>
        <w:t> </w:t>
      </w:r>
      <w:r>
        <w:rPr/>
        <w:t>a specific gravity of 8.96 with oxidation states of +2, +1. The important ores of Cu are Chalcocite (CuFeS</w:t>
      </w:r>
      <w:r>
        <w:rPr>
          <w:vertAlign w:val="subscript"/>
        </w:rPr>
        <w:t>2</w:t>
      </w:r>
      <w:r>
        <w:rPr>
          <w:vertAlign w:val="baseline"/>
        </w:rPr>
        <w:t>), Cuprite (Cu</w:t>
      </w:r>
      <w:r>
        <w:rPr>
          <w:vertAlign w:val="subscript"/>
        </w:rPr>
        <w:t>2</w:t>
      </w:r>
      <w:r>
        <w:rPr>
          <w:vertAlign w:val="baseline"/>
        </w:rPr>
        <w:t>O) and Malachite [CuCO</w:t>
      </w:r>
      <w:r>
        <w:rPr>
          <w:vertAlign w:val="subscript"/>
        </w:rPr>
        <w:t>3</w:t>
      </w:r>
      <w:r>
        <w:rPr>
          <w:vertAlign w:val="baseline"/>
        </w:rPr>
        <w:t>. Cu(OH)</w:t>
      </w:r>
      <w:r>
        <w:rPr>
          <w:vertAlign w:val="subscript"/>
        </w:rPr>
        <w:t>2</w:t>
      </w:r>
      <w:r>
        <w:rPr>
          <w:vertAlign w:val="baseline"/>
        </w:rPr>
        <w:t>]. Copper is widely used for wire production and in the electrical industry. Its main alloys are bras (with zinc) and bronze (with tin).</w:t>
      </w:r>
      <w:r>
        <w:rPr>
          <w:spacing w:val="-1"/>
          <w:vertAlign w:val="baseline"/>
        </w:rPr>
        <w:t> </w:t>
      </w:r>
      <w:r>
        <w:rPr>
          <w:vertAlign w:val="baseline"/>
        </w:rPr>
        <w:t>Other</w:t>
      </w:r>
      <w:r>
        <w:rPr>
          <w:spacing w:val="-2"/>
          <w:vertAlign w:val="baseline"/>
        </w:rPr>
        <w:t> </w:t>
      </w:r>
      <w:r>
        <w:rPr>
          <w:vertAlign w:val="baseline"/>
        </w:rPr>
        <w:t>applications</w:t>
      </w:r>
      <w:r>
        <w:rPr>
          <w:spacing w:val="-1"/>
          <w:vertAlign w:val="baseline"/>
        </w:rPr>
        <w:t> </w:t>
      </w:r>
      <w:r>
        <w:rPr>
          <w:vertAlign w:val="baseline"/>
        </w:rPr>
        <w:t>are</w:t>
      </w:r>
      <w:r>
        <w:rPr>
          <w:spacing w:val="-4"/>
          <w:vertAlign w:val="baseline"/>
        </w:rPr>
        <w:t> </w:t>
      </w:r>
      <w:r>
        <w:rPr>
          <w:vertAlign w:val="baseline"/>
        </w:rPr>
        <w:t>kitchenware,</w:t>
      </w:r>
      <w:r>
        <w:rPr>
          <w:spacing w:val="-1"/>
          <w:vertAlign w:val="baseline"/>
        </w:rPr>
        <w:t> </w:t>
      </w:r>
      <w:r>
        <w:rPr>
          <w:vertAlign w:val="baseline"/>
        </w:rPr>
        <w:t>water</w:t>
      </w:r>
      <w:r>
        <w:rPr>
          <w:spacing w:val="-2"/>
          <w:vertAlign w:val="baseline"/>
        </w:rPr>
        <w:t> </w:t>
      </w:r>
      <w:r>
        <w:rPr>
          <w:vertAlign w:val="baseline"/>
        </w:rPr>
        <w:t>delivery</w:t>
      </w:r>
      <w:r>
        <w:rPr>
          <w:spacing w:val="-7"/>
          <w:vertAlign w:val="baseline"/>
        </w:rPr>
        <w:t> </w:t>
      </w:r>
      <w:r>
        <w:rPr>
          <w:vertAlign w:val="baseline"/>
        </w:rPr>
        <w:t>systems,</w:t>
      </w:r>
      <w:r>
        <w:rPr>
          <w:spacing w:val="-1"/>
          <w:vertAlign w:val="baseline"/>
        </w:rPr>
        <w:t> </w:t>
      </w:r>
      <w:r>
        <w:rPr>
          <w:vertAlign w:val="baseline"/>
        </w:rPr>
        <w:t>and</w:t>
      </w:r>
      <w:r>
        <w:rPr>
          <w:spacing w:val="-3"/>
          <w:vertAlign w:val="baseline"/>
        </w:rPr>
        <w:t> </w:t>
      </w:r>
      <w:r>
        <w:rPr>
          <w:vertAlign w:val="baseline"/>
        </w:rPr>
        <w:t>copper fertilizers.</w:t>
      </w:r>
      <w:r>
        <w:rPr>
          <w:spacing w:val="-1"/>
          <w:vertAlign w:val="baseline"/>
        </w:rPr>
        <w:t> </w:t>
      </w:r>
      <w:r>
        <w:rPr>
          <w:vertAlign w:val="baseline"/>
        </w:rPr>
        <w:t>Copper is considered as an essential constituent of metal enzymes of living organisms and is required in hemoglobin synthesis and in catalysis of metabolic reactions (Lyaka </w:t>
      </w:r>
      <w:r>
        <w:rPr>
          <w:i/>
          <w:vertAlign w:val="baseline"/>
        </w:rPr>
        <w:t>et al., </w:t>
      </w:r>
      <w:r>
        <w:rPr>
          <w:vertAlign w:val="baseline"/>
        </w:rPr>
        <w:t>2005). It plays a crucial role in many biological enzyme systems that catalyze oxidation/ reduction reactions. However,</w:t>
      </w:r>
      <w:r>
        <w:rPr>
          <w:spacing w:val="47"/>
          <w:vertAlign w:val="baseline"/>
        </w:rPr>
        <w:t> </w:t>
      </w:r>
      <w:r>
        <w:rPr>
          <w:vertAlign w:val="baseline"/>
        </w:rPr>
        <w:t>if</w:t>
      </w:r>
      <w:r>
        <w:rPr>
          <w:spacing w:val="44"/>
          <w:vertAlign w:val="baseline"/>
        </w:rPr>
        <w:t> </w:t>
      </w:r>
      <w:r>
        <w:rPr>
          <w:vertAlign w:val="baseline"/>
        </w:rPr>
        <w:t>present</w:t>
      </w:r>
      <w:r>
        <w:rPr>
          <w:spacing w:val="52"/>
          <w:vertAlign w:val="baseline"/>
        </w:rPr>
        <w:t> </w:t>
      </w:r>
      <w:r>
        <w:rPr>
          <w:vertAlign w:val="baseline"/>
        </w:rPr>
        <w:t>at</w:t>
      </w:r>
      <w:r>
        <w:rPr>
          <w:spacing w:val="48"/>
          <w:vertAlign w:val="baseline"/>
        </w:rPr>
        <w:t> </w:t>
      </w:r>
      <w:r>
        <w:rPr>
          <w:vertAlign w:val="baseline"/>
        </w:rPr>
        <w:t>relatively</w:t>
      </w:r>
      <w:r>
        <w:rPr>
          <w:spacing w:val="47"/>
          <w:vertAlign w:val="baseline"/>
        </w:rPr>
        <w:t> </w:t>
      </w:r>
      <w:r>
        <w:rPr>
          <w:vertAlign w:val="baseline"/>
        </w:rPr>
        <w:t>high</w:t>
      </w:r>
      <w:r>
        <w:rPr>
          <w:spacing w:val="42"/>
          <w:vertAlign w:val="baseline"/>
        </w:rPr>
        <w:t> </w:t>
      </w:r>
      <w:r>
        <w:rPr>
          <w:vertAlign w:val="baseline"/>
        </w:rPr>
        <w:t>concentrations</w:t>
      </w:r>
      <w:r>
        <w:rPr>
          <w:spacing w:val="50"/>
          <w:vertAlign w:val="baseline"/>
        </w:rPr>
        <w:t> </w:t>
      </w:r>
      <w:r>
        <w:rPr>
          <w:vertAlign w:val="baseline"/>
        </w:rPr>
        <w:t>in</w:t>
      </w:r>
      <w:r>
        <w:rPr>
          <w:spacing w:val="47"/>
          <w:vertAlign w:val="baseline"/>
        </w:rPr>
        <w:t> </w:t>
      </w:r>
      <w:r>
        <w:rPr>
          <w:vertAlign w:val="baseline"/>
        </w:rPr>
        <w:t>the</w:t>
      </w:r>
      <w:r>
        <w:rPr>
          <w:spacing w:val="46"/>
          <w:vertAlign w:val="baseline"/>
        </w:rPr>
        <w:t> </w:t>
      </w:r>
      <w:r>
        <w:rPr>
          <w:vertAlign w:val="baseline"/>
        </w:rPr>
        <w:t>environment,</w:t>
      </w:r>
      <w:r>
        <w:rPr>
          <w:spacing w:val="45"/>
          <w:vertAlign w:val="baseline"/>
        </w:rPr>
        <w:t> </w:t>
      </w:r>
      <w:r>
        <w:rPr>
          <w:vertAlign w:val="baseline"/>
        </w:rPr>
        <w:t>toxicity</w:t>
      </w:r>
      <w:r>
        <w:rPr>
          <w:spacing w:val="42"/>
          <w:vertAlign w:val="baseline"/>
        </w:rPr>
        <w:t> </w:t>
      </w:r>
      <w:r>
        <w:rPr>
          <w:vertAlign w:val="baseline"/>
        </w:rPr>
        <w:t>to</w:t>
      </w:r>
      <w:r>
        <w:rPr>
          <w:spacing w:val="48"/>
          <w:vertAlign w:val="baseline"/>
        </w:rPr>
        <w:t> </w:t>
      </w:r>
      <w:r>
        <w:rPr>
          <w:spacing w:val="-2"/>
          <w:vertAlign w:val="baseline"/>
        </w:rPr>
        <w:t>aquatic</w:t>
      </w:r>
    </w:p>
    <w:p>
      <w:pPr>
        <w:spacing w:after="0" w:line="480" w:lineRule="auto"/>
        <w:jc w:val="both"/>
        <w:sectPr>
          <w:pgSz w:w="12240" w:h="15840"/>
          <w:pgMar w:header="0" w:footer="1012" w:top="1360" w:bottom="1200" w:left="1020" w:right="720"/>
        </w:sectPr>
      </w:pPr>
    </w:p>
    <w:p>
      <w:pPr>
        <w:pStyle w:val="BodyText"/>
        <w:spacing w:line="480" w:lineRule="auto" w:before="72"/>
        <w:ind w:left="420" w:right="710"/>
        <w:jc w:val="both"/>
      </w:pPr>
      <w:r>
        <w:rPr/>
        <w:t>organisms may</w:t>
      </w:r>
      <w:r>
        <w:rPr>
          <w:spacing w:val="-2"/>
        </w:rPr>
        <w:t> </w:t>
      </w:r>
      <w:r>
        <w:rPr/>
        <w:t>occur. Copper under ionic forms is toxic to fish</w:t>
      </w:r>
      <w:r>
        <w:rPr>
          <w:spacing w:val="-2"/>
        </w:rPr>
        <w:t> </w:t>
      </w:r>
      <w:r>
        <w:rPr/>
        <w:t>(Nnaji </w:t>
      </w:r>
      <w:r>
        <w:rPr>
          <w:i/>
        </w:rPr>
        <w:t>et al</w:t>
      </w:r>
      <w:r>
        <w:rPr/>
        <w:t>., 2003). High</w:t>
      </w:r>
      <w:r>
        <w:rPr>
          <w:spacing w:val="-2"/>
        </w:rPr>
        <w:t> </w:t>
      </w:r>
      <w:r>
        <w:rPr/>
        <w:t>copper levels lead to an increase in the rate of free radical formation, teratogenicity, and chromosomal aberrations (Nnaji </w:t>
      </w:r>
      <w:r>
        <w:rPr>
          <w:i/>
        </w:rPr>
        <w:t>et al</w:t>
      </w:r>
      <w:r>
        <w:rPr/>
        <w:t>., 2003). Copper is an</w:t>
      </w:r>
      <w:r>
        <w:rPr>
          <w:spacing w:val="-5"/>
        </w:rPr>
        <w:t> </w:t>
      </w:r>
      <w:r>
        <w:rPr/>
        <w:t>essential nutrient that is incorporated into a</w:t>
      </w:r>
      <w:r>
        <w:rPr>
          <w:spacing w:val="-1"/>
        </w:rPr>
        <w:t> </w:t>
      </w:r>
      <w:r>
        <w:rPr/>
        <w:t>number of metallo enzymes involved in hemoglobin formation, drug metabolism, carbohydrate metabolism, catecholamine biosynthesis, the cross linking of collagen, gelatin, and hair keratin, and the antioxidant defense mechanism. Copper-dependent enzymes, such as cytochrome C oxidas superoxide dismutase, ferroxidases, monoamine oxidase, and dopamine β</w:t>
      </w:r>
      <w:r>
        <w:rPr>
          <w:spacing w:val="40"/>
        </w:rPr>
        <w:t> </w:t>
      </w:r>
      <w:r>
        <w:rPr/>
        <w:t>monooxygenate, function to reduce activated oxygen species or molecular oxygen. Symptoms associated with copper deficiency in humans include normocytic, hypo chromicanemia, leucopenia, and osteoporosis</w:t>
      </w:r>
      <w:r>
        <w:rPr>
          <w:spacing w:val="-3"/>
        </w:rPr>
        <w:t> </w:t>
      </w:r>
      <w:r>
        <w:rPr/>
        <w:t>(Uba </w:t>
      </w:r>
      <w:r>
        <w:rPr>
          <w:i/>
        </w:rPr>
        <w:t>et</w:t>
      </w:r>
      <w:r>
        <w:rPr>
          <w:i/>
          <w:spacing w:val="-1"/>
        </w:rPr>
        <w:t> </w:t>
      </w:r>
      <w:r>
        <w:rPr>
          <w:i/>
        </w:rPr>
        <w:t>al</w:t>
      </w:r>
      <w:r>
        <w:rPr/>
        <w:t>, 2013). .Although</w:t>
      </w:r>
      <w:r>
        <w:rPr>
          <w:spacing w:val="-6"/>
        </w:rPr>
        <w:t> </w:t>
      </w:r>
      <w:r>
        <w:rPr/>
        <w:t>copper</w:t>
      </w:r>
      <w:r>
        <w:rPr>
          <w:spacing w:val="-4"/>
        </w:rPr>
        <w:t> </w:t>
      </w:r>
      <w:r>
        <w:rPr/>
        <w:t>homeostasis</w:t>
      </w:r>
      <w:r>
        <w:rPr>
          <w:spacing w:val="-3"/>
        </w:rPr>
        <w:t> </w:t>
      </w:r>
      <w:r>
        <w:rPr/>
        <w:t>plays</w:t>
      </w:r>
      <w:r>
        <w:rPr>
          <w:spacing w:val="-3"/>
        </w:rPr>
        <w:t> </w:t>
      </w:r>
      <w:r>
        <w:rPr/>
        <w:t>an</w:t>
      </w:r>
      <w:r>
        <w:rPr>
          <w:spacing w:val="-1"/>
        </w:rPr>
        <w:t> </w:t>
      </w:r>
      <w:r>
        <w:rPr/>
        <w:t>important role in the prevention of copper toxicity, exposure to excessive levels of copper can result in a number of adverse health effects including liver and kidney damage, anemia immunotoxicity,</w:t>
      </w:r>
      <w:r>
        <w:rPr>
          <w:spacing w:val="40"/>
        </w:rPr>
        <w:t> </w:t>
      </w:r>
      <w:r>
        <w:rPr/>
        <w:t>and developmental toxicity. Many of these effects are consistent with oxidative damage to membranes or macromolecules. Copper can bind to the sulfhydryl groups of several enzymes, such</w:t>
      </w:r>
      <w:r>
        <w:rPr>
          <w:spacing w:val="-4"/>
        </w:rPr>
        <w:t> </w:t>
      </w:r>
      <w:r>
        <w:rPr/>
        <w:t>as</w:t>
      </w:r>
      <w:r>
        <w:rPr>
          <w:spacing w:val="-1"/>
        </w:rPr>
        <w:t> </w:t>
      </w:r>
      <w:r>
        <w:rPr/>
        <w:t>glucose-6-phosphatase and glutathione reductase,</w:t>
      </w:r>
      <w:r>
        <w:rPr>
          <w:spacing w:val="-2"/>
        </w:rPr>
        <w:t> </w:t>
      </w:r>
      <w:r>
        <w:rPr/>
        <w:t>thus interfering with</w:t>
      </w:r>
      <w:r>
        <w:rPr>
          <w:spacing w:val="-4"/>
        </w:rPr>
        <w:t> </w:t>
      </w:r>
      <w:r>
        <w:rPr/>
        <w:t>their protection</w:t>
      </w:r>
      <w:r>
        <w:rPr>
          <w:spacing w:val="-4"/>
        </w:rPr>
        <w:t> </w:t>
      </w:r>
      <w:r>
        <w:rPr/>
        <w:t>of cells from free radical damage (Oforka </w:t>
      </w:r>
      <w:r>
        <w:rPr>
          <w:i/>
        </w:rPr>
        <w:t>et al</w:t>
      </w:r>
      <w:r>
        <w:rPr/>
        <w:t>., 2012).</w:t>
      </w:r>
    </w:p>
    <w:p>
      <w:pPr>
        <w:pStyle w:val="ListParagraph"/>
        <w:numPr>
          <w:ilvl w:val="2"/>
          <w:numId w:val="17"/>
        </w:numPr>
        <w:tabs>
          <w:tab w:pos="1742" w:val="left" w:leader="none"/>
        </w:tabs>
        <w:spacing w:line="240" w:lineRule="auto" w:before="205" w:after="0"/>
        <w:ind w:left="1742" w:right="0" w:hanging="1322"/>
        <w:jc w:val="both"/>
        <w:rPr>
          <w:sz w:val="24"/>
        </w:rPr>
      </w:pPr>
      <w:r>
        <w:rPr>
          <w:spacing w:val="-2"/>
          <w:sz w:val="24"/>
        </w:rPr>
        <w:t>Nickel</w:t>
      </w:r>
    </w:p>
    <w:p>
      <w:pPr>
        <w:pStyle w:val="BodyText"/>
        <w:spacing w:before="197"/>
      </w:pPr>
    </w:p>
    <w:p>
      <w:pPr>
        <w:pStyle w:val="BodyText"/>
        <w:spacing w:line="480" w:lineRule="auto"/>
        <w:ind w:left="420" w:right="711"/>
        <w:jc w:val="both"/>
      </w:pPr>
      <w:r>
        <w:rPr/>
        <w:t>Nickel is a silvery</w:t>
      </w:r>
      <w:r>
        <w:rPr>
          <w:spacing w:val="-2"/>
        </w:rPr>
        <w:t> </w:t>
      </w:r>
      <w:r>
        <w:rPr/>
        <w:t>white, hard and malleable metal. It belongs to</w:t>
      </w:r>
      <w:r>
        <w:rPr>
          <w:spacing w:val="-2"/>
        </w:rPr>
        <w:t> </w:t>
      </w:r>
      <w:r>
        <w:rPr/>
        <w:t>the so-called iron- cobalt group (group VII)</w:t>
      </w:r>
      <w:r>
        <w:rPr>
          <w:spacing w:val="-2"/>
        </w:rPr>
        <w:t> </w:t>
      </w:r>
      <w:r>
        <w:rPr/>
        <w:t>of</w:t>
      </w:r>
      <w:r>
        <w:rPr>
          <w:spacing w:val="-7"/>
        </w:rPr>
        <w:t> </w:t>
      </w:r>
      <w:r>
        <w:rPr/>
        <w:t>the periodic table;</w:t>
      </w:r>
      <w:r>
        <w:rPr>
          <w:spacing w:val="-4"/>
        </w:rPr>
        <w:t> </w:t>
      </w:r>
      <w:r>
        <w:rPr/>
        <w:t>Ni has</w:t>
      </w:r>
      <w:r>
        <w:rPr>
          <w:spacing w:val="-1"/>
        </w:rPr>
        <w:t> </w:t>
      </w:r>
      <w:r>
        <w:rPr/>
        <w:t>atomic weight of</w:t>
      </w:r>
      <w:r>
        <w:rPr>
          <w:spacing w:val="-7"/>
        </w:rPr>
        <w:t> </w:t>
      </w:r>
      <w:r>
        <w:rPr/>
        <w:t>58.71, with</w:t>
      </w:r>
      <w:r>
        <w:rPr>
          <w:spacing w:val="-4"/>
        </w:rPr>
        <w:t> </w:t>
      </w:r>
      <w:r>
        <w:rPr/>
        <w:t>specific gravity</w:t>
      </w:r>
      <w:r>
        <w:rPr>
          <w:spacing w:val="-9"/>
        </w:rPr>
        <w:t> </w:t>
      </w:r>
      <w:r>
        <w:rPr/>
        <w:t>of</w:t>
      </w:r>
      <w:r>
        <w:rPr>
          <w:spacing w:val="-7"/>
        </w:rPr>
        <w:t> </w:t>
      </w:r>
      <w:r>
        <w:rPr/>
        <w:t>8.9. It is very</w:t>
      </w:r>
      <w:r>
        <w:rPr>
          <w:spacing w:val="-7"/>
        </w:rPr>
        <w:t> </w:t>
      </w:r>
      <w:r>
        <w:rPr/>
        <w:t>abundant element.</w:t>
      </w:r>
      <w:r>
        <w:rPr>
          <w:spacing w:val="-5"/>
        </w:rPr>
        <w:t> </w:t>
      </w:r>
      <w:r>
        <w:rPr/>
        <w:t>It is found in</w:t>
      </w:r>
      <w:r>
        <w:rPr>
          <w:spacing w:val="-2"/>
        </w:rPr>
        <w:t> </w:t>
      </w:r>
      <w:r>
        <w:rPr/>
        <w:t>al</w:t>
      </w:r>
      <w:r>
        <w:rPr>
          <w:spacing w:val="-7"/>
        </w:rPr>
        <w:t> </w:t>
      </w:r>
      <w:r>
        <w:rPr/>
        <w:t>soils and is emitted</w:t>
      </w:r>
      <w:r>
        <w:rPr>
          <w:spacing w:val="-2"/>
        </w:rPr>
        <w:t> </w:t>
      </w:r>
      <w:r>
        <w:rPr/>
        <w:t>from</w:t>
      </w:r>
      <w:r>
        <w:rPr>
          <w:spacing w:val="-7"/>
        </w:rPr>
        <w:t> </w:t>
      </w:r>
      <w:r>
        <w:rPr/>
        <w:t>volcanoes. It normally</w:t>
      </w:r>
      <w:r>
        <w:rPr>
          <w:spacing w:val="-11"/>
        </w:rPr>
        <w:t> </w:t>
      </w:r>
      <w:r>
        <w:rPr/>
        <w:t>occurs in oxidation states 0 and I. Nickel is used as an alloy in the steel industry, electroplating, Ni/Cd batteries, arc-welding, rods, pigments for paints and ceramics, surgical and dental prosthesis, molds</w:t>
      </w:r>
      <w:r>
        <w:rPr>
          <w:spacing w:val="40"/>
        </w:rPr>
        <w:t> </w:t>
      </w:r>
      <w:r>
        <w:rPr/>
        <w:t>for</w:t>
      </w:r>
      <w:r>
        <w:rPr>
          <w:spacing w:val="40"/>
        </w:rPr>
        <w:t> </w:t>
      </w:r>
      <w:r>
        <w:rPr/>
        <w:t>ceramic</w:t>
      </w:r>
      <w:r>
        <w:rPr>
          <w:spacing w:val="40"/>
        </w:rPr>
        <w:t> </w:t>
      </w:r>
      <w:r>
        <w:rPr/>
        <w:t>and</w:t>
      </w:r>
      <w:r>
        <w:rPr>
          <w:spacing w:val="40"/>
        </w:rPr>
        <w:t> </w:t>
      </w:r>
      <w:r>
        <w:rPr/>
        <w:t>glass</w:t>
      </w:r>
      <w:r>
        <w:rPr>
          <w:spacing w:val="40"/>
        </w:rPr>
        <w:t> </w:t>
      </w:r>
      <w:r>
        <w:rPr/>
        <w:t>containers,</w:t>
      </w:r>
      <w:r>
        <w:rPr>
          <w:spacing w:val="40"/>
        </w:rPr>
        <w:t> </w:t>
      </w:r>
      <w:r>
        <w:rPr/>
        <w:t>computer</w:t>
      </w:r>
      <w:r>
        <w:rPr>
          <w:spacing w:val="40"/>
        </w:rPr>
        <w:t> </w:t>
      </w:r>
      <w:r>
        <w:rPr/>
        <w:t>components,</w:t>
      </w:r>
      <w:r>
        <w:rPr>
          <w:spacing w:val="40"/>
        </w:rPr>
        <w:t> </w:t>
      </w:r>
      <w:r>
        <w:rPr/>
        <w:t>and</w:t>
      </w:r>
      <w:r>
        <w:rPr>
          <w:spacing w:val="40"/>
        </w:rPr>
        <w:t> </w:t>
      </w:r>
      <w:r>
        <w:rPr/>
        <w:t>catalysts.</w:t>
      </w:r>
      <w:r>
        <w:rPr>
          <w:spacing w:val="40"/>
        </w:rPr>
        <w:t> </w:t>
      </w:r>
      <w:r>
        <w:rPr/>
        <w:t>At</w:t>
      </w:r>
      <w:r>
        <w:rPr>
          <w:spacing w:val="40"/>
        </w:rPr>
        <w:t> </w:t>
      </w:r>
      <w:r>
        <w:rPr/>
        <w:t>very</w:t>
      </w:r>
      <w:r>
        <w:rPr>
          <w:spacing w:val="40"/>
        </w:rPr>
        <w:t> </w:t>
      </w:r>
      <w:r>
        <w:rPr/>
        <w:t>trace</w:t>
      </w:r>
    </w:p>
    <w:p>
      <w:pPr>
        <w:spacing w:after="0" w:line="480" w:lineRule="auto"/>
        <w:jc w:val="both"/>
        <w:sectPr>
          <w:pgSz w:w="12240" w:h="15840"/>
          <w:pgMar w:header="0" w:footer="1012" w:top="1360" w:bottom="1200" w:left="1020" w:right="720"/>
        </w:sectPr>
      </w:pPr>
    </w:p>
    <w:p>
      <w:pPr>
        <w:pStyle w:val="BodyText"/>
        <w:spacing w:line="480" w:lineRule="auto" w:before="72"/>
        <w:ind w:left="420" w:right="716"/>
        <w:jc w:val="both"/>
      </w:pPr>
      <w:r>
        <w:rPr/>
        <w:t>levels, Ni is considered as an essential</w:t>
      </w:r>
      <w:r>
        <w:rPr>
          <w:spacing w:val="-5"/>
        </w:rPr>
        <w:t> </w:t>
      </w:r>
      <w:r>
        <w:rPr/>
        <w:t>trace element (Duda </w:t>
      </w:r>
      <w:r>
        <w:rPr>
          <w:i/>
        </w:rPr>
        <w:t>et al</w:t>
      </w:r>
      <w:r>
        <w:rPr/>
        <w:t>., 2008). It acts asan activator of some enzyme systems but its toxicity at higher levels is more prominent. There is evidence of uptake and accumulation in certain plants. Nickel is an essential trace element in animals, although the functional importance of nickel has not been clearly demonstrated. It is considered essential based on reports of nickel deficiency in several animal species. Nickel deficiency is manifested primarily in the liver; effects include abnormal cellular morphology, oxidative metabolism, and increases and decreases in lipid levels. Decreases in growth and hemoglobin concentration and impaired glucose metabolism have also been observed. The essentiality of nickel in humans has not been established, and nickel dietary recommendations have not been established for humans (Uba </w:t>
      </w:r>
      <w:r>
        <w:rPr>
          <w:i/>
        </w:rPr>
        <w:t>et al</w:t>
      </w:r>
      <w:r>
        <w:rPr/>
        <w:t>., 2013). Nickel compounds are known carcinogens in both human and animal models (Duda </w:t>
      </w:r>
      <w:r>
        <w:rPr>
          <w:i/>
        </w:rPr>
        <w:t>et al</w:t>
      </w:r>
      <w:r>
        <w:rPr/>
        <w:t>., 2008). There is evidence that the genotoxic effects of nickel compounds may be indirect through the inhibition of DNA repair systems. As a result of this inhibition it has been suggested that accumulation of nickel in breast tissue may be closely related to malignant growth process (Costa, 2000).</w:t>
      </w:r>
    </w:p>
    <w:p>
      <w:pPr>
        <w:pStyle w:val="ListParagraph"/>
        <w:numPr>
          <w:ilvl w:val="2"/>
          <w:numId w:val="17"/>
        </w:numPr>
        <w:tabs>
          <w:tab w:pos="2102" w:val="left" w:leader="none"/>
        </w:tabs>
        <w:spacing w:line="240" w:lineRule="auto" w:before="205" w:after="0"/>
        <w:ind w:left="2102" w:right="0" w:hanging="1682"/>
        <w:jc w:val="both"/>
        <w:rPr>
          <w:sz w:val="24"/>
        </w:rPr>
      </w:pPr>
      <w:r>
        <w:rPr>
          <w:spacing w:val="-4"/>
          <w:sz w:val="24"/>
        </w:rPr>
        <w:t>Lead</w:t>
      </w:r>
    </w:p>
    <w:p>
      <w:pPr>
        <w:pStyle w:val="BodyText"/>
        <w:spacing w:before="196"/>
      </w:pPr>
    </w:p>
    <w:p>
      <w:pPr>
        <w:pStyle w:val="BodyText"/>
        <w:spacing w:line="480" w:lineRule="auto" w:before="1"/>
        <w:ind w:left="420" w:right="719"/>
        <w:jc w:val="both"/>
      </w:pPr>
      <w:r>
        <w:rPr/>
        <w:t>Lead is a naturally occurring element; it</w:t>
      </w:r>
      <w:r>
        <w:rPr>
          <w:spacing w:val="28"/>
        </w:rPr>
        <w:t> </w:t>
      </w:r>
      <w:r>
        <w:rPr/>
        <w:t>is a member of Group 14 (IVA) of the periodic table, has an atomic weight of 207.2 with specific gravity of 1.34 and exists in three states: Pb (0), the metal; Pb (I); and Pb (IV). Lead is a bluish-gray heavy metal and it is usually found combined with</w:t>
      </w:r>
      <w:r>
        <w:rPr>
          <w:spacing w:val="-6"/>
        </w:rPr>
        <w:t> </w:t>
      </w:r>
      <w:r>
        <w:rPr/>
        <w:t>two</w:t>
      </w:r>
      <w:r>
        <w:rPr>
          <w:spacing w:val="-3"/>
        </w:rPr>
        <w:t> </w:t>
      </w:r>
      <w:r>
        <w:rPr/>
        <w:t>or</w:t>
      </w:r>
      <w:r>
        <w:rPr>
          <w:spacing w:val="-5"/>
        </w:rPr>
        <w:t> </w:t>
      </w:r>
      <w:r>
        <w:rPr/>
        <w:t>more</w:t>
      </w:r>
      <w:r>
        <w:rPr>
          <w:spacing w:val="-3"/>
        </w:rPr>
        <w:t> </w:t>
      </w:r>
      <w:r>
        <w:rPr/>
        <w:t>other</w:t>
      </w:r>
      <w:r>
        <w:rPr>
          <w:spacing w:val="-2"/>
        </w:rPr>
        <w:t> </w:t>
      </w:r>
      <w:r>
        <w:rPr/>
        <w:t>elements</w:t>
      </w:r>
      <w:r>
        <w:rPr>
          <w:spacing w:val="-4"/>
        </w:rPr>
        <w:t> </w:t>
      </w:r>
      <w:r>
        <w:rPr/>
        <w:t>to form</w:t>
      </w:r>
      <w:r>
        <w:rPr>
          <w:spacing w:val="-7"/>
        </w:rPr>
        <w:t> </w:t>
      </w:r>
      <w:r>
        <w:rPr/>
        <w:t>lead</w:t>
      </w:r>
      <w:r>
        <w:rPr>
          <w:spacing w:val="-3"/>
        </w:rPr>
        <w:t> </w:t>
      </w:r>
      <w:r>
        <w:rPr/>
        <w:t>compounds</w:t>
      </w:r>
      <w:r>
        <w:rPr>
          <w:spacing w:val="-4"/>
        </w:rPr>
        <w:t> </w:t>
      </w:r>
      <w:r>
        <w:rPr/>
        <w:t>(Al-Jassir</w:t>
      </w:r>
      <w:r>
        <w:rPr>
          <w:spacing w:val="-2"/>
        </w:rPr>
        <w:t> </w:t>
      </w:r>
      <w:r>
        <w:rPr/>
        <w:t>et al,</w:t>
      </w:r>
      <w:r>
        <w:rPr>
          <w:spacing w:val="-1"/>
        </w:rPr>
        <w:t> </w:t>
      </w:r>
      <w:r>
        <w:rPr/>
        <w:t>2005).</w:t>
      </w:r>
      <w:r>
        <w:rPr>
          <w:spacing w:val="-1"/>
        </w:rPr>
        <w:t> </w:t>
      </w:r>
      <w:r>
        <w:rPr/>
        <w:t>Lead</w:t>
      </w:r>
      <w:r>
        <w:rPr>
          <w:spacing w:val="-3"/>
        </w:rPr>
        <w:t> </w:t>
      </w:r>
      <w:r>
        <w:rPr/>
        <w:t>is</w:t>
      </w:r>
      <w:r>
        <w:rPr>
          <w:spacing w:val="-1"/>
        </w:rPr>
        <w:t> </w:t>
      </w:r>
      <w:r>
        <w:rPr/>
        <w:t>found in small</w:t>
      </w:r>
      <w:r>
        <w:rPr>
          <w:spacing w:val="-2"/>
        </w:rPr>
        <w:t> </w:t>
      </w:r>
      <w:r>
        <w:rPr/>
        <w:t>amount in</w:t>
      </w:r>
      <w:r>
        <w:rPr>
          <w:spacing w:val="-2"/>
        </w:rPr>
        <w:t> </w:t>
      </w:r>
      <w:r>
        <w:rPr/>
        <w:t>the earth‟s crust. It can</w:t>
      </w:r>
      <w:r>
        <w:rPr>
          <w:spacing w:val="-2"/>
        </w:rPr>
        <w:t> </w:t>
      </w:r>
      <w:r>
        <w:rPr/>
        <w:t>be found in</w:t>
      </w:r>
      <w:r>
        <w:rPr>
          <w:spacing w:val="-2"/>
        </w:rPr>
        <w:t> </w:t>
      </w:r>
      <w:r>
        <w:rPr/>
        <w:t>al</w:t>
      </w:r>
      <w:r>
        <w:rPr>
          <w:spacing w:val="-6"/>
        </w:rPr>
        <w:t> </w:t>
      </w:r>
      <w:r>
        <w:rPr/>
        <w:t>parts</w:t>
      </w:r>
      <w:r>
        <w:rPr>
          <w:spacing w:val="-5"/>
        </w:rPr>
        <w:t> </w:t>
      </w:r>
      <w:r>
        <w:rPr/>
        <w:t>of</w:t>
      </w:r>
      <w:r>
        <w:rPr>
          <w:spacing w:val="-5"/>
        </w:rPr>
        <w:t> </w:t>
      </w:r>
      <w:r>
        <w:rPr/>
        <w:t>our environment. Most of</w:t>
      </w:r>
      <w:r>
        <w:rPr>
          <w:spacing w:val="-1"/>
        </w:rPr>
        <w:t> </w:t>
      </w:r>
      <w:r>
        <w:rPr/>
        <w:t>it came from human activities, like mining, manufacturing and the burning of fossil fuels. The principal source of Pb in the marine environment appears to be the exhaust of vehicles run with leaded fuels</w:t>
      </w:r>
      <w:r>
        <w:rPr>
          <w:spacing w:val="3"/>
        </w:rPr>
        <w:t> </w:t>
      </w:r>
      <w:r>
        <w:rPr/>
        <w:t>that</w:t>
      </w:r>
      <w:r>
        <w:rPr>
          <w:spacing w:val="12"/>
        </w:rPr>
        <w:t> </w:t>
      </w:r>
      <w:r>
        <w:rPr/>
        <w:t>reaches</w:t>
      </w:r>
      <w:r>
        <w:rPr>
          <w:spacing w:val="3"/>
        </w:rPr>
        <w:t> </w:t>
      </w:r>
      <w:r>
        <w:rPr/>
        <w:t>the</w:t>
      </w:r>
      <w:r>
        <w:rPr>
          <w:spacing w:val="10"/>
        </w:rPr>
        <w:t> </w:t>
      </w:r>
      <w:r>
        <w:rPr/>
        <w:t>sea</w:t>
      </w:r>
      <w:r>
        <w:rPr>
          <w:spacing w:val="9"/>
        </w:rPr>
        <w:t> </w:t>
      </w:r>
      <w:r>
        <w:rPr/>
        <w:t>water</w:t>
      </w:r>
      <w:r>
        <w:rPr>
          <w:spacing w:val="8"/>
        </w:rPr>
        <w:t> </w:t>
      </w:r>
      <w:r>
        <w:rPr/>
        <w:t>by</w:t>
      </w:r>
      <w:r>
        <w:rPr>
          <w:spacing w:val="1"/>
        </w:rPr>
        <w:t> </w:t>
      </w:r>
      <w:r>
        <w:rPr/>
        <w:t>a</w:t>
      </w:r>
      <w:r>
        <w:rPr>
          <w:spacing w:val="6"/>
        </w:rPr>
        <w:t> </w:t>
      </w:r>
      <w:r>
        <w:rPr/>
        <w:t>way</w:t>
      </w:r>
      <w:r>
        <w:rPr>
          <w:spacing w:val="1"/>
        </w:rPr>
        <w:t> </w:t>
      </w:r>
      <w:r>
        <w:rPr/>
        <w:t>of</w:t>
      </w:r>
      <w:r>
        <w:rPr>
          <w:spacing w:val="-1"/>
        </w:rPr>
        <w:t> </w:t>
      </w:r>
      <w:r>
        <w:rPr/>
        <w:t>rain</w:t>
      </w:r>
      <w:r>
        <w:rPr>
          <w:spacing w:val="5"/>
        </w:rPr>
        <w:t> </w:t>
      </w:r>
      <w:r>
        <w:rPr/>
        <w:t>and</w:t>
      </w:r>
      <w:r>
        <w:rPr>
          <w:spacing w:val="6"/>
        </w:rPr>
        <w:t> </w:t>
      </w:r>
      <w:r>
        <w:rPr/>
        <w:t>wind</w:t>
      </w:r>
      <w:r>
        <w:rPr>
          <w:spacing w:val="10"/>
        </w:rPr>
        <w:t> </w:t>
      </w:r>
      <w:r>
        <w:rPr/>
        <w:t>blown</w:t>
      </w:r>
      <w:r>
        <w:rPr>
          <w:spacing w:val="2"/>
        </w:rPr>
        <w:t> </w:t>
      </w:r>
      <w:r>
        <w:rPr/>
        <w:t>dust</w:t>
      </w:r>
      <w:r>
        <w:rPr>
          <w:spacing w:val="12"/>
        </w:rPr>
        <w:t> </w:t>
      </w:r>
      <w:r>
        <w:rPr/>
        <w:t>(Udiba</w:t>
      </w:r>
      <w:r>
        <w:rPr>
          <w:spacing w:val="17"/>
        </w:rPr>
        <w:t> </w:t>
      </w:r>
      <w:r>
        <w:rPr>
          <w:i/>
        </w:rPr>
        <w:t>et</w:t>
      </w:r>
      <w:r>
        <w:rPr>
          <w:i/>
          <w:spacing w:val="6"/>
        </w:rPr>
        <w:t> </w:t>
      </w:r>
      <w:r>
        <w:rPr>
          <w:i/>
        </w:rPr>
        <w:t>al</w:t>
      </w:r>
      <w:r>
        <w:rPr/>
        <w:t>.,</w:t>
      </w:r>
      <w:r>
        <w:rPr>
          <w:spacing w:val="9"/>
        </w:rPr>
        <w:t> </w:t>
      </w:r>
      <w:r>
        <w:rPr/>
        <w:t>2013).</w:t>
      </w:r>
      <w:r>
        <w:rPr>
          <w:spacing w:val="9"/>
        </w:rPr>
        <w:t> </w:t>
      </w:r>
      <w:r>
        <w:rPr>
          <w:spacing w:val="-4"/>
        </w:rPr>
        <w:t>Lead</w:t>
      </w:r>
    </w:p>
    <w:p>
      <w:pPr>
        <w:spacing w:after="0" w:line="480" w:lineRule="auto"/>
        <w:jc w:val="both"/>
        <w:sectPr>
          <w:pgSz w:w="12240" w:h="15840"/>
          <w:pgMar w:header="0" w:footer="1012" w:top="1360" w:bottom="1200" w:left="1020" w:right="720"/>
        </w:sectPr>
      </w:pPr>
    </w:p>
    <w:p>
      <w:pPr>
        <w:pStyle w:val="BodyText"/>
        <w:spacing w:line="480" w:lineRule="auto" w:before="72"/>
        <w:ind w:left="420" w:right="712"/>
        <w:jc w:val="both"/>
      </w:pPr>
      <w:r>
        <w:rPr/>
        <w:t>is found at high concentration in muscles and organs of fish. When accumulates in the human body, it replaces calcium in bones (Udiba </w:t>
      </w:r>
      <w:r>
        <w:rPr>
          <w:i/>
        </w:rPr>
        <w:t>et al</w:t>
      </w:r>
      <w:r>
        <w:rPr/>
        <w:t>., 2013). An estimated 1.52 million metric tons of lead were used for various industrial applications in the United Stated in 2004. Of that amount, lead-acid batteries</w:t>
      </w:r>
      <w:r>
        <w:rPr>
          <w:spacing w:val="-3"/>
        </w:rPr>
        <w:t> </w:t>
      </w:r>
      <w:r>
        <w:rPr/>
        <w:t>production</w:t>
      </w:r>
      <w:r>
        <w:rPr>
          <w:spacing w:val="-6"/>
        </w:rPr>
        <w:t> </w:t>
      </w:r>
      <w:r>
        <w:rPr/>
        <w:t>accounted</w:t>
      </w:r>
      <w:r>
        <w:rPr>
          <w:spacing w:val="-1"/>
        </w:rPr>
        <w:t> </w:t>
      </w:r>
      <w:r>
        <w:rPr/>
        <w:t>for 83</w:t>
      </w:r>
      <w:r>
        <w:rPr>
          <w:spacing w:val="-1"/>
        </w:rPr>
        <w:t> </w:t>
      </w:r>
      <w:r>
        <w:rPr/>
        <w:t>percent, and</w:t>
      </w:r>
      <w:r>
        <w:rPr>
          <w:spacing w:val="-1"/>
        </w:rPr>
        <w:t> </w:t>
      </w:r>
      <w:r>
        <w:rPr/>
        <w:t>the</w:t>
      </w:r>
      <w:r>
        <w:rPr>
          <w:spacing w:val="-2"/>
        </w:rPr>
        <w:t> </w:t>
      </w:r>
      <w:r>
        <w:rPr/>
        <w:t>remaining</w:t>
      </w:r>
      <w:r>
        <w:rPr>
          <w:spacing w:val="-1"/>
        </w:rPr>
        <w:t> </w:t>
      </w:r>
      <w:r>
        <w:rPr/>
        <w:t>usage covered</w:t>
      </w:r>
      <w:r>
        <w:rPr>
          <w:spacing w:val="-1"/>
        </w:rPr>
        <w:t> </w:t>
      </w:r>
      <w:r>
        <w:rPr/>
        <w:t>a</w:t>
      </w:r>
      <w:r>
        <w:rPr>
          <w:spacing w:val="-2"/>
        </w:rPr>
        <w:t> </w:t>
      </w:r>
      <w:r>
        <w:rPr/>
        <w:t>range of products such as ammunitions (3.5 percent), oxides for paint, glass, pigments and chemicals (2.6 percent), and sheet lead (1.7 percent) (Udiba </w:t>
      </w:r>
      <w:r>
        <w:rPr>
          <w:i/>
        </w:rPr>
        <w:t>et al</w:t>
      </w:r>
      <w:r>
        <w:rPr/>
        <w:t>., 2013). In</w:t>
      </w:r>
      <w:r>
        <w:rPr>
          <w:spacing w:val="-1"/>
        </w:rPr>
        <w:t> </w:t>
      </w:r>
      <w:r>
        <w:rPr/>
        <w:t>recent years, the industrial</w:t>
      </w:r>
      <w:r>
        <w:rPr>
          <w:spacing w:val="-1"/>
        </w:rPr>
        <w:t> </w:t>
      </w:r>
      <w:r>
        <w:rPr/>
        <w:t>use of lead has been significantly reduced from paints and ceramic products, caulking, and pipe solder. Despite this progress, it has been reported that among 16.4 million United States homes with more than</w:t>
      </w:r>
      <w:r>
        <w:rPr>
          <w:spacing w:val="-4"/>
        </w:rPr>
        <w:t> </w:t>
      </w:r>
      <w:r>
        <w:rPr/>
        <w:t>one child younger than</w:t>
      </w:r>
      <w:r>
        <w:rPr>
          <w:spacing w:val="-4"/>
        </w:rPr>
        <w:t> </w:t>
      </w:r>
      <w:r>
        <w:rPr/>
        <w:t>6 years</w:t>
      </w:r>
      <w:r>
        <w:rPr>
          <w:spacing w:val="-1"/>
        </w:rPr>
        <w:t> </w:t>
      </w:r>
      <w:r>
        <w:rPr/>
        <w:t>per household, 25% of</w:t>
      </w:r>
      <w:r>
        <w:rPr>
          <w:spacing w:val="-2"/>
        </w:rPr>
        <w:t> </w:t>
      </w:r>
      <w:r>
        <w:rPr/>
        <w:t>homes still had significant amounts of lead-contaminated deteriorated paint, dust, or adjacent bare soil (Aluko </w:t>
      </w:r>
      <w:r>
        <w:rPr>
          <w:i/>
        </w:rPr>
        <w:t>et al., </w:t>
      </w:r>
      <w:r>
        <w:rPr/>
        <w:t>2003). Lead in dust and soil often re-contaminates cleaned houses and contributes to elevating blood lead concentrations in children</w:t>
      </w:r>
      <w:r>
        <w:rPr>
          <w:spacing w:val="-2"/>
        </w:rPr>
        <w:t> </w:t>
      </w:r>
      <w:r>
        <w:rPr/>
        <w:t>who play</w:t>
      </w:r>
      <w:r>
        <w:rPr>
          <w:spacing w:val="-6"/>
        </w:rPr>
        <w:t> </w:t>
      </w:r>
      <w:r>
        <w:rPr/>
        <w:t>on bare, contaminated soil. Today, the largest source</w:t>
      </w:r>
      <w:r>
        <w:rPr>
          <w:spacing w:val="-3"/>
        </w:rPr>
        <w:t> </w:t>
      </w:r>
      <w:r>
        <w:rPr/>
        <w:t>of lead poisoning in children comes from dust and chips from deteriorating lead paint on interior surfaces. Children who live in homes with deteriorating lead paint can achieve blood lead concentrations of 20µg/dL or greater (Udiba </w:t>
      </w:r>
      <w:r>
        <w:rPr>
          <w:i/>
        </w:rPr>
        <w:t>et al</w:t>
      </w:r>
      <w:r>
        <w:rPr/>
        <w:t>., 2013). Exposure to lead occurs mainly via inhalation of lead-contaminated dust particles or aerosols, and ingestion of lead-contaminated food, water, and paints (Caggiano </w:t>
      </w:r>
      <w:r>
        <w:rPr>
          <w:i/>
        </w:rPr>
        <w:t>et al</w:t>
      </w:r>
      <w:r>
        <w:rPr/>
        <w:t>., 2004). Adults absorb 35 to 50% of lead through</w:t>
      </w:r>
      <w:r>
        <w:rPr>
          <w:spacing w:val="40"/>
        </w:rPr>
        <w:t> </w:t>
      </w:r>
      <w:r>
        <w:rPr/>
        <w:t>drinking water and the absorption rate for children may be greater than 50%. Lead absorption is influenced by factors such as age and physiological status. In the human body, the greatest percentage of lead</w:t>
      </w:r>
      <w:r>
        <w:rPr>
          <w:spacing w:val="22"/>
        </w:rPr>
        <w:t> </w:t>
      </w:r>
      <w:r>
        <w:rPr/>
        <w:t>is taken into the kidney, followed by the</w:t>
      </w:r>
      <w:r>
        <w:rPr>
          <w:spacing w:val="18"/>
        </w:rPr>
        <w:t> </w:t>
      </w:r>
      <w:r>
        <w:rPr/>
        <w:t>liver and the other soft tissues such as heart and brain, however, the lead in the skeleton represents the major body fraction. The nervous system is the</w:t>
      </w:r>
      <w:r>
        <w:rPr>
          <w:spacing w:val="18"/>
        </w:rPr>
        <w:t> </w:t>
      </w:r>
      <w:r>
        <w:rPr/>
        <w:t>most</w:t>
      </w:r>
      <w:r>
        <w:rPr>
          <w:spacing w:val="19"/>
        </w:rPr>
        <w:t> </w:t>
      </w:r>
      <w:r>
        <w:rPr/>
        <w:t>vulnerable target of lead poisoning.</w:t>
      </w:r>
      <w:r>
        <w:rPr>
          <w:spacing w:val="16"/>
        </w:rPr>
        <w:t> </w:t>
      </w:r>
      <w:r>
        <w:rPr/>
        <w:t>Headache,</w:t>
      </w:r>
      <w:r>
        <w:rPr>
          <w:spacing w:val="16"/>
        </w:rPr>
        <w:t> </w:t>
      </w:r>
      <w:r>
        <w:rPr/>
        <w:t>poor</w:t>
      </w:r>
      <w:r>
        <w:rPr>
          <w:spacing w:val="16"/>
        </w:rPr>
        <w:t> </w:t>
      </w:r>
      <w:r>
        <w:rPr/>
        <w:t>attention spam,</w:t>
      </w:r>
    </w:p>
    <w:p>
      <w:pPr>
        <w:spacing w:after="0" w:line="480" w:lineRule="auto"/>
        <w:jc w:val="both"/>
        <w:sectPr>
          <w:pgSz w:w="12240" w:h="15840"/>
          <w:pgMar w:header="0" w:footer="1012" w:top="1360" w:bottom="1200" w:left="1020" w:right="720"/>
        </w:sectPr>
      </w:pPr>
    </w:p>
    <w:p>
      <w:pPr>
        <w:pStyle w:val="BodyText"/>
        <w:spacing w:line="480" w:lineRule="auto" w:before="72"/>
        <w:ind w:left="420" w:right="733"/>
        <w:jc w:val="both"/>
      </w:pPr>
      <w:r>
        <w:rPr/>
        <w:t>irritability, loss of memory and dullness are the early symptoms of the effects of lead exposure on the central nervous system (Lyaka </w:t>
      </w:r>
      <w:r>
        <w:rPr>
          <w:i/>
        </w:rPr>
        <w:t>et al., </w:t>
      </w:r>
      <w:r>
        <w:rPr/>
        <w:t>2005).</w:t>
      </w:r>
    </w:p>
    <w:p>
      <w:pPr>
        <w:pStyle w:val="BodyText"/>
        <w:spacing w:before="8"/>
      </w:pPr>
    </w:p>
    <w:p>
      <w:pPr>
        <w:pStyle w:val="BodyText"/>
        <w:spacing w:line="480" w:lineRule="auto"/>
        <w:ind w:left="420" w:right="712"/>
        <w:jc w:val="both"/>
      </w:pPr>
      <w:r>
        <w:rPr/>
        <w:t>Since the late 1970‟s, lead exposure has decreased significantly as a result of multiple efforts including the elimination of lead in gasoline, and the reduction of lead levels in residential</w:t>
      </w:r>
      <w:r>
        <w:rPr>
          <w:spacing w:val="80"/>
        </w:rPr>
        <w:t> </w:t>
      </w:r>
      <w:r>
        <w:rPr/>
        <w:t>paints, food and drink cans, and plumbing systems. Several federal programs implemented by state and local health governments have not only focused on banning lead in gasoline, paint and soldered cans, but have also supported screening programs for lead poisoning in children and</w:t>
      </w:r>
      <w:r>
        <w:rPr>
          <w:spacing w:val="40"/>
        </w:rPr>
        <w:t> </w:t>
      </w:r>
      <w:r>
        <w:rPr/>
        <w:t>lead abatement in housing. Despite the progress in these programs, human exposure to lead remains a serious health problem. Lead is the most systemic toxicant that affects several organs in the body</w:t>
      </w:r>
      <w:r>
        <w:rPr>
          <w:spacing w:val="-2"/>
        </w:rPr>
        <w:t> </w:t>
      </w:r>
      <w:r>
        <w:rPr/>
        <w:t>including the kidneys, liver, central</w:t>
      </w:r>
      <w:r>
        <w:rPr>
          <w:spacing w:val="-2"/>
        </w:rPr>
        <w:t> </w:t>
      </w:r>
      <w:r>
        <w:rPr/>
        <w:t>nervous system, hematopoetic system, endocrine system, and reproductive system (Lyaka </w:t>
      </w:r>
      <w:r>
        <w:rPr>
          <w:i/>
        </w:rPr>
        <w:t>et al., </w:t>
      </w:r>
      <w:r>
        <w:rPr/>
        <w:t>2005). There are many published studies that</w:t>
      </w:r>
      <w:r>
        <w:rPr>
          <w:spacing w:val="40"/>
        </w:rPr>
        <w:t> </w:t>
      </w:r>
      <w:r>
        <w:rPr/>
        <w:t>have documented the adverse effects of lead in children and the adult population. In children, these studies have shown an association between blood level poisoning and diminished intelligence, lower intelligence quotient-IQ, delayed or impaired neurobehavioral development, decreased hearing acuity, speech and language handicaps, growth retardation, poor attention span, and anti social and diligent behaviors (Udiba </w:t>
      </w:r>
      <w:r>
        <w:rPr>
          <w:i/>
        </w:rPr>
        <w:t>et al., </w:t>
      </w:r>
      <w:r>
        <w:rPr/>
        <w:t>2013). In the adult population, reproductive</w:t>
      </w:r>
      <w:r>
        <w:rPr>
          <w:spacing w:val="-2"/>
        </w:rPr>
        <w:t> </w:t>
      </w:r>
      <w:r>
        <w:rPr/>
        <w:t>effects, such</w:t>
      </w:r>
      <w:r>
        <w:rPr>
          <w:spacing w:val="-1"/>
        </w:rPr>
        <w:t> </w:t>
      </w:r>
      <w:r>
        <w:rPr/>
        <w:t>as</w:t>
      </w:r>
      <w:r>
        <w:rPr>
          <w:spacing w:val="-2"/>
        </w:rPr>
        <w:t> </w:t>
      </w:r>
      <w:r>
        <w:rPr/>
        <w:t>decreased sperm</w:t>
      </w:r>
      <w:r>
        <w:rPr>
          <w:spacing w:val="-5"/>
        </w:rPr>
        <w:t> </w:t>
      </w:r>
      <w:r>
        <w:rPr/>
        <w:t>count in</w:t>
      </w:r>
      <w:r>
        <w:rPr>
          <w:spacing w:val="-1"/>
        </w:rPr>
        <w:t> </w:t>
      </w:r>
      <w:r>
        <w:rPr/>
        <w:t>men</w:t>
      </w:r>
      <w:r>
        <w:rPr>
          <w:spacing w:val="-1"/>
        </w:rPr>
        <w:t> </w:t>
      </w:r>
      <w:r>
        <w:rPr/>
        <w:t>and</w:t>
      </w:r>
      <w:r>
        <w:rPr>
          <w:spacing w:val="-1"/>
        </w:rPr>
        <w:t> </w:t>
      </w:r>
      <w:r>
        <w:rPr/>
        <w:t>spontaneous</w:t>
      </w:r>
      <w:r>
        <w:rPr>
          <w:spacing w:val="-2"/>
        </w:rPr>
        <w:t> </w:t>
      </w:r>
      <w:r>
        <w:rPr/>
        <w:t>abortions in women have been associated with high lead exposure (Ogabiola </w:t>
      </w:r>
      <w:r>
        <w:rPr>
          <w:i/>
        </w:rPr>
        <w:t>et al</w:t>
      </w:r>
      <w:r>
        <w:rPr/>
        <w:t>., 2013). Acute exposure to lead induces brain</w:t>
      </w:r>
      <w:r>
        <w:rPr>
          <w:spacing w:val="-6"/>
        </w:rPr>
        <w:t> </w:t>
      </w:r>
      <w:r>
        <w:rPr/>
        <w:t>damage, kidney</w:t>
      </w:r>
      <w:r>
        <w:rPr>
          <w:spacing w:val="-6"/>
        </w:rPr>
        <w:t> </w:t>
      </w:r>
      <w:r>
        <w:rPr/>
        <w:t>damage, and</w:t>
      </w:r>
      <w:r>
        <w:rPr>
          <w:spacing w:val="-2"/>
        </w:rPr>
        <w:t> </w:t>
      </w:r>
      <w:r>
        <w:rPr/>
        <w:t>gastrointestinal</w:t>
      </w:r>
      <w:r>
        <w:rPr>
          <w:spacing w:val="-6"/>
        </w:rPr>
        <w:t> </w:t>
      </w:r>
      <w:r>
        <w:rPr/>
        <w:t>diseases, while</w:t>
      </w:r>
      <w:r>
        <w:rPr>
          <w:spacing w:val="-2"/>
        </w:rPr>
        <w:t> </w:t>
      </w:r>
      <w:r>
        <w:rPr/>
        <w:t>chronic</w:t>
      </w:r>
      <w:r>
        <w:rPr>
          <w:spacing w:val="-2"/>
        </w:rPr>
        <w:t> </w:t>
      </w:r>
      <w:r>
        <w:rPr/>
        <w:t>exposure may cause adverse effects on the blood, central nervous system, blood pressure, kidneys, and vitamin D metabolism (Arugonji, 2006). One of the major mechanisms by which lead exerts its toxic effect is through biochemical</w:t>
      </w:r>
      <w:r>
        <w:rPr>
          <w:spacing w:val="-1"/>
        </w:rPr>
        <w:t> </w:t>
      </w:r>
      <w:r>
        <w:rPr/>
        <w:t>processes that include lead's ability to inhibit or mimic the actions of</w:t>
      </w:r>
      <w:r>
        <w:rPr>
          <w:spacing w:val="61"/>
        </w:rPr>
        <w:t> </w:t>
      </w:r>
      <w:r>
        <w:rPr/>
        <w:t>calcium</w:t>
      </w:r>
      <w:r>
        <w:rPr>
          <w:spacing w:val="65"/>
        </w:rPr>
        <w:t> </w:t>
      </w:r>
      <w:r>
        <w:rPr/>
        <w:t>and</w:t>
      </w:r>
      <w:r>
        <w:rPr>
          <w:spacing w:val="71"/>
        </w:rPr>
        <w:t> </w:t>
      </w:r>
      <w:r>
        <w:rPr/>
        <w:t>to</w:t>
      </w:r>
      <w:r>
        <w:rPr>
          <w:spacing w:val="71"/>
        </w:rPr>
        <w:t> </w:t>
      </w:r>
      <w:r>
        <w:rPr/>
        <w:t>interact</w:t>
      </w:r>
      <w:r>
        <w:rPr>
          <w:spacing w:val="77"/>
        </w:rPr>
        <w:t> </w:t>
      </w:r>
      <w:r>
        <w:rPr/>
        <w:t>with</w:t>
      </w:r>
      <w:r>
        <w:rPr>
          <w:spacing w:val="66"/>
        </w:rPr>
        <w:t> </w:t>
      </w:r>
      <w:r>
        <w:rPr/>
        <w:t>proteins</w:t>
      </w:r>
      <w:r>
        <w:rPr>
          <w:spacing w:val="70"/>
        </w:rPr>
        <w:t> </w:t>
      </w:r>
      <w:r>
        <w:rPr/>
        <w:t>(Uba</w:t>
      </w:r>
      <w:r>
        <w:rPr>
          <w:spacing w:val="50"/>
          <w:w w:val="150"/>
        </w:rPr>
        <w:t> </w:t>
      </w:r>
      <w:r>
        <w:rPr>
          <w:i/>
        </w:rPr>
        <w:t>et</w:t>
      </w:r>
      <w:r>
        <w:rPr>
          <w:i/>
          <w:spacing w:val="71"/>
        </w:rPr>
        <w:t> </w:t>
      </w:r>
      <w:r>
        <w:rPr>
          <w:i/>
        </w:rPr>
        <w:t>al</w:t>
      </w:r>
      <w:r>
        <w:rPr/>
        <w:t>.,</w:t>
      </w:r>
      <w:r>
        <w:rPr>
          <w:spacing w:val="74"/>
        </w:rPr>
        <w:t> </w:t>
      </w:r>
      <w:r>
        <w:rPr/>
        <w:t>2013).</w:t>
      </w:r>
      <w:r>
        <w:rPr>
          <w:spacing w:val="73"/>
        </w:rPr>
        <w:t> </w:t>
      </w:r>
      <w:r>
        <w:rPr/>
        <w:t>Within</w:t>
      </w:r>
      <w:r>
        <w:rPr>
          <w:spacing w:val="66"/>
        </w:rPr>
        <w:t> </w:t>
      </w:r>
      <w:r>
        <w:rPr/>
        <w:t>the</w:t>
      </w:r>
      <w:r>
        <w:rPr>
          <w:spacing w:val="71"/>
        </w:rPr>
        <w:t> </w:t>
      </w:r>
      <w:r>
        <w:rPr/>
        <w:t>skeleton,</w:t>
      </w:r>
      <w:r>
        <w:rPr>
          <w:spacing w:val="73"/>
        </w:rPr>
        <w:t> </w:t>
      </w:r>
      <w:r>
        <w:rPr/>
        <w:t>lead</w:t>
      </w:r>
      <w:r>
        <w:rPr>
          <w:spacing w:val="76"/>
        </w:rPr>
        <w:t> </w:t>
      </w:r>
      <w:r>
        <w:rPr>
          <w:spacing w:val="-5"/>
        </w:rPr>
        <w:t>is</w:t>
      </w:r>
    </w:p>
    <w:p>
      <w:pPr>
        <w:spacing w:after="0" w:line="480" w:lineRule="auto"/>
        <w:jc w:val="both"/>
        <w:sectPr>
          <w:pgSz w:w="12240" w:h="15840"/>
          <w:pgMar w:header="0" w:footer="1012" w:top="1360" w:bottom="1200" w:left="1020" w:right="720"/>
        </w:sectPr>
      </w:pPr>
    </w:p>
    <w:p>
      <w:pPr>
        <w:pStyle w:val="BodyText"/>
        <w:spacing w:line="480" w:lineRule="auto" w:before="72"/>
        <w:ind w:left="420" w:right="712"/>
        <w:jc w:val="both"/>
      </w:pPr>
      <w:r>
        <w:rPr/>
        <w:t>incorporated</w:t>
      </w:r>
      <w:r>
        <w:rPr>
          <w:spacing w:val="-2"/>
        </w:rPr>
        <w:t> </w:t>
      </w:r>
      <w:r>
        <w:rPr/>
        <w:t>into</w:t>
      </w:r>
      <w:r>
        <w:rPr>
          <w:spacing w:val="-2"/>
        </w:rPr>
        <w:t> </w:t>
      </w:r>
      <w:r>
        <w:rPr/>
        <w:t>the</w:t>
      </w:r>
      <w:r>
        <w:rPr>
          <w:spacing w:val="-3"/>
        </w:rPr>
        <w:t> </w:t>
      </w:r>
      <w:r>
        <w:rPr/>
        <w:t>mineral</w:t>
      </w:r>
      <w:r>
        <w:rPr>
          <w:spacing w:val="-2"/>
        </w:rPr>
        <w:t> </w:t>
      </w:r>
      <w:r>
        <w:rPr/>
        <w:t>in</w:t>
      </w:r>
      <w:r>
        <w:rPr>
          <w:spacing w:val="-7"/>
        </w:rPr>
        <w:t> </w:t>
      </w:r>
      <w:r>
        <w:rPr/>
        <w:t>place</w:t>
      </w:r>
      <w:r>
        <w:rPr>
          <w:spacing w:val="-3"/>
        </w:rPr>
        <w:t> </w:t>
      </w:r>
      <w:r>
        <w:rPr/>
        <w:t>of</w:t>
      </w:r>
      <w:r>
        <w:rPr>
          <w:spacing w:val="-9"/>
        </w:rPr>
        <w:t> </w:t>
      </w:r>
      <w:r>
        <w:rPr/>
        <w:t>calcium. Lead binds</w:t>
      </w:r>
      <w:r>
        <w:rPr>
          <w:spacing w:val="-4"/>
        </w:rPr>
        <w:t> </w:t>
      </w:r>
      <w:r>
        <w:rPr/>
        <w:t>to biological</w:t>
      </w:r>
      <w:r>
        <w:rPr>
          <w:spacing w:val="-2"/>
        </w:rPr>
        <w:t> </w:t>
      </w:r>
      <w:r>
        <w:rPr/>
        <w:t>molecules</w:t>
      </w:r>
      <w:r>
        <w:rPr>
          <w:spacing w:val="-4"/>
        </w:rPr>
        <w:t> </w:t>
      </w:r>
      <w:r>
        <w:rPr/>
        <w:t>and</w:t>
      </w:r>
      <w:r>
        <w:rPr>
          <w:spacing w:val="-2"/>
        </w:rPr>
        <w:t> </w:t>
      </w:r>
      <w:r>
        <w:rPr/>
        <w:t>thereby interfering with their function by a number of mechanisms. Lead binds to sulfhydryl and amide groups of enzymes, altering their configuration and diminishing their activities. Lead may also compete with essential metallic cations for binding sites, inhibiting enzyme activity, or altering the transport of essential cations such as calcium. Many investigators have demonstrated that</w:t>
      </w:r>
      <w:r>
        <w:rPr>
          <w:spacing w:val="40"/>
        </w:rPr>
        <w:t> </w:t>
      </w:r>
      <w:r>
        <w:rPr/>
        <w:t>lead intoxication</w:t>
      </w:r>
      <w:r>
        <w:rPr>
          <w:spacing w:val="-1"/>
        </w:rPr>
        <w:t> </w:t>
      </w:r>
      <w:r>
        <w:rPr/>
        <w:t>induces</w:t>
      </w:r>
      <w:r>
        <w:rPr>
          <w:spacing w:val="-3"/>
        </w:rPr>
        <w:t> </w:t>
      </w:r>
      <w:r>
        <w:rPr/>
        <w:t>a</w:t>
      </w:r>
      <w:r>
        <w:rPr>
          <w:spacing w:val="-2"/>
        </w:rPr>
        <w:t> </w:t>
      </w:r>
      <w:r>
        <w:rPr/>
        <w:t>cellular damage mediated</w:t>
      </w:r>
      <w:r>
        <w:rPr>
          <w:spacing w:val="-1"/>
        </w:rPr>
        <w:t> </w:t>
      </w:r>
      <w:r>
        <w:rPr/>
        <w:t>by</w:t>
      </w:r>
      <w:r>
        <w:rPr>
          <w:spacing w:val="-6"/>
        </w:rPr>
        <w:t> </w:t>
      </w:r>
      <w:r>
        <w:rPr/>
        <w:t>the formation</w:t>
      </w:r>
      <w:r>
        <w:rPr>
          <w:spacing w:val="-6"/>
        </w:rPr>
        <w:t> </w:t>
      </w:r>
      <w:r>
        <w:rPr/>
        <w:t>of</w:t>
      </w:r>
      <w:r>
        <w:rPr>
          <w:spacing w:val="-9"/>
        </w:rPr>
        <w:t> </w:t>
      </w:r>
      <w:r>
        <w:rPr/>
        <w:t>reactive</w:t>
      </w:r>
      <w:r>
        <w:rPr>
          <w:spacing w:val="-2"/>
        </w:rPr>
        <w:t> </w:t>
      </w:r>
      <w:r>
        <w:rPr/>
        <w:t>oxygen</w:t>
      </w:r>
      <w:r>
        <w:rPr>
          <w:spacing w:val="-6"/>
        </w:rPr>
        <w:t> </w:t>
      </w:r>
      <w:r>
        <w:rPr/>
        <w:t>species (ROS) (Musa </w:t>
      </w:r>
      <w:r>
        <w:rPr>
          <w:i/>
        </w:rPr>
        <w:t>et al</w:t>
      </w:r>
      <w:r>
        <w:rPr/>
        <w:t>., 2004). In addition, Jiun and Hseien (Uba </w:t>
      </w:r>
      <w:r>
        <w:rPr>
          <w:i/>
        </w:rPr>
        <w:t>et al</w:t>
      </w:r>
      <w:r>
        <w:rPr/>
        <w:t>., 2013) demonstrated that the levels of malondialdehyde (MDA) in blood strongly correlate with lead concentration in the blood of exposed workers. Other studies showed that the activities of antioxidant enzymes, including superoxide dismutase (SOD), and glutathione peroxidase in erythrocytes of workers exposed to lead are remarkably higher than that in non-exposed workers. A series of recent studies in our laboratory demonstrated that lead-induced toxicity and apoptosis in human cancer cells involved several cellular and molecular processes including induction of cell death and oxidative stress, transcriptional activation of stress genes, DNA damage, externalization of phosphatidylserine and activation</w:t>
      </w:r>
      <w:r>
        <w:rPr>
          <w:spacing w:val="-3"/>
        </w:rPr>
        <w:t> </w:t>
      </w:r>
      <w:r>
        <w:rPr/>
        <w:t>of</w:t>
      </w:r>
      <w:r>
        <w:rPr>
          <w:spacing w:val="-1"/>
        </w:rPr>
        <w:t> </w:t>
      </w:r>
      <w:r>
        <w:rPr/>
        <w:t>caspase-3 (Udiba </w:t>
      </w:r>
      <w:r>
        <w:rPr>
          <w:i/>
        </w:rPr>
        <w:t>et al</w:t>
      </w:r>
      <w:r>
        <w:rPr/>
        <w:t>., 2013). A large body</w:t>
      </w:r>
      <w:r>
        <w:rPr>
          <w:spacing w:val="-8"/>
        </w:rPr>
        <w:t> </w:t>
      </w:r>
      <w:r>
        <w:rPr/>
        <w:t>of</w:t>
      </w:r>
      <w:r>
        <w:rPr>
          <w:spacing w:val="-6"/>
        </w:rPr>
        <w:t> </w:t>
      </w:r>
      <w:r>
        <w:rPr/>
        <w:t>research has indicated that lead acts by interfering with calcium-dependent processes related to neuronal signaling and intracellular signal transduction. Lead perturbs intracellular calcium cycling, altering release ability of organelle stores, such as endoplasmic reticulum and mitochondrin. In some cases lead inhibits calcium-dependent events, including calcium-dependent release of several neurotransmitters and receptor-coupled ionophores in glutamatergic neurons. In other cases lead appears to augment calcium-dependent events, such as protein kinase C and calmodulin (Alonso </w:t>
      </w:r>
      <w:r>
        <w:rPr>
          <w:i/>
        </w:rPr>
        <w:t>et al</w:t>
      </w:r>
      <w:r>
        <w:rPr/>
        <w:t>., 2002). Experimental studies have indicated that lead is potentially carcinogenic,</w:t>
      </w:r>
      <w:r>
        <w:rPr>
          <w:spacing w:val="55"/>
        </w:rPr>
        <w:t> </w:t>
      </w:r>
      <w:r>
        <w:rPr/>
        <w:t>inducing</w:t>
      </w:r>
      <w:r>
        <w:rPr>
          <w:spacing w:val="51"/>
        </w:rPr>
        <w:t> </w:t>
      </w:r>
      <w:r>
        <w:rPr/>
        <w:t>renal</w:t>
      </w:r>
      <w:r>
        <w:rPr>
          <w:spacing w:val="43"/>
        </w:rPr>
        <w:t> </w:t>
      </w:r>
      <w:r>
        <w:rPr/>
        <w:t>tumors</w:t>
      </w:r>
      <w:r>
        <w:rPr>
          <w:spacing w:val="54"/>
        </w:rPr>
        <w:t> </w:t>
      </w:r>
      <w:r>
        <w:rPr/>
        <w:t>in</w:t>
      </w:r>
      <w:r>
        <w:rPr>
          <w:spacing w:val="47"/>
        </w:rPr>
        <w:t> </w:t>
      </w:r>
      <w:r>
        <w:rPr/>
        <w:t>rats</w:t>
      </w:r>
      <w:r>
        <w:rPr>
          <w:spacing w:val="49"/>
        </w:rPr>
        <w:t> </w:t>
      </w:r>
      <w:r>
        <w:rPr/>
        <w:t>and</w:t>
      </w:r>
      <w:r>
        <w:rPr>
          <w:spacing w:val="61"/>
        </w:rPr>
        <w:t> </w:t>
      </w:r>
      <w:r>
        <w:rPr/>
        <w:t>mice</w:t>
      </w:r>
      <w:r>
        <w:rPr>
          <w:spacing w:val="51"/>
        </w:rPr>
        <w:t> </w:t>
      </w:r>
      <w:r>
        <w:rPr/>
        <w:t>(Udiba</w:t>
      </w:r>
      <w:r>
        <w:rPr>
          <w:spacing w:val="60"/>
        </w:rPr>
        <w:t> </w:t>
      </w:r>
      <w:r>
        <w:rPr>
          <w:i/>
        </w:rPr>
        <w:t>et</w:t>
      </w:r>
      <w:r>
        <w:rPr>
          <w:i/>
          <w:spacing w:val="52"/>
        </w:rPr>
        <w:t> </w:t>
      </w:r>
      <w:r>
        <w:rPr>
          <w:i/>
        </w:rPr>
        <w:t>al</w:t>
      </w:r>
      <w:r>
        <w:rPr/>
        <w:t>.,</w:t>
      </w:r>
      <w:r>
        <w:rPr>
          <w:spacing w:val="54"/>
        </w:rPr>
        <w:t> </w:t>
      </w:r>
      <w:r>
        <w:rPr/>
        <w:t>2013),</w:t>
      </w:r>
      <w:r>
        <w:rPr>
          <w:spacing w:val="53"/>
        </w:rPr>
        <w:t> </w:t>
      </w:r>
      <w:r>
        <w:rPr/>
        <w:t>and</w:t>
      </w:r>
      <w:r>
        <w:rPr>
          <w:spacing w:val="56"/>
        </w:rPr>
        <w:t> </w:t>
      </w:r>
      <w:r>
        <w:rPr/>
        <w:t>is</w:t>
      </w:r>
      <w:r>
        <w:rPr>
          <w:spacing w:val="50"/>
        </w:rPr>
        <w:t> </w:t>
      </w:r>
      <w:r>
        <w:rPr>
          <w:spacing w:val="-2"/>
        </w:rPr>
        <w:t>therefore</w:t>
      </w:r>
    </w:p>
    <w:p>
      <w:pPr>
        <w:spacing w:after="0" w:line="480" w:lineRule="auto"/>
        <w:jc w:val="both"/>
        <w:sectPr>
          <w:pgSz w:w="12240" w:h="15840"/>
          <w:pgMar w:header="0" w:footer="1012" w:top="1360" w:bottom="1200" w:left="1020" w:right="720"/>
        </w:sectPr>
      </w:pPr>
    </w:p>
    <w:p>
      <w:pPr>
        <w:pStyle w:val="BodyText"/>
        <w:spacing w:line="480" w:lineRule="auto" w:before="72"/>
        <w:ind w:left="420" w:right="714"/>
        <w:jc w:val="both"/>
      </w:pPr>
      <w:r>
        <w:rPr/>
        <w:t>considered</w:t>
      </w:r>
      <w:r>
        <w:rPr>
          <w:spacing w:val="-1"/>
        </w:rPr>
        <w:t> </w:t>
      </w:r>
      <w:r>
        <w:rPr/>
        <w:t>by</w:t>
      </w:r>
      <w:r>
        <w:rPr>
          <w:spacing w:val="-6"/>
        </w:rPr>
        <w:t> </w:t>
      </w:r>
      <w:r>
        <w:rPr/>
        <w:t>the</w:t>
      </w:r>
      <w:r>
        <w:rPr>
          <w:spacing w:val="-2"/>
        </w:rPr>
        <w:t> </w:t>
      </w:r>
      <w:r>
        <w:rPr/>
        <w:t>IARC</w:t>
      </w:r>
      <w:r>
        <w:rPr>
          <w:spacing w:val="-3"/>
        </w:rPr>
        <w:t> </w:t>
      </w:r>
      <w:r>
        <w:rPr/>
        <w:t>as</w:t>
      </w:r>
      <w:r>
        <w:rPr>
          <w:spacing w:val="-3"/>
        </w:rPr>
        <w:t> </w:t>
      </w:r>
      <w:r>
        <w:rPr/>
        <w:t>a</w:t>
      </w:r>
      <w:r>
        <w:rPr>
          <w:spacing w:val="-2"/>
        </w:rPr>
        <w:t> </w:t>
      </w:r>
      <w:r>
        <w:rPr/>
        <w:t>probable human</w:t>
      </w:r>
      <w:r>
        <w:rPr>
          <w:spacing w:val="-6"/>
        </w:rPr>
        <w:t> </w:t>
      </w:r>
      <w:r>
        <w:rPr/>
        <w:t>carcinogen. Lead exposure is</w:t>
      </w:r>
      <w:r>
        <w:rPr>
          <w:spacing w:val="-3"/>
        </w:rPr>
        <w:t> </w:t>
      </w:r>
      <w:r>
        <w:rPr/>
        <w:t>also known</w:t>
      </w:r>
      <w:r>
        <w:rPr>
          <w:spacing w:val="-6"/>
        </w:rPr>
        <w:t> </w:t>
      </w:r>
      <w:r>
        <w:rPr/>
        <w:t>to induce gene mutations and sister chromatid exchanges, morphological transformations in cultured</w:t>
      </w:r>
      <w:r>
        <w:rPr>
          <w:spacing w:val="40"/>
        </w:rPr>
        <w:t> </w:t>
      </w:r>
      <w:r>
        <w:rPr/>
        <w:t>rodent cells, and</w:t>
      </w:r>
      <w:r>
        <w:rPr>
          <w:spacing w:val="-2"/>
        </w:rPr>
        <w:t> </w:t>
      </w:r>
      <w:r>
        <w:rPr/>
        <w:t>to enhance anchorage independence in</w:t>
      </w:r>
      <w:r>
        <w:rPr>
          <w:spacing w:val="-2"/>
        </w:rPr>
        <w:t> </w:t>
      </w:r>
      <w:r>
        <w:rPr/>
        <w:t>diploid human fibroblasts</w:t>
      </w:r>
      <w:r>
        <w:rPr>
          <w:spacing w:val="-4"/>
        </w:rPr>
        <w:t> </w:t>
      </w:r>
      <w:r>
        <w:rPr/>
        <w:t>(Nwude </w:t>
      </w:r>
      <w:r>
        <w:rPr>
          <w:i/>
        </w:rPr>
        <w:t>et</w:t>
      </w:r>
      <w:r>
        <w:rPr>
          <w:i/>
          <w:spacing w:val="-2"/>
        </w:rPr>
        <w:t> </w:t>
      </w:r>
      <w:r>
        <w:rPr>
          <w:i/>
        </w:rPr>
        <w:t>al</w:t>
      </w:r>
      <w:r>
        <w:rPr/>
        <w:t>., 2010). </w:t>
      </w:r>
      <w:r>
        <w:rPr>
          <w:i/>
        </w:rPr>
        <w:t>In vitro </w:t>
      </w:r>
      <w:r>
        <w:rPr/>
        <w:t>and </w:t>
      </w:r>
      <w:r>
        <w:rPr>
          <w:i/>
        </w:rPr>
        <w:t>in vivo </w:t>
      </w:r>
      <w:r>
        <w:rPr/>
        <w:t>studies indicated that lead compounds cause genetic damage through various indirect mechanisms that include inhibition of DNA synthesis and repair, oxidative damage, and interaction with DNA-binding proteins and tumor suppressor proteins. Lead is a toxic element that can be harmful to plants, although plants usually show ability to accumulate large amounts of lead without visible changes in</w:t>
      </w:r>
      <w:r>
        <w:rPr>
          <w:spacing w:val="-1"/>
        </w:rPr>
        <w:t> </w:t>
      </w:r>
      <w:r>
        <w:rPr/>
        <w:t>their appearance or yield. Lead is a well-known neurotoxin. Impairment of neurodevelopment in children is the most critical effect. Exposure in uterus, during breastfeeding and in early childhood may all be responsible for the effects. Lead accumulates in the skeleton and its mobilization from bones during pregnancy and lactation causes exposure to fetuses and breastfed infants (ATSDR, 2007). In many plants, lead accumulation can exceed several hundred times the threshold of maximum level permissible for human (Duruibe, 2007). It has been suggested that lead on a cellular and molecular level may permit or enhance carcinogenic events involved in DNA damage, DNA repair, and regulation of tumour suppressor and promoter genes (ATSDR 2007). A study carried out by (Finster </w:t>
      </w:r>
      <w:r>
        <w:rPr>
          <w:i/>
        </w:rPr>
        <w:t>et al</w:t>
      </w:r>
      <w:r>
        <w:rPr/>
        <w:t>., 2004) demonstrated that plants grown in lead-contaminated soils accumulate low levels of lead</w:t>
      </w:r>
      <w:r>
        <w:rPr>
          <w:spacing w:val="40"/>
        </w:rPr>
        <w:t> </w:t>
      </w:r>
      <w:r>
        <w:rPr/>
        <w:t>in the edible portions of the plant from</w:t>
      </w:r>
      <w:r>
        <w:rPr>
          <w:spacing w:val="-1"/>
        </w:rPr>
        <w:t> </w:t>
      </w:r>
      <w:r>
        <w:rPr/>
        <w:t>adherence of dusts and translocation into the tissues.</w:t>
      </w:r>
    </w:p>
    <w:p>
      <w:pPr>
        <w:pStyle w:val="BodyText"/>
        <w:spacing w:before="6"/>
      </w:pPr>
    </w:p>
    <w:p>
      <w:pPr>
        <w:pStyle w:val="ListParagraph"/>
        <w:numPr>
          <w:ilvl w:val="2"/>
          <w:numId w:val="17"/>
        </w:numPr>
        <w:tabs>
          <w:tab w:pos="2758" w:val="left" w:leader="none"/>
        </w:tabs>
        <w:spacing w:line="240" w:lineRule="auto" w:before="0" w:after="0"/>
        <w:ind w:left="2758" w:right="0" w:hanging="2338"/>
        <w:jc w:val="left"/>
        <w:rPr>
          <w:sz w:val="24"/>
        </w:rPr>
      </w:pPr>
      <w:r>
        <w:rPr>
          <w:spacing w:val="-2"/>
          <w:sz w:val="24"/>
        </w:rPr>
        <w:t>Arsenic</w:t>
      </w:r>
    </w:p>
    <w:p>
      <w:pPr>
        <w:pStyle w:val="BodyText"/>
        <w:spacing w:before="48"/>
      </w:pPr>
    </w:p>
    <w:p>
      <w:pPr>
        <w:pStyle w:val="BodyText"/>
        <w:spacing w:line="480" w:lineRule="auto"/>
        <w:ind w:left="420" w:right="724"/>
        <w:jc w:val="both"/>
      </w:pPr>
      <w:r>
        <w:rPr/>
        <w:t>Arsenic is a ubiquitous element that is detected at low concentrations in virtually all environmental matrices (Ndiokwere </w:t>
      </w:r>
      <w:r>
        <w:rPr>
          <w:i/>
        </w:rPr>
        <w:t>et al</w:t>
      </w:r>
      <w:r>
        <w:rPr/>
        <w:t>., 2009). The major inorganic forms of arsenic include the trivalent arsenite and the pentavalent arsenate. The organic forms are the methylated metabolites</w:t>
      </w:r>
      <w:r>
        <w:rPr>
          <w:spacing w:val="-2"/>
        </w:rPr>
        <w:t> </w:t>
      </w:r>
      <w:r>
        <w:rPr/>
        <w:t>–</w:t>
      </w:r>
      <w:r>
        <w:rPr>
          <w:spacing w:val="6"/>
        </w:rPr>
        <w:t> </w:t>
      </w:r>
      <w:r>
        <w:rPr/>
        <w:t>monomethylarsonic</w:t>
      </w:r>
      <w:r>
        <w:rPr>
          <w:spacing w:val="1"/>
        </w:rPr>
        <w:t> </w:t>
      </w:r>
      <w:r>
        <w:rPr/>
        <w:t>acid</w:t>
      </w:r>
      <w:r>
        <w:rPr>
          <w:spacing w:val="1"/>
        </w:rPr>
        <w:t> </w:t>
      </w:r>
      <w:r>
        <w:rPr/>
        <w:t>(MMA),</w:t>
      </w:r>
      <w:r>
        <w:rPr>
          <w:spacing w:val="3"/>
        </w:rPr>
        <w:t> </w:t>
      </w:r>
      <w:r>
        <w:rPr/>
        <w:t>dimethylarsinic</w:t>
      </w:r>
      <w:r>
        <w:rPr>
          <w:spacing w:val="1"/>
        </w:rPr>
        <w:t> </w:t>
      </w:r>
      <w:r>
        <w:rPr/>
        <w:t>acid (DMA)</w:t>
      </w:r>
      <w:r>
        <w:rPr>
          <w:spacing w:val="3"/>
        </w:rPr>
        <w:t> </w:t>
      </w:r>
      <w:r>
        <w:rPr/>
        <w:t>and</w:t>
      </w:r>
      <w:r>
        <w:rPr>
          <w:spacing w:val="1"/>
        </w:rPr>
        <w:t> </w:t>
      </w:r>
      <w:r>
        <w:rPr>
          <w:spacing w:val="-2"/>
        </w:rPr>
        <w:t>trimethylarsine</w:t>
      </w:r>
    </w:p>
    <w:p>
      <w:pPr>
        <w:spacing w:after="0" w:line="480" w:lineRule="auto"/>
        <w:jc w:val="both"/>
        <w:sectPr>
          <w:pgSz w:w="12240" w:h="15840"/>
          <w:pgMar w:header="0" w:footer="1012" w:top="1360" w:bottom="1200" w:left="1020" w:right="720"/>
        </w:sectPr>
      </w:pPr>
    </w:p>
    <w:p>
      <w:pPr>
        <w:pStyle w:val="BodyText"/>
        <w:spacing w:line="480" w:lineRule="auto" w:before="72"/>
        <w:ind w:left="420" w:right="715"/>
        <w:jc w:val="both"/>
      </w:pPr>
      <w:r>
        <w:rPr/>
        <w:t>oxide. Environmental pollution by arsenic occurs as a result of natural phenomena such as volcanic eruptions and soil erosion, and anthropogenic activities. Several arsenic-containing compounds are produced industrially, and have been used to manufacture products with agricultural applications such as insecticides, herbicides, fungicides, algicides, sheep dips, wood preservatives, and dye-stuffs. They have also been used in veterinary medicine for the</w:t>
      </w:r>
      <w:r>
        <w:rPr>
          <w:spacing w:val="40"/>
        </w:rPr>
        <w:t> </w:t>
      </w:r>
      <w:r>
        <w:rPr/>
        <w:t>eradication</w:t>
      </w:r>
      <w:r>
        <w:rPr>
          <w:spacing w:val="-5"/>
        </w:rPr>
        <w:t> </w:t>
      </w:r>
      <w:r>
        <w:rPr/>
        <w:t>of</w:t>
      </w:r>
      <w:r>
        <w:rPr>
          <w:spacing w:val="-8"/>
        </w:rPr>
        <w:t> </w:t>
      </w:r>
      <w:r>
        <w:rPr/>
        <w:t>tapeworms in sheep and cattle</w:t>
      </w:r>
      <w:r>
        <w:rPr>
          <w:spacing w:val="-1"/>
        </w:rPr>
        <w:t> </w:t>
      </w:r>
      <w:r>
        <w:rPr/>
        <w:t>(ATSDR</w:t>
      </w:r>
      <w:r>
        <w:rPr>
          <w:spacing w:val="-2"/>
        </w:rPr>
        <w:t> </w:t>
      </w:r>
      <w:r>
        <w:rPr/>
        <w:t>2007). Arsenic</w:t>
      </w:r>
      <w:r>
        <w:rPr>
          <w:spacing w:val="-1"/>
        </w:rPr>
        <w:t> </w:t>
      </w:r>
      <w:r>
        <w:rPr/>
        <w:t>compounds have</w:t>
      </w:r>
      <w:r>
        <w:rPr>
          <w:spacing w:val="-1"/>
        </w:rPr>
        <w:t> </w:t>
      </w:r>
      <w:r>
        <w:rPr/>
        <w:t>also been used in the medical field for at least a century in the treatment of syphilis, yaws, amoebic dysentery, and trypanosomaiasis (ATSDR 2005). Arsenic-based drugs are still used in treating certain tropical diseases such as African sleeping sickness and amoebic dysentery, and in veterinary medicine to treat parasitic diseases, including filariasis in dogs and black head in turkeys and chickens (Odai </w:t>
      </w:r>
      <w:r>
        <w:rPr>
          <w:i/>
        </w:rPr>
        <w:t>et al</w:t>
      </w:r>
      <w:r>
        <w:rPr/>
        <w:t>., 2008). Recently, arsenic trioxide has been approved by the Food and Drug Administration as an anticancer agent in the treatment of acute promeylocytic leukemia. Its therapeutic action has been attributed to the induction of programmed cell death (apoptosis) in leukemia cells (Odai </w:t>
      </w:r>
      <w:r>
        <w:rPr>
          <w:i/>
        </w:rPr>
        <w:t>et al</w:t>
      </w:r>
      <w:r>
        <w:rPr/>
        <w:t>., 2008). It is estimated that several million people are exposed to arsenic chronically throughout the world, especially in countries like Bangladesh, India, Chile, Uruguay, Mexico, Taiwan, where the ground water is contaminated with high concentrations of arsenic. Exposure to arsenic occurs via the oral route (ingestion), inhalation, dermal</w:t>
      </w:r>
      <w:r>
        <w:rPr>
          <w:spacing w:val="-1"/>
        </w:rPr>
        <w:t> </w:t>
      </w:r>
      <w:r>
        <w:rPr/>
        <w:t>contact, and the parenteral</w:t>
      </w:r>
      <w:r>
        <w:rPr>
          <w:spacing w:val="-6"/>
        </w:rPr>
        <w:t> </w:t>
      </w:r>
      <w:r>
        <w:rPr/>
        <w:t>route</w:t>
      </w:r>
      <w:r>
        <w:rPr>
          <w:spacing w:val="-2"/>
        </w:rPr>
        <w:t> </w:t>
      </w:r>
      <w:r>
        <w:rPr/>
        <w:t>to some extent. Arsenic concentrations in</w:t>
      </w:r>
      <w:r>
        <w:rPr>
          <w:spacing w:val="-1"/>
        </w:rPr>
        <w:t> </w:t>
      </w:r>
      <w:r>
        <w:rPr/>
        <w:t>air range from 1</w:t>
      </w:r>
      <w:r>
        <w:rPr>
          <w:spacing w:val="-1"/>
        </w:rPr>
        <w:t> </w:t>
      </w:r>
      <w:r>
        <w:rPr/>
        <w:t>to 3</w:t>
      </w:r>
      <w:r>
        <w:rPr>
          <w:spacing w:val="-1"/>
        </w:rPr>
        <w:t> </w:t>
      </w:r>
      <w:r>
        <w:rPr/>
        <w:t>ng/m</w:t>
      </w:r>
      <w:r>
        <w:rPr>
          <w:vertAlign w:val="superscript"/>
        </w:rPr>
        <w:t>3</w:t>
      </w:r>
      <w:r>
        <w:rPr>
          <w:vertAlign w:val="baseline"/>
        </w:rPr>
        <w:t> in</w:t>
      </w:r>
      <w:r>
        <w:rPr>
          <w:spacing w:val="-1"/>
          <w:vertAlign w:val="baseline"/>
        </w:rPr>
        <w:t> </w:t>
      </w:r>
      <w:r>
        <w:rPr>
          <w:vertAlign w:val="baseline"/>
        </w:rPr>
        <w:t>remote locations (away</w:t>
      </w:r>
      <w:r>
        <w:rPr>
          <w:spacing w:val="-1"/>
          <w:vertAlign w:val="baseline"/>
        </w:rPr>
        <w:t> </w:t>
      </w:r>
      <w:r>
        <w:rPr>
          <w:vertAlign w:val="baseline"/>
        </w:rPr>
        <w:t>from</w:t>
      </w:r>
      <w:r>
        <w:rPr>
          <w:spacing w:val="-1"/>
          <w:vertAlign w:val="baseline"/>
        </w:rPr>
        <w:t> </w:t>
      </w:r>
      <w:r>
        <w:rPr>
          <w:vertAlign w:val="baseline"/>
        </w:rPr>
        <w:t>human</w:t>
      </w:r>
      <w:r>
        <w:rPr>
          <w:spacing w:val="-1"/>
          <w:vertAlign w:val="baseline"/>
        </w:rPr>
        <w:t> </w:t>
      </w:r>
      <w:r>
        <w:rPr>
          <w:vertAlign w:val="baseline"/>
        </w:rPr>
        <w:t>releases) and from</w:t>
      </w:r>
      <w:r>
        <w:rPr>
          <w:spacing w:val="-6"/>
          <w:vertAlign w:val="baseline"/>
        </w:rPr>
        <w:t> </w:t>
      </w:r>
      <w:r>
        <w:rPr>
          <w:vertAlign w:val="baseline"/>
        </w:rPr>
        <w:t>20 to 100 ng/m</w:t>
      </w:r>
      <w:r>
        <w:rPr>
          <w:vertAlign w:val="superscript"/>
        </w:rPr>
        <w:t>3</w:t>
      </w:r>
      <w:r>
        <w:rPr>
          <w:vertAlign w:val="baseline"/>
        </w:rPr>
        <w:t> in</w:t>
      </w:r>
      <w:r>
        <w:rPr>
          <w:spacing w:val="-1"/>
          <w:vertAlign w:val="baseline"/>
        </w:rPr>
        <w:t> </w:t>
      </w:r>
      <w:r>
        <w:rPr>
          <w:vertAlign w:val="baseline"/>
        </w:rPr>
        <w:t>cities. Its water concentration is usually less than</w:t>
      </w:r>
      <w:r>
        <w:rPr>
          <w:spacing w:val="-1"/>
          <w:vertAlign w:val="baseline"/>
        </w:rPr>
        <w:t> </w:t>
      </w:r>
      <w:r>
        <w:rPr>
          <w:vertAlign w:val="baseline"/>
        </w:rPr>
        <w:t>10µg/L, although higher levels can</w:t>
      </w:r>
      <w:r>
        <w:rPr>
          <w:spacing w:val="-1"/>
          <w:vertAlign w:val="baseline"/>
        </w:rPr>
        <w:t> </w:t>
      </w:r>
      <w:r>
        <w:rPr>
          <w:vertAlign w:val="baseline"/>
        </w:rPr>
        <w:t>occur near natural mineral deposits or mining sites. Its concentration in various foods ranges from 20 to 140 ng/kg (Ibeto </w:t>
      </w:r>
      <w:r>
        <w:rPr>
          <w:i/>
          <w:vertAlign w:val="baseline"/>
        </w:rPr>
        <w:t>et al.</w:t>
      </w:r>
      <w:r>
        <w:rPr>
          <w:vertAlign w:val="baseline"/>
        </w:rPr>
        <w:t>, 2010). Natural levels of arsenic in soil usually range from 1 to 40 mg/kg, but pesticide application or waste disposal can produce much higher values (Ibeto </w:t>
      </w:r>
      <w:r>
        <w:rPr>
          <w:i/>
          <w:vertAlign w:val="baseline"/>
        </w:rPr>
        <w:t>et al</w:t>
      </w:r>
      <w:r>
        <w:rPr>
          <w:vertAlign w:val="baseline"/>
        </w:rPr>
        <w:t>., 2010).</w:t>
      </w:r>
    </w:p>
    <w:p>
      <w:pPr>
        <w:spacing w:after="0" w:line="480" w:lineRule="auto"/>
        <w:jc w:val="both"/>
        <w:sectPr>
          <w:pgSz w:w="12240" w:h="15840"/>
          <w:pgMar w:header="0" w:footer="1012" w:top="1360" w:bottom="1200" w:left="1020" w:right="720"/>
        </w:sectPr>
      </w:pPr>
    </w:p>
    <w:p>
      <w:pPr>
        <w:pStyle w:val="BodyText"/>
        <w:spacing w:line="480" w:lineRule="auto" w:before="72"/>
        <w:ind w:left="420" w:right="720"/>
        <w:jc w:val="both"/>
      </w:pPr>
      <w:r>
        <w:rPr/>
        <w:t>Diet, for most individuals, is the largest source of exposure, with an average intake of about 50 µg per day. Intake from air, water and soil are usually much smaller, but exposure from these media may become significant in areas of arsenic contamination. Workers who produce or use arsenic compounds in such occupations as vineyards, ceramics, glass-making, smelting, refining of metallic ores, pesticide manufacturing and application, wood preservation, semiconductor manufacturing can be exposed to substantially higher levels of arsenic. Arsenic has also been identified</w:t>
      </w:r>
      <w:r>
        <w:rPr>
          <w:spacing w:val="25"/>
        </w:rPr>
        <w:t> </w:t>
      </w:r>
      <w:r>
        <w:rPr/>
        <w:t>at</w:t>
      </w:r>
      <w:r>
        <w:rPr>
          <w:spacing w:val="31"/>
        </w:rPr>
        <w:t> </w:t>
      </w:r>
      <w:r>
        <w:rPr/>
        <w:t>781</w:t>
      </w:r>
      <w:r>
        <w:rPr>
          <w:spacing w:val="25"/>
        </w:rPr>
        <w:t> </w:t>
      </w:r>
      <w:r>
        <w:rPr/>
        <w:t>sites</w:t>
      </w:r>
      <w:r>
        <w:rPr>
          <w:spacing w:val="24"/>
        </w:rPr>
        <w:t> </w:t>
      </w:r>
      <w:r>
        <w:rPr/>
        <w:t>of</w:t>
      </w:r>
      <w:r>
        <w:rPr>
          <w:spacing w:val="18"/>
        </w:rPr>
        <w:t> </w:t>
      </w:r>
      <w:r>
        <w:rPr/>
        <w:t>the</w:t>
      </w:r>
      <w:r>
        <w:rPr>
          <w:spacing w:val="24"/>
        </w:rPr>
        <w:t> </w:t>
      </w:r>
      <w:r>
        <w:rPr/>
        <w:t>1,300</w:t>
      </w:r>
      <w:r>
        <w:rPr>
          <w:spacing w:val="30"/>
        </w:rPr>
        <w:t> </w:t>
      </w:r>
      <w:r>
        <w:rPr/>
        <w:t>hazardous</w:t>
      </w:r>
      <w:r>
        <w:rPr>
          <w:spacing w:val="24"/>
        </w:rPr>
        <w:t> </w:t>
      </w:r>
      <w:r>
        <w:rPr/>
        <w:t>waste</w:t>
      </w:r>
      <w:r>
        <w:rPr>
          <w:spacing w:val="24"/>
        </w:rPr>
        <w:t> </w:t>
      </w:r>
      <w:r>
        <w:rPr/>
        <w:t>sites</w:t>
      </w:r>
      <w:r>
        <w:rPr>
          <w:spacing w:val="24"/>
        </w:rPr>
        <w:t> </w:t>
      </w:r>
      <w:r>
        <w:rPr/>
        <w:t>that</w:t>
      </w:r>
      <w:r>
        <w:rPr>
          <w:spacing w:val="30"/>
        </w:rPr>
        <w:t> </w:t>
      </w:r>
      <w:r>
        <w:rPr/>
        <w:t>have</w:t>
      </w:r>
      <w:r>
        <w:rPr>
          <w:spacing w:val="30"/>
        </w:rPr>
        <w:t> </w:t>
      </w:r>
      <w:r>
        <w:rPr/>
        <w:t>been</w:t>
      </w:r>
      <w:r>
        <w:rPr>
          <w:spacing w:val="21"/>
        </w:rPr>
        <w:t> </w:t>
      </w:r>
      <w:r>
        <w:rPr/>
        <w:t>proposed</w:t>
      </w:r>
      <w:r>
        <w:rPr>
          <w:spacing w:val="25"/>
        </w:rPr>
        <w:t> </w:t>
      </w:r>
      <w:r>
        <w:rPr/>
        <w:t>by</w:t>
      </w:r>
      <w:r>
        <w:rPr>
          <w:spacing w:val="21"/>
        </w:rPr>
        <w:t> </w:t>
      </w:r>
      <w:r>
        <w:rPr/>
        <w:t>the</w:t>
      </w:r>
      <w:r>
        <w:rPr>
          <w:spacing w:val="25"/>
        </w:rPr>
        <w:t> </w:t>
      </w:r>
      <w:r>
        <w:rPr>
          <w:spacing w:val="-4"/>
        </w:rPr>
        <w:t>U.S.</w:t>
      </w:r>
    </w:p>
    <w:p>
      <w:pPr>
        <w:pStyle w:val="BodyText"/>
        <w:spacing w:line="480" w:lineRule="auto" w:before="1"/>
        <w:ind w:left="420" w:right="709"/>
        <w:jc w:val="both"/>
      </w:pPr>
      <w:r>
        <w:rPr/>
        <w:t>E.P.A for inclusion on the national priority list (Christopher </w:t>
      </w:r>
      <w:r>
        <w:rPr>
          <w:i/>
        </w:rPr>
        <w:t>et al</w:t>
      </w:r>
      <w:r>
        <w:rPr/>
        <w:t>., 2009). Human exposure at these sites may occur by a variety of pathways, including inhalation of dusts in air, ingestion of contaminated water or soil, or through the food chain. Contamination with high levels of arsenic is of concern because arsenic can cause a number of human health effects. Several epidemiological studies have reported a strong association between arsenic exposure and increased risks of both carcinogenic and systemic health effects (Christopher </w:t>
      </w:r>
      <w:r>
        <w:rPr>
          <w:i/>
        </w:rPr>
        <w:t>et al</w:t>
      </w:r>
      <w:r>
        <w:rPr/>
        <w:t>., 2009). Interest in the toxicity of arsenic has been heightened by recent reports of large populations in West Bengal, Bangladesh, Thailand, Inner Mongolia, Taiwan, China, Mexico, Argentina, Chile, Finland and Hungary that have been exposed to high concentrations of arsenic in their drinking water and are displaying various clinico-pathological conditions including cardiovascular and peripheral vascular disease, developmental anomalies, neurologic and neuro behavioural disorders, diabetes, hearing loss, portal fibrosis, hematologic disorders (anemia, leukopenia and eosinophilia) and carcinoma. Arsenic exposure affects virtually all organ systems including the cardiovascular, dermatologic, nervous, hepatobilliary, renal, gastro-intestinal, and respiratory systems (Zhang </w:t>
      </w:r>
      <w:r>
        <w:rPr>
          <w:i/>
        </w:rPr>
        <w:t>et al</w:t>
      </w:r>
      <w:r>
        <w:rPr/>
        <w:t>., 2006). Research has also pointed to significantly higher standardized mortality</w:t>
      </w:r>
      <w:r>
        <w:rPr>
          <w:spacing w:val="40"/>
        </w:rPr>
        <w:t> </w:t>
      </w:r>
      <w:r>
        <w:rPr/>
        <w:t>rates</w:t>
      </w:r>
      <w:r>
        <w:rPr>
          <w:spacing w:val="54"/>
        </w:rPr>
        <w:t> </w:t>
      </w:r>
      <w:r>
        <w:rPr/>
        <w:t>for</w:t>
      </w:r>
      <w:r>
        <w:rPr>
          <w:spacing w:val="40"/>
        </w:rPr>
        <w:t> </w:t>
      </w:r>
      <w:r>
        <w:rPr/>
        <w:t>cancers</w:t>
      </w:r>
      <w:r>
        <w:rPr>
          <w:spacing w:val="40"/>
        </w:rPr>
        <w:t> </w:t>
      </w:r>
      <w:r>
        <w:rPr/>
        <w:t>of</w:t>
      </w:r>
      <w:r>
        <w:rPr>
          <w:spacing w:val="40"/>
        </w:rPr>
        <w:t> </w:t>
      </w:r>
      <w:r>
        <w:rPr/>
        <w:t>the</w:t>
      </w:r>
      <w:r>
        <w:rPr>
          <w:spacing w:val="40"/>
        </w:rPr>
        <w:t> </w:t>
      </w:r>
      <w:r>
        <w:rPr/>
        <w:t>bladder,</w:t>
      </w:r>
      <w:r>
        <w:rPr>
          <w:spacing w:val="54"/>
        </w:rPr>
        <w:t> </w:t>
      </w:r>
      <w:r>
        <w:rPr/>
        <w:t>kidney,</w:t>
      </w:r>
      <w:r>
        <w:rPr>
          <w:spacing w:val="54"/>
        </w:rPr>
        <w:t> </w:t>
      </w:r>
      <w:r>
        <w:rPr/>
        <w:t>skin,</w:t>
      </w:r>
      <w:r>
        <w:rPr>
          <w:spacing w:val="54"/>
        </w:rPr>
        <w:t> </w:t>
      </w:r>
      <w:r>
        <w:rPr/>
        <w:t>and</w:t>
      </w:r>
      <w:r>
        <w:rPr>
          <w:spacing w:val="56"/>
        </w:rPr>
        <w:t> </w:t>
      </w:r>
      <w:r>
        <w:rPr/>
        <w:t>liver</w:t>
      </w:r>
      <w:r>
        <w:rPr>
          <w:spacing w:val="58"/>
        </w:rPr>
        <w:t> </w:t>
      </w:r>
      <w:r>
        <w:rPr/>
        <w:t>in</w:t>
      </w:r>
      <w:r>
        <w:rPr>
          <w:spacing w:val="40"/>
        </w:rPr>
        <w:t> </w:t>
      </w:r>
      <w:r>
        <w:rPr/>
        <w:t>many</w:t>
      </w:r>
      <w:r>
        <w:rPr>
          <w:spacing w:val="40"/>
        </w:rPr>
        <w:t> </w:t>
      </w:r>
      <w:r>
        <w:rPr/>
        <w:t>areas</w:t>
      </w:r>
      <w:r>
        <w:rPr>
          <w:spacing w:val="40"/>
        </w:rPr>
        <w:t> </w:t>
      </w:r>
      <w:r>
        <w:rPr/>
        <w:t>of</w:t>
      </w:r>
      <w:r>
        <w:rPr>
          <w:spacing w:val="40"/>
        </w:rPr>
        <w:t> </w:t>
      </w:r>
      <w:r>
        <w:rPr/>
        <w:t>arsenic</w:t>
      </w:r>
    </w:p>
    <w:p>
      <w:pPr>
        <w:spacing w:after="0" w:line="480" w:lineRule="auto"/>
        <w:jc w:val="both"/>
        <w:sectPr>
          <w:pgSz w:w="12240" w:h="15840"/>
          <w:pgMar w:header="0" w:footer="1012" w:top="1360" w:bottom="1200" w:left="1020" w:right="720"/>
        </w:sectPr>
      </w:pPr>
    </w:p>
    <w:p>
      <w:pPr>
        <w:pStyle w:val="BodyText"/>
        <w:spacing w:line="480" w:lineRule="auto" w:before="72"/>
        <w:ind w:left="420" w:right="712"/>
        <w:jc w:val="both"/>
      </w:pPr>
      <w:r>
        <w:rPr/>
        <w:t>pollution. The severity of adverse health effects is related to the chemical form</w:t>
      </w:r>
      <w:r>
        <w:rPr>
          <w:spacing w:val="-5"/>
        </w:rPr>
        <w:t> </w:t>
      </w:r>
      <w:r>
        <w:rPr/>
        <w:t>of</w:t>
      </w:r>
      <w:r>
        <w:rPr>
          <w:spacing w:val="-3"/>
        </w:rPr>
        <w:t> </w:t>
      </w:r>
      <w:r>
        <w:rPr/>
        <w:t>arsenic, and is also time- and dose-dependent (Zhang </w:t>
      </w:r>
      <w:r>
        <w:rPr>
          <w:i/>
        </w:rPr>
        <w:t>et al</w:t>
      </w:r>
      <w:r>
        <w:rPr/>
        <w:t>., 2006). Although the evidence of carcinogenicity of arsenic in humans seems strong, the mechanism by which it produces tumors in humans is not completely</w:t>
      </w:r>
      <w:r>
        <w:rPr>
          <w:spacing w:val="-5"/>
        </w:rPr>
        <w:t> </w:t>
      </w:r>
      <w:r>
        <w:rPr/>
        <w:t>understood. Analyzing the toxic</w:t>
      </w:r>
      <w:r>
        <w:rPr>
          <w:spacing w:val="-1"/>
        </w:rPr>
        <w:t> </w:t>
      </w:r>
      <w:r>
        <w:rPr/>
        <w:t>effects</w:t>
      </w:r>
      <w:r>
        <w:rPr>
          <w:spacing w:val="-2"/>
        </w:rPr>
        <w:t> </w:t>
      </w:r>
      <w:r>
        <w:rPr/>
        <w:t>of</w:t>
      </w:r>
      <w:r>
        <w:rPr>
          <w:spacing w:val="-3"/>
        </w:rPr>
        <w:t> </w:t>
      </w:r>
      <w:r>
        <w:rPr/>
        <w:t>arsenic is complicated because</w:t>
      </w:r>
      <w:r>
        <w:rPr>
          <w:spacing w:val="-1"/>
        </w:rPr>
        <w:t> </w:t>
      </w:r>
      <w:r>
        <w:rPr/>
        <w:t>the toxicity is highly influenced by its oxidation state and solubility, as well as many other intrinsic and extrinsic factors. Several studies have indicated that the toxicity of arsenic depends on the exposure dose, frequency and duration, the biological species, age, and gender, as well as on individual susceptibilities, genetic and nutritional factors (Raji </w:t>
      </w:r>
      <w:r>
        <w:rPr>
          <w:i/>
        </w:rPr>
        <w:t>et al</w:t>
      </w:r>
      <w:r>
        <w:rPr/>
        <w:t>., 2010). Most cases of</w:t>
      </w:r>
      <w:r>
        <w:rPr>
          <w:spacing w:val="80"/>
        </w:rPr>
        <w:t> </w:t>
      </w:r>
      <w:r>
        <w:rPr/>
        <w:t>human toxicity from arsenic have been associated with exposure to inorganic arsenic. Inorganic trivalent arsenite (As</w:t>
      </w:r>
      <w:r>
        <w:rPr>
          <w:vertAlign w:val="superscript"/>
        </w:rPr>
        <w:t>III</w:t>
      </w:r>
      <w:r>
        <w:rPr>
          <w:vertAlign w:val="baseline"/>
        </w:rPr>
        <w:t>) is 2–10 times more toxic than pentavalent arsenate (As</w:t>
      </w:r>
      <w:r>
        <w:rPr>
          <w:vertAlign w:val="superscript"/>
        </w:rPr>
        <w:t>V</w:t>
      </w:r>
      <w:r>
        <w:rPr>
          <w:vertAlign w:val="baseline"/>
        </w:rPr>
        <w:t>). By binding to thiol</w:t>
      </w:r>
      <w:r>
        <w:rPr>
          <w:spacing w:val="-9"/>
          <w:vertAlign w:val="baseline"/>
        </w:rPr>
        <w:t> </w:t>
      </w:r>
      <w:r>
        <w:rPr>
          <w:vertAlign w:val="baseline"/>
        </w:rPr>
        <w:t>or</w:t>
      </w:r>
      <w:r>
        <w:rPr>
          <w:spacing w:val="-3"/>
          <w:vertAlign w:val="baseline"/>
        </w:rPr>
        <w:t> </w:t>
      </w:r>
      <w:r>
        <w:rPr>
          <w:vertAlign w:val="baseline"/>
        </w:rPr>
        <w:t>sulfhydryl</w:t>
      </w:r>
      <w:r>
        <w:rPr>
          <w:spacing w:val="-9"/>
          <w:vertAlign w:val="baseline"/>
        </w:rPr>
        <w:t> </w:t>
      </w:r>
      <w:r>
        <w:rPr>
          <w:vertAlign w:val="baseline"/>
        </w:rPr>
        <w:t>groups</w:t>
      </w:r>
      <w:r>
        <w:rPr>
          <w:spacing w:val="-2"/>
          <w:vertAlign w:val="baseline"/>
        </w:rPr>
        <w:t> </w:t>
      </w:r>
      <w:r>
        <w:rPr>
          <w:vertAlign w:val="baseline"/>
        </w:rPr>
        <w:t>on</w:t>
      </w:r>
      <w:r>
        <w:rPr>
          <w:spacing w:val="-5"/>
          <w:vertAlign w:val="baseline"/>
        </w:rPr>
        <w:t> </w:t>
      </w:r>
      <w:r>
        <w:rPr>
          <w:vertAlign w:val="baseline"/>
        </w:rPr>
        <w:t>proteins, As</w:t>
      </w:r>
      <w:r>
        <w:rPr>
          <w:spacing w:val="-2"/>
          <w:vertAlign w:val="baseline"/>
        </w:rPr>
        <w:t> </w:t>
      </w:r>
      <w:r>
        <w:rPr>
          <w:vertAlign w:val="baseline"/>
        </w:rPr>
        <w:t>(III)</w:t>
      </w:r>
      <w:r>
        <w:rPr>
          <w:spacing w:val="-3"/>
          <w:vertAlign w:val="baseline"/>
        </w:rPr>
        <w:t> </w:t>
      </w:r>
      <w:r>
        <w:rPr>
          <w:vertAlign w:val="baseline"/>
        </w:rPr>
        <w:t>can</w:t>
      </w:r>
      <w:r>
        <w:rPr>
          <w:spacing w:val="-5"/>
          <w:vertAlign w:val="baseline"/>
        </w:rPr>
        <w:t> </w:t>
      </w:r>
      <w:r>
        <w:rPr>
          <w:vertAlign w:val="baseline"/>
        </w:rPr>
        <w:t>inactivate</w:t>
      </w:r>
      <w:r>
        <w:rPr>
          <w:spacing w:val="-2"/>
          <w:vertAlign w:val="baseline"/>
        </w:rPr>
        <w:t> </w:t>
      </w:r>
      <w:r>
        <w:rPr>
          <w:vertAlign w:val="baseline"/>
        </w:rPr>
        <w:t>over 200</w:t>
      </w:r>
      <w:r>
        <w:rPr>
          <w:spacing w:val="-1"/>
          <w:vertAlign w:val="baseline"/>
        </w:rPr>
        <w:t> </w:t>
      </w:r>
      <w:r>
        <w:rPr>
          <w:vertAlign w:val="baseline"/>
        </w:rPr>
        <w:t>enzymes. This is</w:t>
      </w:r>
      <w:r>
        <w:rPr>
          <w:spacing w:val="-2"/>
          <w:vertAlign w:val="baseline"/>
        </w:rPr>
        <w:t> </w:t>
      </w:r>
      <w:r>
        <w:rPr>
          <w:vertAlign w:val="baseline"/>
        </w:rPr>
        <w:t>the likely mechanism responsible for arsenic‟s widespread effects on different organ systems. As (V) can replace phosphate, which is involved in many biochemical pathways (Okoronkwo </w:t>
      </w:r>
      <w:r>
        <w:rPr>
          <w:i/>
          <w:vertAlign w:val="baseline"/>
        </w:rPr>
        <w:t>et al</w:t>
      </w:r>
      <w:r>
        <w:rPr>
          <w:vertAlign w:val="baseline"/>
        </w:rPr>
        <w:t>., 2006). One of</w:t>
      </w:r>
      <w:r>
        <w:rPr>
          <w:spacing w:val="-2"/>
          <w:vertAlign w:val="baseline"/>
        </w:rPr>
        <w:t> </w:t>
      </w:r>
      <w:r>
        <w:rPr>
          <w:vertAlign w:val="baseline"/>
        </w:rPr>
        <w:t>the mechanisms by which arsenic exerts its toxic effect is through impairment of</w:t>
      </w:r>
      <w:r>
        <w:rPr>
          <w:spacing w:val="-2"/>
          <w:vertAlign w:val="baseline"/>
        </w:rPr>
        <w:t> </w:t>
      </w:r>
      <w:r>
        <w:rPr>
          <w:vertAlign w:val="baseline"/>
        </w:rPr>
        <w:t>cellular respiration by the inhibition of various mitochondrial enzymes, and the uncoupling of oxidative phosphorylation. Most toxicity of arsenic results from its ability to interact with sulfhydryl groups of proteins and enzymes, and to substitute phosphorous in a variety of biochemical reactions (Raji </w:t>
      </w:r>
      <w:r>
        <w:rPr>
          <w:i/>
          <w:vertAlign w:val="baseline"/>
        </w:rPr>
        <w:t>et al</w:t>
      </w:r>
      <w:r>
        <w:rPr>
          <w:vertAlign w:val="baseline"/>
        </w:rPr>
        <w:t>., 2010). Arsenic </w:t>
      </w:r>
      <w:r>
        <w:rPr>
          <w:i/>
          <w:vertAlign w:val="baseline"/>
        </w:rPr>
        <w:t>in vitro </w:t>
      </w:r>
      <w:r>
        <w:rPr>
          <w:vertAlign w:val="baseline"/>
        </w:rPr>
        <w:t>reacts with protein sulfhydryl groups to inactivate enzymes, such as dihydrolipoyl dehydrogenase and thiolase, thereby producing inhibited oxidation of pyruvate and betaoxidation of fatty acids . The major metabolic pathway for inorganic arsenic in humans is methylation. Arsenic trioxide is methylated to two major metabolites via a non-enzymatic process to monomethylarsonic acid (MMA), which is further methylated</w:t>
      </w:r>
      <w:r>
        <w:rPr>
          <w:spacing w:val="17"/>
          <w:vertAlign w:val="baseline"/>
        </w:rPr>
        <w:t> </w:t>
      </w:r>
      <w:r>
        <w:rPr>
          <w:vertAlign w:val="baseline"/>
        </w:rPr>
        <w:t>enzymatically</w:t>
      </w:r>
      <w:r>
        <w:rPr>
          <w:spacing w:val="14"/>
          <w:vertAlign w:val="baseline"/>
        </w:rPr>
        <w:t> </w:t>
      </w:r>
      <w:r>
        <w:rPr>
          <w:vertAlign w:val="baseline"/>
        </w:rPr>
        <w:t>to</w:t>
      </w:r>
      <w:r>
        <w:rPr>
          <w:spacing w:val="22"/>
          <w:vertAlign w:val="baseline"/>
        </w:rPr>
        <w:t> </w:t>
      </w:r>
      <w:r>
        <w:rPr>
          <w:vertAlign w:val="baseline"/>
        </w:rPr>
        <w:t>dimethyl</w:t>
      </w:r>
      <w:r>
        <w:rPr>
          <w:spacing w:val="19"/>
          <w:vertAlign w:val="baseline"/>
        </w:rPr>
        <w:t> </w:t>
      </w:r>
      <w:r>
        <w:rPr>
          <w:vertAlign w:val="baseline"/>
        </w:rPr>
        <w:t>arsenic</w:t>
      </w:r>
      <w:r>
        <w:rPr>
          <w:spacing w:val="17"/>
          <w:vertAlign w:val="baseline"/>
        </w:rPr>
        <w:t> </w:t>
      </w:r>
      <w:r>
        <w:rPr>
          <w:vertAlign w:val="baseline"/>
        </w:rPr>
        <w:t>acid</w:t>
      </w:r>
      <w:r>
        <w:rPr>
          <w:spacing w:val="17"/>
          <w:vertAlign w:val="baseline"/>
        </w:rPr>
        <w:t> </w:t>
      </w:r>
      <w:r>
        <w:rPr>
          <w:vertAlign w:val="baseline"/>
        </w:rPr>
        <w:t>(DMA)</w:t>
      </w:r>
      <w:r>
        <w:rPr>
          <w:spacing w:val="24"/>
          <w:vertAlign w:val="baseline"/>
        </w:rPr>
        <w:t> </w:t>
      </w:r>
      <w:r>
        <w:rPr>
          <w:vertAlign w:val="baseline"/>
        </w:rPr>
        <w:t>before</w:t>
      </w:r>
      <w:r>
        <w:rPr>
          <w:spacing w:val="17"/>
          <w:vertAlign w:val="baseline"/>
        </w:rPr>
        <w:t> </w:t>
      </w:r>
      <w:r>
        <w:rPr>
          <w:vertAlign w:val="baseline"/>
        </w:rPr>
        <w:t>excretion</w:t>
      </w:r>
      <w:r>
        <w:rPr>
          <w:spacing w:val="18"/>
          <w:vertAlign w:val="baseline"/>
        </w:rPr>
        <w:t> </w:t>
      </w:r>
      <w:r>
        <w:rPr>
          <w:vertAlign w:val="baseline"/>
        </w:rPr>
        <w:t>in</w:t>
      </w:r>
      <w:r>
        <w:rPr>
          <w:spacing w:val="17"/>
          <w:vertAlign w:val="baseline"/>
        </w:rPr>
        <w:t> </w:t>
      </w:r>
      <w:r>
        <w:rPr>
          <w:vertAlign w:val="baseline"/>
        </w:rPr>
        <w:t>the</w:t>
      </w:r>
      <w:r>
        <w:rPr>
          <w:spacing w:val="17"/>
          <w:vertAlign w:val="baseline"/>
        </w:rPr>
        <w:t> </w:t>
      </w:r>
      <w:r>
        <w:rPr>
          <w:vertAlign w:val="baseline"/>
        </w:rPr>
        <w:t>urine.</w:t>
      </w:r>
      <w:r>
        <w:rPr>
          <w:spacing w:val="20"/>
          <w:vertAlign w:val="baseline"/>
        </w:rPr>
        <w:t> </w:t>
      </w:r>
      <w:r>
        <w:rPr>
          <w:vertAlign w:val="baseline"/>
        </w:rPr>
        <w:t>It</w:t>
      </w:r>
      <w:r>
        <w:rPr>
          <w:spacing w:val="23"/>
          <w:vertAlign w:val="baseline"/>
        </w:rPr>
        <w:t> </w:t>
      </w:r>
      <w:r>
        <w:rPr>
          <w:spacing w:val="-5"/>
          <w:vertAlign w:val="baseline"/>
        </w:rPr>
        <w:t>was</w:t>
      </w:r>
    </w:p>
    <w:p>
      <w:pPr>
        <w:spacing w:after="0" w:line="480" w:lineRule="auto"/>
        <w:jc w:val="both"/>
        <w:sectPr>
          <w:pgSz w:w="12240" w:h="15840"/>
          <w:pgMar w:header="0" w:footer="1012" w:top="1360" w:bottom="1200" w:left="1020" w:right="720"/>
        </w:sectPr>
      </w:pPr>
    </w:p>
    <w:p>
      <w:pPr>
        <w:pStyle w:val="BodyText"/>
        <w:spacing w:line="480" w:lineRule="auto" w:before="72"/>
        <w:ind w:left="420" w:right="712"/>
        <w:jc w:val="both"/>
      </w:pPr>
      <w:r>
        <w:rPr/>
        <w:t>previously thought that this methylation process is a pathway</w:t>
      </w:r>
      <w:r>
        <w:rPr>
          <w:spacing w:val="-5"/>
        </w:rPr>
        <w:t> </w:t>
      </w:r>
      <w:r>
        <w:rPr/>
        <w:t>of</w:t>
      </w:r>
      <w:r>
        <w:rPr>
          <w:spacing w:val="-3"/>
        </w:rPr>
        <w:t> </w:t>
      </w:r>
      <w:r>
        <w:rPr/>
        <w:t>arsenic detoxification, however, recent studies have pointed out that some methylated metabolites may be more toxic than</w:t>
      </w:r>
      <w:r>
        <w:rPr>
          <w:spacing w:val="40"/>
        </w:rPr>
        <w:t> </w:t>
      </w:r>
      <w:r>
        <w:rPr/>
        <w:t>arsenite if they contain trivalent forms of arsenic.Tests for genotoxicity have indicated that arsenic compounds inhibit DNA repair, and induce chromosomal aberrations, sister-chromatid exchanges, and micronuclei formation in both human and rodent cells in culture and in cells of exposed humans (Okoronkwo </w:t>
      </w:r>
      <w:r>
        <w:rPr>
          <w:i/>
        </w:rPr>
        <w:t>et al</w:t>
      </w:r>
      <w:r>
        <w:rPr/>
        <w:t>., 2006).</w:t>
      </w:r>
    </w:p>
    <w:p>
      <w:pPr>
        <w:pStyle w:val="BodyText"/>
        <w:spacing w:before="13"/>
      </w:pPr>
    </w:p>
    <w:p>
      <w:pPr>
        <w:pStyle w:val="Heading2"/>
        <w:numPr>
          <w:ilvl w:val="1"/>
          <w:numId w:val="17"/>
        </w:numPr>
        <w:tabs>
          <w:tab w:pos="1623" w:val="left" w:leader="none"/>
        </w:tabs>
        <w:spacing w:line="240" w:lineRule="auto" w:before="0" w:after="0"/>
        <w:ind w:left="1623" w:right="0" w:hanging="1203"/>
        <w:jc w:val="left"/>
      </w:pPr>
      <w:bookmarkStart w:name="_TOC_250013" w:id="16"/>
      <w:r>
        <w:rPr/>
        <w:t>Heavy</w:t>
      </w:r>
      <w:r>
        <w:rPr>
          <w:spacing w:val="-2"/>
        </w:rPr>
        <w:t> </w:t>
      </w:r>
      <w:r>
        <w:rPr/>
        <w:t>Metal</w:t>
      </w:r>
      <w:r>
        <w:rPr>
          <w:spacing w:val="-1"/>
        </w:rPr>
        <w:t> </w:t>
      </w:r>
      <w:bookmarkEnd w:id="16"/>
      <w:r>
        <w:rPr>
          <w:spacing w:val="-2"/>
        </w:rPr>
        <w:t>Toxicity</w:t>
      </w:r>
    </w:p>
    <w:p>
      <w:pPr>
        <w:pStyle w:val="BodyText"/>
        <w:spacing w:before="274"/>
        <w:rPr>
          <w:b/>
        </w:rPr>
      </w:pPr>
    </w:p>
    <w:p>
      <w:pPr>
        <w:pStyle w:val="BodyText"/>
        <w:spacing w:line="480" w:lineRule="auto" w:before="1"/>
        <w:ind w:left="420" w:right="711"/>
        <w:jc w:val="both"/>
        <w:rPr>
          <w:i/>
        </w:rPr>
      </w:pPr>
      <w:r>
        <w:rPr/>
        <w:t>Heavy metal toxicity is one of the major current environment health problems and is potentially dangerous because of bio-accumulation through the food chain and this can cause hazardous effects</w:t>
      </w:r>
      <w:r>
        <w:rPr>
          <w:spacing w:val="-3"/>
        </w:rPr>
        <w:t> </w:t>
      </w:r>
      <w:r>
        <w:rPr/>
        <w:t>on</w:t>
      </w:r>
      <w:r>
        <w:rPr>
          <w:spacing w:val="-6"/>
        </w:rPr>
        <w:t> </w:t>
      </w:r>
      <w:r>
        <w:rPr/>
        <w:t>livestock</w:t>
      </w:r>
      <w:r>
        <w:rPr>
          <w:spacing w:val="-6"/>
        </w:rPr>
        <w:t> </w:t>
      </w:r>
      <w:r>
        <w:rPr/>
        <w:t>and</w:t>
      </w:r>
      <w:r>
        <w:rPr>
          <w:spacing w:val="-1"/>
        </w:rPr>
        <w:t> </w:t>
      </w:r>
      <w:r>
        <w:rPr/>
        <w:t>human</w:t>
      </w:r>
      <w:r>
        <w:rPr>
          <w:spacing w:val="-1"/>
        </w:rPr>
        <w:t> </w:t>
      </w:r>
      <w:r>
        <w:rPr/>
        <w:t>health</w:t>
      </w:r>
      <w:r>
        <w:rPr>
          <w:spacing w:val="-6"/>
        </w:rPr>
        <w:t> </w:t>
      </w:r>
      <w:r>
        <w:rPr/>
        <w:t>(</w:t>
      </w:r>
      <w:hyperlink r:id="rId8">
        <w:r>
          <w:rPr>
            <w:u w:val="single"/>
          </w:rPr>
          <w:t>Awowunmi </w:t>
        </w:r>
        <w:r>
          <w:rPr>
            <w:i/>
            <w:u w:val="single"/>
          </w:rPr>
          <w:t>et</w:t>
        </w:r>
        <w:r>
          <w:rPr>
            <w:i/>
            <w:spacing w:val="-1"/>
            <w:u w:val="single"/>
          </w:rPr>
          <w:t> </w:t>
        </w:r>
        <w:r>
          <w:rPr>
            <w:i/>
            <w:u w:val="single"/>
          </w:rPr>
          <w:t>al., </w:t>
        </w:r>
        <w:r>
          <w:rPr>
            <w:u w:val="single"/>
          </w:rPr>
          <w:t>2002</w:t>
        </w:r>
      </w:hyperlink>
      <w:r>
        <w:rPr/>
        <w:t>).</w:t>
      </w:r>
      <w:r>
        <w:rPr>
          <w:spacing w:val="-3"/>
        </w:rPr>
        <w:t> </w:t>
      </w:r>
      <w:r>
        <w:rPr/>
        <w:t>In</w:t>
      </w:r>
      <w:r>
        <w:rPr>
          <w:spacing w:val="-6"/>
        </w:rPr>
        <w:t> </w:t>
      </w:r>
      <w:r>
        <w:rPr/>
        <w:t>general, the</w:t>
      </w:r>
      <w:r>
        <w:rPr>
          <w:spacing w:val="-2"/>
        </w:rPr>
        <w:t> </w:t>
      </w:r>
      <w:r>
        <w:rPr/>
        <w:t>hazardous</w:t>
      </w:r>
      <w:r>
        <w:rPr>
          <w:spacing w:val="-3"/>
        </w:rPr>
        <w:t> </w:t>
      </w:r>
      <w:r>
        <w:rPr/>
        <w:t>effects of these toxic elements depends upon the dietary concentration of the element, absorption of the element by the system, homeostatic control of the body for the element and also the species of</w:t>
      </w:r>
      <w:r>
        <w:rPr>
          <w:spacing w:val="40"/>
        </w:rPr>
        <w:t> </w:t>
      </w:r>
      <w:r>
        <w:rPr/>
        <w:t>the animal involved (</w:t>
      </w:r>
      <w:hyperlink r:id="rId9">
        <w:r>
          <w:rPr>
            <w:u w:val="single"/>
          </w:rPr>
          <w:t>Underwood, 1977</w:t>
        </w:r>
      </w:hyperlink>
      <w:r>
        <w:rPr/>
        <w:t>). Heavy metal pollution has become a serious health concern in recent years, because of industrial and agricultural development. </w:t>
      </w:r>
      <w:hyperlink r:id="rId10">
        <w:r>
          <w:rPr/>
          <w:t>Heavy metals</w:t>
        </w:r>
      </w:hyperlink>
      <w:r>
        <w:rPr/>
        <w:t> of industrial bio-waste contaminate drinking water, food and air. The toxic heavy metals of great concern are Cd, Pb and Hg which are usually associated with harmful effects in men and</w:t>
      </w:r>
      <w:r>
        <w:rPr>
          <w:spacing w:val="40"/>
        </w:rPr>
        <w:t> </w:t>
      </w:r>
      <w:r>
        <w:rPr/>
        <w:t>animals. It is recognized that heavy metals may exercise a definite influence on the control of biological</w:t>
      </w:r>
      <w:r>
        <w:rPr>
          <w:spacing w:val="18"/>
        </w:rPr>
        <w:t> </w:t>
      </w:r>
      <w:r>
        <w:rPr/>
        <w:t>functions,</w:t>
      </w:r>
      <w:r>
        <w:rPr>
          <w:spacing w:val="25"/>
        </w:rPr>
        <w:t> </w:t>
      </w:r>
      <w:r>
        <w:rPr/>
        <w:t>affecting</w:t>
      </w:r>
      <w:r>
        <w:rPr>
          <w:spacing w:val="28"/>
        </w:rPr>
        <w:t> </w:t>
      </w:r>
      <w:r>
        <w:rPr/>
        <w:t>hormone</w:t>
      </w:r>
      <w:r>
        <w:rPr>
          <w:spacing w:val="22"/>
        </w:rPr>
        <w:t> </w:t>
      </w:r>
      <w:r>
        <w:rPr/>
        <w:t>system</w:t>
      </w:r>
      <w:r>
        <w:rPr>
          <w:spacing w:val="14"/>
        </w:rPr>
        <w:t> </w:t>
      </w:r>
      <w:r>
        <w:rPr/>
        <w:t>and</w:t>
      </w:r>
      <w:r>
        <w:rPr>
          <w:spacing w:val="24"/>
        </w:rPr>
        <w:t> </w:t>
      </w:r>
      <w:r>
        <w:rPr/>
        <w:t>growth</w:t>
      </w:r>
      <w:r>
        <w:rPr>
          <w:spacing w:val="18"/>
        </w:rPr>
        <w:t> </w:t>
      </w:r>
      <w:r>
        <w:rPr/>
        <w:t>of</w:t>
      </w:r>
      <w:r>
        <w:rPr>
          <w:spacing w:val="16"/>
        </w:rPr>
        <w:t> </w:t>
      </w:r>
      <w:r>
        <w:rPr/>
        <w:t>different</w:t>
      </w:r>
      <w:r>
        <w:rPr>
          <w:spacing w:val="28"/>
        </w:rPr>
        <w:t> </w:t>
      </w:r>
      <w:r>
        <w:rPr/>
        <w:t>body</w:t>
      </w:r>
      <w:r>
        <w:rPr>
          <w:spacing w:val="14"/>
        </w:rPr>
        <w:t> </w:t>
      </w:r>
      <w:r>
        <w:rPr/>
        <w:t>tissues</w:t>
      </w:r>
      <w:r>
        <w:rPr>
          <w:spacing w:val="21"/>
        </w:rPr>
        <w:t> </w:t>
      </w:r>
      <w:r>
        <w:rPr/>
        <w:t>(</w:t>
      </w:r>
      <w:hyperlink r:id="rId11">
        <w:r>
          <w:rPr>
            <w:u w:val="single"/>
          </w:rPr>
          <w:t>Teresa</w:t>
        </w:r>
        <w:r>
          <w:rPr>
            <w:spacing w:val="24"/>
            <w:u w:val="single"/>
          </w:rPr>
          <w:t> </w:t>
        </w:r>
        <w:r>
          <w:rPr>
            <w:i/>
            <w:spacing w:val="-5"/>
            <w:u w:val="single"/>
          </w:rPr>
          <w:t>et</w:t>
        </w:r>
      </w:hyperlink>
    </w:p>
    <w:p>
      <w:pPr>
        <w:pStyle w:val="BodyText"/>
        <w:spacing w:line="482" w:lineRule="auto"/>
        <w:ind w:left="420" w:right="720"/>
        <w:jc w:val="both"/>
      </w:pPr>
      <w:hyperlink r:id="rId11">
        <w:r>
          <w:rPr>
            <w:i/>
            <w:u w:val="single"/>
          </w:rPr>
          <w:t>al</w:t>
        </w:r>
        <w:r>
          <w:rPr>
            <w:u w:val="single"/>
          </w:rPr>
          <w:t>., 1977</w:t>
        </w:r>
      </w:hyperlink>
      <w:r>
        <w:rPr/>
        <w:t>). Many heavy metals</w:t>
      </w:r>
      <w:r>
        <w:rPr>
          <w:spacing w:val="-1"/>
        </w:rPr>
        <w:t> </w:t>
      </w:r>
      <w:r>
        <w:rPr/>
        <w:t>accumulate in</w:t>
      </w:r>
      <w:r>
        <w:rPr>
          <w:spacing w:val="-4"/>
        </w:rPr>
        <w:t> </w:t>
      </w:r>
      <w:r>
        <w:rPr/>
        <w:t>one or more of</w:t>
      </w:r>
      <w:r>
        <w:rPr>
          <w:spacing w:val="-7"/>
        </w:rPr>
        <w:t> </w:t>
      </w:r>
      <w:r>
        <w:rPr/>
        <w:t>the body</w:t>
      </w:r>
      <w:r>
        <w:rPr>
          <w:spacing w:val="-4"/>
        </w:rPr>
        <w:t> </w:t>
      </w:r>
      <w:r>
        <w:rPr/>
        <w:t>organs</w:t>
      </w:r>
      <w:r>
        <w:rPr>
          <w:spacing w:val="-1"/>
        </w:rPr>
        <w:t> </w:t>
      </w:r>
      <w:r>
        <w:rPr/>
        <w:t>with</w:t>
      </w:r>
      <w:r>
        <w:rPr>
          <w:spacing w:val="-4"/>
        </w:rPr>
        <w:t> </w:t>
      </w:r>
      <w:r>
        <w:rPr/>
        <w:t>differing half- lives. These heavy metals apart from acute or chronic poisoning can be transferred to next generation and have potential toxicity from the viewpoint of public health.</w:t>
      </w:r>
    </w:p>
    <w:p>
      <w:pPr>
        <w:pStyle w:val="BodyText"/>
        <w:spacing w:before="1"/>
      </w:pPr>
    </w:p>
    <w:p>
      <w:pPr>
        <w:pStyle w:val="Heading2"/>
        <w:numPr>
          <w:ilvl w:val="1"/>
          <w:numId w:val="17"/>
        </w:numPr>
        <w:tabs>
          <w:tab w:pos="1263" w:val="left" w:leader="none"/>
        </w:tabs>
        <w:spacing w:line="240" w:lineRule="auto" w:before="0" w:after="0"/>
        <w:ind w:left="1263" w:right="0" w:hanging="843"/>
        <w:jc w:val="left"/>
      </w:pPr>
      <w:bookmarkStart w:name="_TOC_250012" w:id="17"/>
      <w:r>
        <w:rPr/>
        <w:t>Sources</w:t>
      </w:r>
      <w:r>
        <w:rPr>
          <w:spacing w:val="-2"/>
        </w:rPr>
        <w:t> </w:t>
      </w:r>
      <w:r>
        <w:rPr/>
        <w:t>of</w:t>
      </w:r>
      <w:r>
        <w:rPr>
          <w:spacing w:val="-2"/>
        </w:rPr>
        <w:t> </w:t>
      </w:r>
      <w:r>
        <w:rPr/>
        <w:t>Heavy Metal</w:t>
      </w:r>
      <w:r>
        <w:rPr>
          <w:spacing w:val="-4"/>
        </w:rPr>
        <w:t> </w:t>
      </w:r>
      <w:bookmarkEnd w:id="17"/>
      <w:r>
        <w:rPr>
          <w:spacing w:val="-2"/>
        </w:rPr>
        <w:t>Contamination</w:t>
      </w:r>
    </w:p>
    <w:p>
      <w:pPr>
        <w:spacing w:after="0" w:line="240" w:lineRule="auto"/>
        <w:jc w:val="left"/>
        <w:sectPr>
          <w:pgSz w:w="12240" w:h="15840"/>
          <w:pgMar w:header="0" w:footer="1012" w:top="1360" w:bottom="1200" w:left="1020" w:right="720"/>
        </w:sectPr>
      </w:pPr>
    </w:p>
    <w:p>
      <w:pPr>
        <w:pStyle w:val="ListParagraph"/>
        <w:numPr>
          <w:ilvl w:val="2"/>
          <w:numId w:val="17"/>
        </w:numPr>
        <w:tabs>
          <w:tab w:pos="1143" w:val="left" w:leader="none"/>
        </w:tabs>
        <w:spacing w:line="240" w:lineRule="auto" w:before="77" w:after="0"/>
        <w:ind w:left="1143" w:right="0" w:hanging="723"/>
        <w:jc w:val="left"/>
        <w:rPr>
          <w:sz w:val="24"/>
        </w:rPr>
      </w:pPr>
      <w:r>
        <w:rPr>
          <w:sz w:val="24"/>
        </w:rPr>
        <w:t>Heavy</w:t>
      </w:r>
      <w:r>
        <w:rPr>
          <w:spacing w:val="-9"/>
          <w:sz w:val="24"/>
        </w:rPr>
        <w:t> </w:t>
      </w:r>
      <w:r>
        <w:rPr>
          <w:sz w:val="24"/>
        </w:rPr>
        <w:t>metals</w:t>
      </w:r>
      <w:r>
        <w:rPr>
          <w:spacing w:val="-1"/>
          <w:sz w:val="24"/>
        </w:rPr>
        <w:t> </w:t>
      </w:r>
      <w:r>
        <w:rPr>
          <w:sz w:val="24"/>
        </w:rPr>
        <w:t>in</w:t>
      </w:r>
      <w:r>
        <w:rPr>
          <w:spacing w:val="-8"/>
          <w:sz w:val="24"/>
        </w:rPr>
        <w:t> </w:t>
      </w:r>
      <w:r>
        <w:rPr>
          <w:spacing w:val="-4"/>
          <w:sz w:val="24"/>
        </w:rPr>
        <w:t>water</w:t>
      </w:r>
    </w:p>
    <w:p>
      <w:pPr>
        <w:pStyle w:val="BodyText"/>
        <w:spacing w:before="273"/>
      </w:pPr>
    </w:p>
    <w:p>
      <w:pPr>
        <w:pStyle w:val="BodyText"/>
        <w:spacing w:line="480" w:lineRule="auto"/>
        <w:ind w:left="420" w:right="712"/>
        <w:jc w:val="both"/>
      </w:pPr>
      <w:r>
        <w:rPr/>
        <w:t>Pollution of water bodies with heavy metals from variety of sources is becoming a matter of global concern (Dike </w:t>
      </w:r>
      <w:r>
        <w:rPr>
          <w:i/>
        </w:rPr>
        <w:t>et al</w:t>
      </w:r>
      <w:r>
        <w:rPr/>
        <w:t>., 2004). Though effects of chemical contamination of drinking water are</w:t>
      </w:r>
      <w:r>
        <w:rPr>
          <w:spacing w:val="-1"/>
        </w:rPr>
        <w:t> </w:t>
      </w:r>
      <w:r>
        <w:rPr/>
        <w:t>not felt on short-term</w:t>
      </w:r>
      <w:r>
        <w:rPr>
          <w:spacing w:val="-5"/>
        </w:rPr>
        <w:t> </w:t>
      </w:r>
      <w:r>
        <w:rPr/>
        <w:t>bases, their accumulation</w:t>
      </w:r>
      <w:r>
        <w:rPr>
          <w:spacing w:val="-5"/>
        </w:rPr>
        <w:t> </w:t>
      </w:r>
      <w:r>
        <w:rPr/>
        <w:t>over a long period in the body</w:t>
      </w:r>
      <w:r>
        <w:rPr>
          <w:spacing w:val="-5"/>
        </w:rPr>
        <w:t> </w:t>
      </w:r>
      <w:r>
        <w:rPr/>
        <w:t>has</w:t>
      </w:r>
      <w:r>
        <w:rPr>
          <w:spacing w:val="-2"/>
        </w:rPr>
        <w:t> </w:t>
      </w:r>
      <w:r>
        <w:rPr/>
        <w:t>significant health effects (Musa </w:t>
      </w:r>
      <w:r>
        <w:rPr>
          <w:i/>
        </w:rPr>
        <w:t>et al</w:t>
      </w:r>
      <w:r>
        <w:rPr/>
        <w:t>., 2004). Water contamination by heavy metals in some areas is practically inevitable due to natural process (weathering of rocks) and anthropogenic activities (industrial, agricultural and domestic effluents) (Sawidis </w:t>
      </w:r>
      <w:r>
        <w:rPr>
          <w:i/>
        </w:rPr>
        <w:t>et al.</w:t>
      </w:r>
      <w:r>
        <w:rPr/>
        <w:t>, 2001). Rivers passing along</w:t>
      </w:r>
      <w:r>
        <w:rPr>
          <w:spacing w:val="40"/>
        </w:rPr>
        <w:t> </w:t>
      </w:r>
      <w:r>
        <w:rPr/>
        <w:t>urban centers are used for irrigation of the vegetables grown on their banks.</w:t>
      </w:r>
      <w:r>
        <w:rPr>
          <w:spacing w:val="40"/>
        </w:rPr>
        <w:t> </w:t>
      </w:r>
      <w:r>
        <w:rPr/>
        <w:t>Waters of such rivers have often been reported to be polluted by heavy metal and most of these lands are contaminated with heavy metals through industrial effluents, sewage and sludge, and vehicular emission. Vegetables grown in such lands, therefore, are likely to be contaminated with heavy metals and unsafe for consumption (Singh </w:t>
      </w:r>
      <w:r>
        <w:rPr>
          <w:i/>
        </w:rPr>
        <w:t>et al., </w:t>
      </w:r>
      <w:r>
        <w:rPr/>
        <w:t>2012). Industrial or municipal waste water is mostly</w:t>
      </w:r>
      <w:r>
        <w:rPr>
          <w:spacing w:val="-4"/>
        </w:rPr>
        <w:t> </w:t>
      </w:r>
      <w:r>
        <w:rPr/>
        <w:t>used for irrigation</w:t>
      </w:r>
      <w:r>
        <w:rPr>
          <w:spacing w:val="-4"/>
        </w:rPr>
        <w:t> </w:t>
      </w:r>
      <w:r>
        <w:rPr/>
        <w:t>of</w:t>
      </w:r>
      <w:r>
        <w:rPr>
          <w:spacing w:val="-7"/>
        </w:rPr>
        <w:t> </w:t>
      </w:r>
      <w:r>
        <w:rPr/>
        <w:t>crops mainly in per urban</w:t>
      </w:r>
      <w:r>
        <w:rPr>
          <w:spacing w:val="-4"/>
        </w:rPr>
        <w:t> </w:t>
      </w:r>
      <w:r>
        <w:rPr/>
        <w:t>ecosystem. This is because waste water is easily available coupled with disposal problems and scarcity of fresh water (Atora </w:t>
      </w:r>
      <w:r>
        <w:rPr>
          <w:i/>
        </w:rPr>
        <w:t>et al</w:t>
      </w:r>
      <w:r>
        <w:rPr/>
        <w:t>., 2008). The waste water from</w:t>
      </w:r>
      <w:r>
        <w:rPr>
          <w:spacing w:val="-5"/>
        </w:rPr>
        <w:t> </w:t>
      </w:r>
      <w:r>
        <w:rPr/>
        <w:t>the industries of mining, electroplating, and paint or chemical laboratories often contains high concentrations of heavy metals, including cadmium, copper and lead. These elements, at concentrations exceeding the physiological demand of the plants, not only could administer toxic effect in them but also could enter food chains, get biomagnified and pose a potential threat to human health (Sawidis </w:t>
      </w:r>
      <w:r>
        <w:rPr>
          <w:i/>
        </w:rPr>
        <w:t>et al., </w:t>
      </w:r>
      <w:r>
        <w:rPr/>
        <w:t>2001). Waste water is known to contribute significantly to the heavy metal contents of soils; hence disposal of sewage and industrial waste into agricultural lands leads to contamination of crops including vegetables grown on that land. This is because these effluents that are considered a rich source of organic matter and other nutrients</w:t>
      </w:r>
      <w:r>
        <w:rPr>
          <w:spacing w:val="39"/>
        </w:rPr>
        <w:t> </w:t>
      </w:r>
      <w:r>
        <w:rPr/>
        <w:t>also</w:t>
      </w:r>
      <w:r>
        <w:rPr>
          <w:spacing w:val="40"/>
        </w:rPr>
        <w:t> </w:t>
      </w:r>
      <w:r>
        <w:rPr/>
        <w:t>have</w:t>
      </w:r>
      <w:r>
        <w:rPr>
          <w:spacing w:val="40"/>
        </w:rPr>
        <w:t> </w:t>
      </w:r>
      <w:r>
        <w:rPr/>
        <w:t>high</w:t>
      </w:r>
      <w:r>
        <w:rPr>
          <w:spacing w:val="40"/>
        </w:rPr>
        <w:t> </w:t>
      </w:r>
      <w:r>
        <w:rPr/>
        <w:t>levels</w:t>
      </w:r>
      <w:r>
        <w:rPr>
          <w:spacing w:val="39"/>
        </w:rPr>
        <w:t> </w:t>
      </w:r>
      <w:r>
        <w:rPr/>
        <w:t>of</w:t>
      </w:r>
      <w:r>
        <w:rPr>
          <w:spacing w:val="33"/>
        </w:rPr>
        <w:t> </w:t>
      </w:r>
      <w:r>
        <w:rPr/>
        <w:t>heavy</w:t>
      </w:r>
      <w:r>
        <w:rPr>
          <w:spacing w:val="36"/>
        </w:rPr>
        <w:t> </w:t>
      </w:r>
      <w:r>
        <w:rPr/>
        <w:t>metals</w:t>
      </w:r>
      <w:r>
        <w:rPr>
          <w:spacing w:val="39"/>
        </w:rPr>
        <w:t> </w:t>
      </w:r>
      <w:r>
        <w:rPr/>
        <w:t>such</w:t>
      </w:r>
      <w:r>
        <w:rPr>
          <w:spacing w:val="36"/>
        </w:rPr>
        <w:t> </w:t>
      </w:r>
      <w:r>
        <w:rPr/>
        <w:t>as</w:t>
      </w:r>
      <w:r>
        <w:rPr>
          <w:spacing w:val="40"/>
        </w:rPr>
        <w:t> </w:t>
      </w:r>
      <w:r>
        <w:rPr/>
        <w:t>iron,</w:t>
      </w:r>
      <w:r>
        <w:rPr>
          <w:spacing w:val="40"/>
        </w:rPr>
        <w:t> </w:t>
      </w:r>
      <w:r>
        <w:rPr/>
        <w:t>manganese,</w:t>
      </w:r>
      <w:r>
        <w:rPr>
          <w:spacing w:val="40"/>
        </w:rPr>
        <w:t> </w:t>
      </w:r>
      <w:r>
        <w:rPr/>
        <w:t>copper,</w:t>
      </w:r>
      <w:r>
        <w:rPr>
          <w:spacing w:val="38"/>
        </w:rPr>
        <w:t> </w:t>
      </w:r>
      <w:r>
        <w:rPr/>
        <w:t>zinc,</w:t>
      </w:r>
      <w:r>
        <w:rPr>
          <w:spacing w:val="40"/>
        </w:rPr>
        <w:t> </w:t>
      </w:r>
      <w:r>
        <w:rPr/>
        <w:t>lead,</w:t>
      </w:r>
    </w:p>
    <w:p>
      <w:pPr>
        <w:spacing w:after="0" w:line="480" w:lineRule="auto"/>
        <w:jc w:val="both"/>
        <w:sectPr>
          <w:pgSz w:w="12240" w:h="15840"/>
          <w:pgMar w:header="0" w:footer="1012" w:top="1360" w:bottom="1200" w:left="1020" w:right="720"/>
        </w:sectPr>
      </w:pPr>
    </w:p>
    <w:p>
      <w:pPr>
        <w:pStyle w:val="BodyText"/>
        <w:spacing w:line="480" w:lineRule="auto" w:before="72"/>
        <w:ind w:left="420" w:right="714"/>
        <w:jc w:val="both"/>
      </w:pPr>
      <w:r>
        <w:rPr/>
        <w:t>cadmium, nickel</w:t>
      </w:r>
      <w:r>
        <w:rPr>
          <w:spacing w:val="-10"/>
        </w:rPr>
        <w:t> </w:t>
      </w:r>
      <w:r>
        <w:rPr/>
        <w:t>and</w:t>
      </w:r>
      <w:r>
        <w:rPr>
          <w:spacing w:val="-1"/>
        </w:rPr>
        <w:t> </w:t>
      </w:r>
      <w:r>
        <w:rPr/>
        <w:t>cobalt. About five million</w:t>
      </w:r>
      <w:r>
        <w:rPr>
          <w:spacing w:val="-6"/>
        </w:rPr>
        <w:t> </w:t>
      </w:r>
      <w:r>
        <w:rPr/>
        <w:t>people</w:t>
      </w:r>
      <w:r>
        <w:rPr>
          <w:spacing w:val="-2"/>
        </w:rPr>
        <w:t> </w:t>
      </w:r>
      <w:r>
        <w:rPr/>
        <w:t>die</w:t>
      </w:r>
      <w:r>
        <w:rPr>
          <w:spacing w:val="-2"/>
        </w:rPr>
        <w:t> </w:t>
      </w:r>
      <w:r>
        <w:rPr/>
        <w:t>of</w:t>
      </w:r>
      <w:r>
        <w:rPr>
          <w:spacing w:val="-9"/>
        </w:rPr>
        <w:t> </w:t>
      </w:r>
      <w:r>
        <w:rPr/>
        <w:t>diseases</w:t>
      </w:r>
      <w:r>
        <w:rPr>
          <w:spacing w:val="-3"/>
        </w:rPr>
        <w:t> </w:t>
      </w:r>
      <w:r>
        <w:rPr/>
        <w:t>caused</w:t>
      </w:r>
      <w:r>
        <w:rPr>
          <w:spacing w:val="-1"/>
        </w:rPr>
        <w:t> </w:t>
      </w:r>
      <w:r>
        <w:rPr/>
        <w:t>by</w:t>
      </w:r>
      <w:r>
        <w:rPr>
          <w:spacing w:val="-6"/>
        </w:rPr>
        <w:t> </w:t>
      </w:r>
      <w:r>
        <w:rPr/>
        <w:t>drinking impure water and the incidence of</w:t>
      </w:r>
      <w:r>
        <w:rPr>
          <w:spacing w:val="-3"/>
        </w:rPr>
        <w:t> </w:t>
      </w:r>
      <w:r>
        <w:rPr/>
        <w:t>water pollution from</w:t>
      </w:r>
      <w:r>
        <w:rPr>
          <w:spacing w:val="-5"/>
        </w:rPr>
        <w:t> </w:t>
      </w:r>
      <w:r>
        <w:rPr/>
        <w:t>heavy metals has</w:t>
      </w:r>
      <w:r>
        <w:rPr>
          <w:spacing w:val="-2"/>
        </w:rPr>
        <w:t> </w:t>
      </w:r>
      <w:r>
        <w:rPr/>
        <w:t>reached such an</w:t>
      </w:r>
      <w:r>
        <w:rPr>
          <w:spacing w:val="-5"/>
        </w:rPr>
        <w:t> </w:t>
      </w:r>
      <w:r>
        <w:rPr/>
        <w:t>alarming level that environmentalists</w:t>
      </w:r>
      <w:r>
        <w:rPr>
          <w:spacing w:val="-1"/>
        </w:rPr>
        <w:t> </w:t>
      </w:r>
      <w:r>
        <w:rPr/>
        <w:t>are finding it difficult to enforce effective control</w:t>
      </w:r>
      <w:r>
        <w:rPr>
          <w:spacing w:val="-3"/>
        </w:rPr>
        <w:t> </w:t>
      </w:r>
      <w:r>
        <w:rPr/>
        <w:t>measures</w:t>
      </w:r>
      <w:r>
        <w:rPr>
          <w:spacing w:val="-1"/>
        </w:rPr>
        <w:t> </w:t>
      </w:r>
      <w:r>
        <w:rPr/>
        <w:t>(</w:t>
      </w:r>
      <w:hyperlink r:id="rId12">
        <w:r>
          <w:rPr>
            <w:rFonts w:ascii="Calibri"/>
            <w:u w:val="single"/>
          </w:rPr>
          <w:t>WHO, 1995</w:t>
        </w:r>
      </w:hyperlink>
      <w:r>
        <w:rPr/>
        <w:t>). The non-essential heavy metals have, directly or indirectly, an adverse effect on biological activities. The presence of these metals in water degrades their quality, which eventually affects human health. Even the essential metals at higher concentration are toxic. The livestock systems are prone to general problems of pollution emanating from industrial activity. The extent of heavy metal contamination which was higher in untreated sewage water of Musi River near Hyderabad, India was studied by (</w:t>
      </w:r>
      <w:hyperlink r:id="rId13">
        <w:r>
          <w:rPr>
            <w:rFonts w:ascii="Calibri"/>
            <w:u w:val="single"/>
          </w:rPr>
          <w:t>Raji </w:t>
        </w:r>
        <w:r>
          <w:rPr>
            <w:rFonts w:ascii="Calibri"/>
            <w:i/>
            <w:u w:val="single"/>
          </w:rPr>
          <w:t>et al</w:t>
        </w:r>
        <w:r>
          <w:rPr>
            <w:rFonts w:ascii="Calibri"/>
            <w:u w:val="single"/>
          </w:rPr>
          <w:t>., 2010)</w:t>
        </w:r>
        <w:r>
          <w:rPr/>
          <w:t>.</w:t>
        </w:r>
      </w:hyperlink>
      <w:r>
        <w:rPr/>
        <w:t> Sewage water collected all along the Musi river</w:t>
      </w:r>
      <w:r>
        <w:rPr>
          <w:spacing w:val="-1"/>
        </w:rPr>
        <w:t> </w:t>
      </w:r>
      <w:r>
        <w:rPr/>
        <w:t>at different sites</w:t>
      </w:r>
      <w:r>
        <w:rPr>
          <w:spacing w:val="-4"/>
        </w:rPr>
        <w:t> </w:t>
      </w:r>
      <w:r>
        <w:rPr/>
        <w:t>was</w:t>
      </w:r>
      <w:r>
        <w:rPr>
          <w:spacing w:val="-4"/>
        </w:rPr>
        <w:t> </w:t>
      </w:r>
      <w:r>
        <w:rPr/>
        <w:t>contaminated</w:t>
      </w:r>
      <w:r>
        <w:rPr>
          <w:spacing w:val="-2"/>
        </w:rPr>
        <w:t> </w:t>
      </w:r>
      <w:r>
        <w:rPr/>
        <w:t>with</w:t>
      </w:r>
      <w:r>
        <w:rPr>
          <w:spacing w:val="-7"/>
        </w:rPr>
        <w:t> </w:t>
      </w:r>
      <w:r>
        <w:rPr/>
        <w:t>Cd, Cr, Ni, Pb, Co, Zn, Cu, Fe</w:t>
      </w:r>
      <w:r>
        <w:rPr>
          <w:spacing w:val="-3"/>
        </w:rPr>
        <w:t> </w:t>
      </w:r>
      <w:r>
        <w:rPr/>
        <w:t>and</w:t>
      </w:r>
      <w:r>
        <w:rPr>
          <w:spacing w:val="-2"/>
        </w:rPr>
        <w:t> </w:t>
      </w:r>
      <w:r>
        <w:rPr/>
        <w:t>Mn</w:t>
      </w:r>
      <w:r>
        <w:rPr>
          <w:spacing w:val="-7"/>
        </w:rPr>
        <w:t> </w:t>
      </w:r>
      <w:r>
        <w:rPr/>
        <w:t>with</w:t>
      </w:r>
      <w:r>
        <w:rPr>
          <w:spacing w:val="-7"/>
        </w:rPr>
        <w:t> </w:t>
      </w:r>
      <w:r>
        <w:rPr/>
        <w:t>a mean content of 0.025, traces, 0.062, 0.21, 0.053, 0.003, 0.011 ppm, traces respectively. Samples analyzed had excess amounts of heavy metals than the WHO permissible limits. In the same state, </w:t>
      </w:r>
      <w:hyperlink r:id="rId14">
        <w:r>
          <w:rPr>
            <w:rFonts w:ascii="Calibri"/>
            <w:u w:val="single"/>
          </w:rPr>
          <w:t>Bhat and Krishnamachari (1980)</w:t>
        </w:r>
      </w:hyperlink>
      <w:r>
        <w:rPr>
          <w:rFonts w:ascii="Calibri"/>
        </w:rPr>
        <w:t> </w:t>
      </w:r>
      <w:r>
        <w:rPr/>
        <w:t>measured the Pb concentration in well water which contained 0.1 to</w:t>
      </w:r>
      <w:r>
        <w:rPr>
          <w:spacing w:val="19"/>
        </w:rPr>
        <w:t> </w:t>
      </w:r>
      <w:r>
        <w:rPr/>
        <w:t>1.5 ppm of Pb). The distribution and characterization of heavy metals in water</w:t>
      </w:r>
      <w:r>
        <w:rPr>
          <w:spacing w:val="40"/>
        </w:rPr>
        <w:t> </w:t>
      </w:r>
      <w:r>
        <w:rPr/>
        <w:t>in Jeedimetla industrial area in Andhra Pradesh showed concentration of some of the trace elements as follows: As (1.5- 23.3 ppb), Cu (4.2 -13.7 ppb), Cd (0.60-31.8 ppb) and Pb (0.10- 0.50</w:t>
      </w:r>
      <w:r>
        <w:rPr>
          <w:spacing w:val="-1"/>
        </w:rPr>
        <w:t> </w:t>
      </w:r>
      <w:r>
        <w:rPr/>
        <w:t>ppb). The</w:t>
      </w:r>
      <w:r>
        <w:rPr>
          <w:spacing w:val="-2"/>
        </w:rPr>
        <w:t> </w:t>
      </w:r>
      <w:r>
        <w:rPr/>
        <w:t>concentration</w:t>
      </w:r>
      <w:r>
        <w:rPr>
          <w:spacing w:val="-6"/>
        </w:rPr>
        <w:t> </w:t>
      </w:r>
      <w:r>
        <w:rPr/>
        <w:t>of</w:t>
      </w:r>
      <w:r>
        <w:rPr>
          <w:spacing w:val="-9"/>
        </w:rPr>
        <w:t> </w:t>
      </w:r>
      <w:r>
        <w:rPr/>
        <w:t>these</w:t>
      </w:r>
      <w:r>
        <w:rPr>
          <w:spacing w:val="-2"/>
        </w:rPr>
        <w:t> </w:t>
      </w:r>
      <w:r>
        <w:rPr/>
        <w:t>elements</w:t>
      </w:r>
      <w:r>
        <w:rPr>
          <w:spacing w:val="-3"/>
        </w:rPr>
        <w:t> </w:t>
      </w:r>
      <w:r>
        <w:rPr/>
        <w:t>was found</w:t>
      </w:r>
      <w:r>
        <w:rPr>
          <w:spacing w:val="-1"/>
        </w:rPr>
        <w:t> </w:t>
      </w:r>
      <w:r>
        <w:rPr/>
        <w:t>to be far above</w:t>
      </w:r>
      <w:r>
        <w:rPr>
          <w:spacing w:val="-2"/>
        </w:rPr>
        <w:t> </w:t>
      </w:r>
      <w:r>
        <w:rPr/>
        <w:t>the</w:t>
      </w:r>
      <w:r>
        <w:rPr>
          <w:spacing w:val="-2"/>
        </w:rPr>
        <w:t> </w:t>
      </w:r>
      <w:r>
        <w:rPr/>
        <w:t>permissible level</w:t>
      </w:r>
      <w:r>
        <w:rPr>
          <w:spacing w:val="-6"/>
        </w:rPr>
        <w:t> </w:t>
      </w:r>
      <w:r>
        <w:rPr/>
        <w:t>in water (</w:t>
      </w:r>
      <w:hyperlink r:id="rId15">
        <w:r>
          <w:rPr>
            <w:rFonts w:ascii="Calibri"/>
            <w:u w:val="single"/>
          </w:rPr>
          <w:t>Govil, 2001</w:t>
        </w:r>
      </w:hyperlink>
      <w:r>
        <w:rPr/>
        <w:t>). In another study, </w:t>
      </w:r>
      <w:hyperlink r:id="rId16">
        <w:r>
          <w:rPr>
            <w:rFonts w:ascii="Calibri"/>
            <w:u w:val="single"/>
          </w:rPr>
          <w:t>Piska </w:t>
        </w:r>
        <w:r>
          <w:rPr>
            <w:rFonts w:ascii="Calibri"/>
            <w:i/>
            <w:u w:val="single"/>
          </w:rPr>
          <w:t>et al</w:t>
        </w:r>
        <w:r>
          <w:rPr>
            <w:rFonts w:ascii="Calibri"/>
            <w:u w:val="single"/>
          </w:rPr>
          <w:t>. (2004)</w:t>
        </w:r>
      </w:hyperlink>
      <w:r>
        <w:rPr>
          <w:rFonts w:ascii="Calibri"/>
        </w:rPr>
        <w:t> </w:t>
      </w:r>
      <w:r>
        <w:rPr/>
        <w:t>assessed the heavy metal pollution and its toxic effect on ground water quality of Jeedimetla in Andhra Pradesh and found that the concentration</w:t>
      </w:r>
      <w:r>
        <w:rPr>
          <w:spacing w:val="-5"/>
        </w:rPr>
        <w:t> </w:t>
      </w:r>
      <w:r>
        <w:rPr/>
        <w:t>of</w:t>
      </w:r>
      <w:r>
        <w:rPr>
          <w:spacing w:val="-3"/>
        </w:rPr>
        <w:t> </w:t>
      </w:r>
      <w:r>
        <w:rPr/>
        <w:t>heavy metals</w:t>
      </w:r>
      <w:r>
        <w:rPr>
          <w:spacing w:val="-2"/>
        </w:rPr>
        <w:t> </w:t>
      </w:r>
      <w:r>
        <w:rPr/>
        <w:t>were</w:t>
      </w:r>
      <w:r>
        <w:rPr>
          <w:spacing w:val="-1"/>
        </w:rPr>
        <w:t> </w:t>
      </w:r>
      <w:r>
        <w:rPr/>
        <w:t>above</w:t>
      </w:r>
      <w:r>
        <w:rPr>
          <w:spacing w:val="-1"/>
        </w:rPr>
        <w:t> </w:t>
      </w:r>
      <w:r>
        <w:rPr/>
        <w:t>the</w:t>
      </w:r>
      <w:r>
        <w:rPr>
          <w:spacing w:val="-1"/>
        </w:rPr>
        <w:t> </w:t>
      </w:r>
      <w:r>
        <w:rPr/>
        <w:t>permissible limits</w:t>
      </w:r>
      <w:r>
        <w:rPr>
          <w:spacing w:val="-2"/>
        </w:rPr>
        <w:t> </w:t>
      </w:r>
      <w:r>
        <w:rPr/>
        <w:t>of</w:t>
      </w:r>
      <w:r>
        <w:rPr>
          <w:spacing w:val="-3"/>
        </w:rPr>
        <w:t> </w:t>
      </w:r>
      <w:r>
        <w:rPr/>
        <w:t>WHO. The</w:t>
      </w:r>
      <w:r>
        <w:rPr>
          <w:spacing w:val="-1"/>
        </w:rPr>
        <w:t> </w:t>
      </w:r>
      <w:r>
        <w:rPr/>
        <w:t>ground water was highly polluted and was unfit for domestic, irrigation and fishery uses. The concentration of As from water tube wells in a residential area polluted due to industrial effluent discharge from a chemical</w:t>
      </w:r>
      <w:r>
        <w:rPr>
          <w:spacing w:val="20"/>
        </w:rPr>
        <w:t> </w:t>
      </w:r>
      <w:r>
        <w:rPr/>
        <w:t>factory</w:t>
      </w:r>
      <w:r>
        <w:rPr>
          <w:spacing w:val="20"/>
        </w:rPr>
        <w:t> </w:t>
      </w:r>
      <w:r>
        <w:rPr/>
        <w:t>in</w:t>
      </w:r>
      <w:r>
        <w:rPr>
          <w:spacing w:val="20"/>
        </w:rPr>
        <w:t> </w:t>
      </w:r>
      <w:r>
        <w:rPr/>
        <w:t>Calcutta,</w:t>
      </w:r>
      <w:r>
        <w:rPr>
          <w:spacing w:val="23"/>
        </w:rPr>
        <w:t> </w:t>
      </w:r>
      <w:r>
        <w:rPr/>
        <w:t>India,</w:t>
      </w:r>
      <w:r>
        <w:rPr>
          <w:spacing w:val="27"/>
        </w:rPr>
        <w:t> </w:t>
      </w:r>
      <w:r>
        <w:rPr/>
        <w:t>ranged</w:t>
      </w:r>
      <w:r>
        <w:rPr>
          <w:spacing w:val="29"/>
        </w:rPr>
        <w:t> </w:t>
      </w:r>
      <w:r>
        <w:rPr/>
        <w:t>from</w:t>
      </w:r>
      <w:r>
        <w:rPr>
          <w:spacing w:val="16"/>
        </w:rPr>
        <w:t> </w:t>
      </w:r>
      <w:r>
        <w:rPr/>
        <w:t>0.05</w:t>
      </w:r>
      <w:r>
        <w:rPr>
          <w:spacing w:val="21"/>
        </w:rPr>
        <w:t> </w:t>
      </w:r>
      <w:r>
        <w:rPr/>
        <w:t>to</w:t>
      </w:r>
      <w:r>
        <w:rPr>
          <w:spacing w:val="30"/>
        </w:rPr>
        <w:t> </w:t>
      </w:r>
      <w:r>
        <w:rPr/>
        <w:t>23.08</w:t>
      </w:r>
      <w:r>
        <w:rPr>
          <w:spacing w:val="25"/>
        </w:rPr>
        <w:t> </w:t>
      </w:r>
      <w:r>
        <w:rPr/>
        <w:t>ppm</w:t>
      </w:r>
      <w:r>
        <w:rPr>
          <w:spacing w:val="17"/>
        </w:rPr>
        <w:t> </w:t>
      </w:r>
      <w:r>
        <w:rPr/>
        <w:t>(</w:t>
      </w:r>
      <w:hyperlink r:id="rId17">
        <w:r>
          <w:rPr>
            <w:rFonts w:ascii="Calibri"/>
            <w:u w:val="single"/>
          </w:rPr>
          <w:t>Chakraborti</w:t>
        </w:r>
        <w:r>
          <w:rPr>
            <w:rFonts w:ascii="Calibri"/>
            <w:spacing w:val="25"/>
            <w:u w:val="single"/>
          </w:rPr>
          <w:t> </w:t>
        </w:r>
        <w:r>
          <w:rPr>
            <w:rFonts w:ascii="Calibri"/>
            <w:i/>
            <w:u w:val="single"/>
          </w:rPr>
          <w:t>et</w:t>
        </w:r>
        <w:r>
          <w:rPr>
            <w:rFonts w:ascii="Calibri"/>
            <w:i/>
            <w:spacing w:val="27"/>
            <w:u w:val="single"/>
          </w:rPr>
          <w:t> </w:t>
        </w:r>
        <w:r>
          <w:rPr>
            <w:rFonts w:ascii="Calibri"/>
            <w:i/>
            <w:u w:val="single"/>
          </w:rPr>
          <w:t>al</w:t>
        </w:r>
        <w:r>
          <w:rPr>
            <w:rFonts w:ascii="Calibri"/>
            <w:u w:val="single"/>
          </w:rPr>
          <w:t>.,</w:t>
        </w:r>
        <w:r>
          <w:rPr>
            <w:rFonts w:ascii="Calibri"/>
            <w:spacing w:val="24"/>
            <w:u w:val="single"/>
          </w:rPr>
          <w:t> </w:t>
        </w:r>
        <w:r>
          <w:rPr>
            <w:rFonts w:ascii="Calibri"/>
            <w:spacing w:val="-2"/>
            <w:u w:val="single"/>
          </w:rPr>
          <w:t>1998</w:t>
        </w:r>
      </w:hyperlink>
      <w:r>
        <w:rPr>
          <w:spacing w:val="-2"/>
        </w:rPr>
        <w:t>),</w:t>
      </w:r>
    </w:p>
    <w:p>
      <w:pPr>
        <w:spacing w:after="0" w:line="480" w:lineRule="auto"/>
        <w:jc w:val="both"/>
        <w:sectPr>
          <w:pgSz w:w="12240" w:h="15840"/>
          <w:pgMar w:header="0" w:footer="1012" w:top="1360" w:bottom="1200" w:left="1020" w:right="720"/>
        </w:sectPr>
      </w:pPr>
    </w:p>
    <w:p>
      <w:pPr>
        <w:pStyle w:val="BodyText"/>
        <w:spacing w:line="480" w:lineRule="auto" w:before="72"/>
        <w:ind w:left="420" w:right="714"/>
        <w:jc w:val="both"/>
        <w:rPr>
          <w:rFonts w:ascii="Calibri"/>
        </w:rPr>
      </w:pPr>
      <w:r>
        <w:rPr/>
        <w:t>which was above the WHO recommended value of</w:t>
      </w:r>
      <w:r>
        <w:rPr>
          <w:spacing w:val="-3"/>
        </w:rPr>
        <w:t> </w:t>
      </w:r>
      <w:r>
        <w:rPr/>
        <w:t>0.01 ppm. The estimated mean concentration of Zn, Cu, Pb and Cd were 2.500, 0.500, 1.464, 0.006 ppm, respectively in regions around a fertilizer factory</w:t>
      </w:r>
      <w:r>
        <w:rPr>
          <w:spacing w:val="-1"/>
        </w:rPr>
        <w:t> </w:t>
      </w:r>
      <w:r>
        <w:rPr/>
        <w:t>in</w:t>
      </w:r>
      <w:r>
        <w:rPr>
          <w:spacing w:val="-1"/>
        </w:rPr>
        <w:t> </w:t>
      </w:r>
      <w:r>
        <w:rPr/>
        <w:t>Punjab. </w:t>
      </w:r>
      <w:hyperlink r:id="rId18">
        <w:r>
          <w:rPr>
            <w:rFonts w:ascii="Calibri"/>
            <w:u w:val="single"/>
          </w:rPr>
          <w:t>Dey </w:t>
        </w:r>
        <w:r>
          <w:rPr>
            <w:rFonts w:ascii="Calibri"/>
            <w:i/>
            <w:u w:val="single"/>
          </w:rPr>
          <w:t>et al</w:t>
        </w:r>
        <w:r>
          <w:rPr>
            <w:rFonts w:ascii="Calibri"/>
            <w:u w:val="single"/>
          </w:rPr>
          <w:t>. (1997</w:t>
        </w:r>
      </w:hyperlink>
      <w:r>
        <w:rPr/>
        <w:t>) examined heavy metals in</w:t>
      </w:r>
      <w:r>
        <w:rPr>
          <w:spacing w:val="-1"/>
        </w:rPr>
        <w:t> </w:t>
      </w:r>
      <w:r>
        <w:rPr/>
        <w:t>polluted water</w:t>
      </w:r>
      <w:r>
        <w:rPr>
          <w:spacing w:val="-4"/>
        </w:rPr>
        <w:t> </w:t>
      </w:r>
      <w:r>
        <w:rPr/>
        <w:t>of</w:t>
      </w:r>
      <w:r>
        <w:rPr>
          <w:spacing w:val="-4"/>
        </w:rPr>
        <w:t> </w:t>
      </w:r>
      <w:r>
        <w:rPr/>
        <w:t>Pipriya town-ship in Madhya Pradesh, India and found that surface water has been contaminated with heavy metals like Cu and Hg. The concentration of Cu, Cd, Fe, Cr, Mn, Pb and Zn in ground water at</w:t>
      </w:r>
      <w:r>
        <w:rPr>
          <w:spacing w:val="-1"/>
        </w:rPr>
        <w:t> </w:t>
      </w:r>
      <w:r>
        <w:rPr/>
        <w:t>Dhanbad, Bihar was</w:t>
      </w:r>
      <w:r>
        <w:rPr>
          <w:spacing w:val="-3"/>
        </w:rPr>
        <w:t> </w:t>
      </w:r>
      <w:r>
        <w:rPr/>
        <w:t>studied by</w:t>
      </w:r>
      <w:r>
        <w:rPr>
          <w:spacing w:val="-6"/>
        </w:rPr>
        <w:t> </w:t>
      </w:r>
      <w:hyperlink r:id="rId19">
        <w:r>
          <w:rPr>
            <w:rFonts w:ascii="Calibri"/>
            <w:u w:val="single"/>
          </w:rPr>
          <w:t>Prasad</w:t>
        </w:r>
        <w:r>
          <w:rPr>
            <w:rFonts w:ascii="Calibri"/>
            <w:spacing w:val="-5"/>
            <w:u w:val="single"/>
          </w:rPr>
          <w:t> </w:t>
        </w:r>
        <w:r>
          <w:rPr>
            <w:rFonts w:ascii="Calibri"/>
            <w:u w:val="single"/>
          </w:rPr>
          <w:t>and</w:t>
        </w:r>
        <w:r>
          <w:rPr>
            <w:rFonts w:ascii="Calibri"/>
            <w:spacing w:val="-6"/>
            <w:u w:val="single"/>
          </w:rPr>
          <w:t> </w:t>
        </w:r>
        <w:r>
          <w:rPr>
            <w:rFonts w:ascii="Calibri"/>
            <w:u w:val="single"/>
          </w:rPr>
          <w:t>Jaiprakas</w:t>
        </w:r>
        <w:r>
          <w:rPr>
            <w:rFonts w:ascii="Calibri"/>
            <w:spacing w:val="-3"/>
            <w:u w:val="single"/>
          </w:rPr>
          <w:t> </w:t>
        </w:r>
        <w:r>
          <w:rPr>
            <w:rFonts w:ascii="Calibri"/>
            <w:u w:val="single"/>
          </w:rPr>
          <w:t>(1999)</w:t>
        </w:r>
        <w:r>
          <w:rPr/>
          <w:t>.</w:t>
        </w:r>
      </w:hyperlink>
      <w:r>
        <w:rPr/>
        <w:t> The</w:t>
      </w:r>
      <w:r>
        <w:rPr>
          <w:spacing w:val="-2"/>
        </w:rPr>
        <w:t> </w:t>
      </w:r>
      <w:r>
        <w:rPr/>
        <w:t>concentration</w:t>
      </w:r>
      <w:r>
        <w:rPr>
          <w:spacing w:val="-6"/>
        </w:rPr>
        <w:t> </w:t>
      </w:r>
      <w:r>
        <w:rPr/>
        <w:t>of</w:t>
      </w:r>
      <w:r>
        <w:rPr>
          <w:spacing w:val="-9"/>
        </w:rPr>
        <w:t> </w:t>
      </w:r>
      <w:r>
        <w:rPr/>
        <w:t>heavy metals was found to be below the permissible levels although concentration of Fe and Mn was found above the permissible limits at a few stations. The Heavy Metal Pollution Index (HPI) of ground water was found to be far below the index limit of 100 points indicating that the ground water was not polluted with heavy metals in spite of the prolific growth of mining and allied industrial activities near the town. Monitoring and assessing the heavy metals like Fe, Cd, Ni,</w:t>
      </w:r>
      <w:r>
        <w:rPr>
          <w:spacing w:val="40"/>
        </w:rPr>
        <w:t> </w:t>
      </w:r>
      <w:r>
        <w:rPr/>
        <w:t>Zn, Cu and Pb contents in the industrial effluents from Ambarnath area in Maharashtra state, India revealed that Cd concentration varied from</w:t>
      </w:r>
      <w:r>
        <w:rPr>
          <w:spacing w:val="-8"/>
        </w:rPr>
        <w:t> </w:t>
      </w:r>
      <w:r>
        <w:rPr/>
        <w:t>1.0 to 9.1 ppm, Cu varied from</w:t>
      </w:r>
      <w:r>
        <w:rPr>
          <w:spacing w:val="-8"/>
        </w:rPr>
        <w:t> </w:t>
      </w:r>
      <w:r>
        <w:rPr/>
        <w:t>8.0 to 10.2 ppm and Pb content ranged from 0.1 to 10.4 ppm (</w:t>
      </w:r>
      <w:hyperlink r:id="rId20">
        <w:r>
          <w:rPr>
            <w:rFonts w:ascii="Calibri"/>
            <w:u w:val="single"/>
          </w:rPr>
          <w:t>Lokande and Sathe, 2001</w:t>
        </w:r>
      </w:hyperlink>
      <w:r>
        <w:rPr/>
        <w:t>). In Lucknow district of Uttar Pradesh, India, most of</w:t>
      </w:r>
      <w:r>
        <w:rPr>
          <w:spacing w:val="-3"/>
        </w:rPr>
        <w:t> </w:t>
      </w:r>
      <w:r>
        <w:rPr/>
        <w:t>the</w:t>
      </w:r>
      <w:r>
        <w:rPr>
          <w:spacing w:val="-1"/>
        </w:rPr>
        <w:t> </w:t>
      </w:r>
      <w:r>
        <w:rPr/>
        <w:t>water bodies are being used for the</w:t>
      </w:r>
      <w:r>
        <w:rPr>
          <w:spacing w:val="-1"/>
        </w:rPr>
        <w:t> </w:t>
      </w:r>
      <w:r>
        <w:rPr/>
        <w:t>cultivation</w:t>
      </w:r>
      <w:r>
        <w:rPr>
          <w:spacing w:val="-5"/>
        </w:rPr>
        <w:t> </w:t>
      </w:r>
      <w:r>
        <w:rPr/>
        <w:t>of</w:t>
      </w:r>
      <w:r>
        <w:rPr>
          <w:spacing w:val="-8"/>
        </w:rPr>
        <w:t> </w:t>
      </w:r>
      <w:r>
        <w:rPr/>
        <w:t>edible aquatic plants. It</w:t>
      </w:r>
      <w:r>
        <w:rPr>
          <w:spacing w:val="-1"/>
        </w:rPr>
        <w:t> </w:t>
      </w:r>
      <w:r>
        <w:rPr/>
        <w:t>was</w:t>
      </w:r>
      <w:r>
        <w:rPr>
          <w:spacing w:val="-3"/>
        </w:rPr>
        <w:t> </w:t>
      </w:r>
      <w:r>
        <w:rPr/>
        <w:t>found</w:t>
      </w:r>
      <w:r>
        <w:rPr>
          <w:spacing w:val="-1"/>
        </w:rPr>
        <w:t> </w:t>
      </w:r>
      <w:r>
        <w:rPr/>
        <w:t>to</w:t>
      </w:r>
      <w:r>
        <w:rPr>
          <w:spacing w:val="-1"/>
        </w:rPr>
        <w:t> </w:t>
      </w:r>
      <w:r>
        <w:rPr/>
        <w:t>be</w:t>
      </w:r>
      <w:r>
        <w:rPr>
          <w:spacing w:val="-2"/>
        </w:rPr>
        <w:t> </w:t>
      </w:r>
      <w:r>
        <w:rPr/>
        <w:t>contaminated</w:t>
      </w:r>
      <w:r>
        <w:rPr>
          <w:spacing w:val="-1"/>
        </w:rPr>
        <w:t> </w:t>
      </w:r>
      <w:r>
        <w:rPr/>
        <w:t>with</w:t>
      </w:r>
      <w:r>
        <w:rPr>
          <w:spacing w:val="-6"/>
        </w:rPr>
        <w:t> </w:t>
      </w:r>
      <w:r>
        <w:rPr/>
        <w:t>a</w:t>
      </w:r>
      <w:r>
        <w:rPr>
          <w:spacing w:val="-2"/>
        </w:rPr>
        <w:t> </w:t>
      </w:r>
      <w:r>
        <w:rPr/>
        <w:t>variety</w:t>
      </w:r>
      <w:r>
        <w:rPr>
          <w:spacing w:val="-11"/>
        </w:rPr>
        <w:t> </w:t>
      </w:r>
      <w:r>
        <w:rPr/>
        <w:t>of</w:t>
      </w:r>
      <w:r>
        <w:rPr>
          <w:spacing w:val="-9"/>
        </w:rPr>
        <w:t> </w:t>
      </w:r>
      <w:r>
        <w:rPr/>
        <w:t>toxic metals like Fe, Cu, Cr,</w:t>
      </w:r>
      <w:r>
        <w:rPr>
          <w:spacing w:val="-4"/>
        </w:rPr>
        <w:t> </w:t>
      </w:r>
      <w:r>
        <w:rPr/>
        <w:t>Mn</w:t>
      </w:r>
      <w:r>
        <w:rPr>
          <w:spacing w:val="-6"/>
        </w:rPr>
        <w:t> </w:t>
      </w:r>
      <w:r>
        <w:rPr/>
        <w:t>and</w:t>
      </w:r>
      <w:r>
        <w:rPr>
          <w:spacing w:val="-1"/>
        </w:rPr>
        <w:t> </w:t>
      </w:r>
      <w:r>
        <w:rPr/>
        <w:t>Pb. The concentrations of Cr, Pb and Fe in the water were much higher than the recommended permissible limits by WHO (</w:t>
      </w:r>
      <w:hyperlink r:id="rId21">
        <w:r>
          <w:rPr>
            <w:rFonts w:ascii="Calibri"/>
            <w:u w:val="single"/>
          </w:rPr>
          <w:t>Rai </w:t>
        </w:r>
        <w:r>
          <w:rPr>
            <w:rFonts w:ascii="Calibri"/>
            <w:i/>
            <w:u w:val="single"/>
          </w:rPr>
          <w:t>et al</w:t>
        </w:r>
        <w:r>
          <w:rPr>
            <w:rFonts w:ascii="Calibri"/>
            <w:u w:val="single"/>
          </w:rPr>
          <w:t>., 2001</w:t>
        </w:r>
      </w:hyperlink>
      <w:r>
        <w:rPr/>
        <w:t>). Water samples in industrially polluted areas in Bangalore, Karnataka, India had higher Pb (0.17 ppm), Cd (0.05 ppm), Cu (33.63 ppm) and Zn (41.09 ppm). </w:t>
      </w:r>
      <w:hyperlink r:id="rId22">
        <w:r>
          <w:rPr>
            <w:rFonts w:ascii="Calibri"/>
            <w:u w:val="single"/>
          </w:rPr>
          <w:t>Gowda </w:t>
        </w:r>
        <w:r>
          <w:rPr>
            <w:rFonts w:ascii="Calibri"/>
            <w:i/>
            <w:u w:val="single"/>
          </w:rPr>
          <w:t>et al</w:t>
        </w:r>
        <w:r>
          <w:rPr>
            <w:rFonts w:ascii="Calibri"/>
            <w:u w:val="single"/>
          </w:rPr>
          <w:t>. (2003</w:t>
        </w:r>
      </w:hyperlink>
      <w:r>
        <w:rPr/>
        <w:t>) examined the concentration of Cr, Mo, Pb, Co, Cd and Fe in the highly polluted Hussain Sagar lake, Hyderabad, India. The results showed that the concentration</w:t>
      </w:r>
      <w:r>
        <w:rPr>
          <w:spacing w:val="46"/>
        </w:rPr>
        <w:t> </w:t>
      </w:r>
      <w:r>
        <w:rPr/>
        <w:t>of</w:t>
      </w:r>
      <w:r>
        <w:rPr>
          <w:spacing w:val="45"/>
        </w:rPr>
        <w:t> </w:t>
      </w:r>
      <w:r>
        <w:rPr/>
        <w:t>Fe,</w:t>
      </w:r>
      <w:r>
        <w:rPr>
          <w:spacing w:val="55"/>
        </w:rPr>
        <w:t> </w:t>
      </w:r>
      <w:r>
        <w:rPr/>
        <w:t>Zn</w:t>
      </w:r>
      <w:r>
        <w:rPr>
          <w:spacing w:val="48"/>
        </w:rPr>
        <w:t> </w:t>
      </w:r>
      <w:r>
        <w:rPr/>
        <w:t>and</w:t>
      </w:r>
      <w:r>
        <w:rPr>
          <w:spacing w:val="52"/>
        </w:rPr>
        <w:t> </w:t>
      </w:r>
      <w:r>
        <w:rPr/>
        <w:t>Co</w:t>
      </w:r>
      <w:r>
        <w:rPr>
          <w:spacing w:val="62"/>
        </w:rPr>
        <w:t> </w:t>
      </w:r>
      <w:r>
        <w:rPr/>
        <w:t>is</w:t>
      </w:r>
      <w:r>
        <w:rPr>
          <w:spacing w:val="56"/>
        </w:rPr>
        <w:t> </w:t>
      </w:r>
      <w:r>
        <w:rPr/>
        <w:t>high</w:t>
      </w:r>
      <w:r>
        <w:rPr>
          <w:spacing w:val="48"/>
        </w:rPr>
        <w:t> </w:t>
      </w:r>
      <w:r>
        <w:rPr/>
        <w:t>when</w:t>
      </w:r>
      <w:r>
        <w:rPr>
          <w:spacing w:val="48"/>
        </w:rPr>
        <w:t> </w:t>
      </w:r>
      <w:r>
        <w:rPr/>
        <w:t>compared</w:t>
      </w:r>
      <w:r>
        <w:rPr>
          <w:spacing w:val="52"/>
        </w:rPr>
        <w:t> </w:t>
      </w:r>
      <w:r>
        <w:rPr/>
        <w:t>to</w:t>
      </w:r>
      <w:r>
        <w:rPr>
          <w:spacing w:val="57"/>
        </w:rPr>
        <w:t> </w:t>
      </w:r>
      <w:r>
        <w:rPr/>
        <w:t>W.H.O</w:t>
      </w:r>
      <w:r>
        <w:rPr>
          <w:spacing w:val="52"/>
        </w:rPr>
        <w:t> </w:t>
      </w:r>
      <w:r>
        <w:rPr/>
        <w:t>standards.</w:t>
      </w:r>
      <w:r>
        <w:rPr>
          <w:spacing w:val="60"/>
        </w:rPr>
        <w:t> </w:t>
      </w:r>
      <w:hyperlink r:id="rId23">
        <w:r>
          <w:rPr>
            <w:rFonts w:ascii="Calibri"/>
            <w:u w:val="single"/>
          </w:rPr>
          <w:t>Sinha</w:t>
        </w:r>
        <w:r>
          <w:rPr>
            <w:rFonts w:ascii="Calibri"/>
            <w:spacing w:val="54"/>
            <w:u w:val="single"/>
          </w:rPr>
          <w:t> </w:t>
        </w:r>
        <w:r>
          <w:rPr>
            <w:rFonts w:ascii="Calibri"/>
            <w:spacing w:val="-2"/>
            <w:u w:val="single"/>
          </w:rPr>
          <w:t>(2004)</w:t>
        </w:r>
      </w:hyperlink>
    </w:p>
    <w:p>
      <w:pPr>
        <w:pStyle w:val="BodyText"/>
        <w:spacing w:before="2"/>
        <w:ind w:left="420"/>
      </w:pPr>
      <w:r>
        <w:rPr/>
        <w:t>analyzed</w:t>
      </w:r>
      <w:r>
        <w:rPr>
          <w:spacing w:val="7"/>
        </w:rPr>
        <w:t> </w:t>
      </w:r>
      <w:r>
        <w:rPr/>
        <w:t>the</w:t>
      </w:r>
      <w:r>
        <w:rPr>
          <w:spacing w:val="14"/>
        </w:rPr>
        <w:t> </w:t>
      </w:r>
      <w:r>
        <w:rPr/>
        <w:t>level</w:t>
      </w:r>
      <w:r>
        <w:rPr>
          <w:spacing w:val="6"/>
        </w:rPr>
        <w:t> </w:t>
      </w:r>
      <w:r>
        <w:rPr/>
        <w:t>of</w:t>
      </w:r>
      <w:r>
        <w:rPr>
          <w:spacing w:val="7"/>
        </w:rPr>
        <w:t> </w:t>
      </w:r>
      <w:r>
        <w:rPr/>
        <w:t>Cu,</w:t>
      </w:r>
      <w:r>
        <w:rPr>
          <w:spacing w:val="12"/>
        </w:rPr>
        <w:t> </w:t>
      </w:r>
      <w:r>
        <w:rPr/>
        <w:t>Pb,</w:t>
      </w:r>
      <w:r>
        <w:rPr>
          <w:spacing w:val="12"/>
        </w:rPr>
        <w:t> </w:t>
      </w:r>
      <w:r>
        <w:rPr/>
        <w:t>Ni,</w:t>
      </w:r>
      <w:r>
        <w:rPr>
          <w:spacing w:val="17"/>
        </w:rPr>
        <w:t> </w:t>
      </w:r>
      <w:r>
        <w:rPr/>
        <w:t>Co,</w:t>
      </w:r>
      <w:r>
        <w:rPr>
          <w:spacing w:val="12"/>
        </w:rPr>
        <w:t> </w:t>
      </w:r>
      <w:r>
        <w:rPr/>
        <w:t>Mn</w:t>
      </w:r>
      <w:r>
        <w:rPr>
          <w:spacing w:val="5"/>
        </w:rPr>
        <w:t> </w:t>
      </w:r>
      <w:r>
        <w:rPr/>
        <w:t>and</w:t>
      </w:r>
      <w:r>
        <w:rPr>
          <w:spacing w:val="15"/>
        </w:rPr>
        <w:t> </w:t>
      </w:r>
      <w:r>
        <w:rPr/>
        <w:t>Zn</w:t>
      </w:r>
      <w:r>
        <w:rPr>
          <w:spacing w:val="10"/>
        </w:rPr>
        <w:t> </w:t>
      </w:r>
      <w:r>
        <w:rPr/>
        <w:t>in</w:t>
      </w:r>
      <w:r>
        <w:rPr>
          <w:spacing w:val="10"/>
        </w:rPr>
        <w:t> </w:t>
      </w:r>
      <w:r>
        <w:rPr/>
        <w:t>water</w:t>
      </w:r>
      <w:r>
        <w:rPr>
          <w:spacing w:val="17"/>
        </w:rPr>
        <w:t> </w:t>
      </w:r>
      <w:r>
        <w:rPr/>
        <w:t>from</w:t>
      </w:r>
      <w:r>
        <w:rPr>
          <w:spacing w:val="1"/>
        </w:rPr>
        <w:t> </w:t>
      </w:r>
      <w:r>
        <w:rPr/>
        <w:t>Sai</w:t>
      </w:r>
      <w:r>
        <w:rPr>
          <w:spacing w:val="11"/>
        </w:rPr>
        <w:t> </w:t>
      </w:r>
      <w:r>
        <w:rPr/>
        <w:t>River</w:t>
      </w:r>
      <w:r>
        <w:rPr>
          <w:spacing w:val="12"/>
        </w:rPr>
        <w:t> </w:t>
      </w:r>
      <w:r>
        <w:rPr/>
        <w:t>at</w:t>
      </w:r>
      <w:r>
        <w:rPr>
          <w:spacing w:val="15"/>
        </w:rPr>
        <w:t> </w:t>
      </w:r>
      <w:r>
        <w:rPr/>
        <w:t>Rae</w:t>
      </w:r>
      <w:r>
        <w:rPr>
          <w:spacing w:val="9"/>
        </w:rPr>
        <w:t> </w:t>
      </w:r>
      <w:r>
        <w:rPr/>
        <w:t>Bareli</w:t>
      </w:r>
      <w:r>
        <w:rPr>
          <w:spacing w:val="11"/>
        </w:rPr>
        <w:t> </w:t>
      </w:r>
      <w:r>
        <w:rPr/>
        <w:t>in</w:t>
      </w:r>
      <w:r>
        <w:rPr>
          <w:spacing w:val="15"/>
        </w:rPr>
        <w:t> </w:t>
      </w:r>
      <w:r>
        <w:rPr>
          <w:spacing w:val="-2"/>
        </w:rPr>
        <w:t>Uttar</w:t>
      </w:r>
    </w:p>
    <w:p>
      <w:pPr>
        <w:spacing w:after="0"/>
        <w:sectPr>
          <w:pgSz w:w="12240" w:h="15840"/>
          <w:pgMar w:header="0" w:footer="1012" w:top="1360" w:bottom="1200" w:left="1020" w:right="720"/>
        </w:sectPr>
      </w:pPr>
    </w:p>
    <w:p>
      <w:pPr>
        <w:pStyle w:val="BodyText"/>
        <w:spacing w:line="480" w:lineRule="auto" w:before="72"/>
        <w:ind w:left="420" w:right="715"/>
        <w:jc w:val="both"/>
        <w:rPr>
          <w:rFonts w:ascii="Calibri"/>
          <w:i/>
        </w:rPr>
      </w:pPr>
      <w:r>
        <w:rPr/>
        <w:t>Pradesh, India during different seasons. Moderate concentration of Cu was found in the river water whereas Pb (0.05-0.1 ppm) and Mn (0.100-2.200 ppm) were present in higher concentrations. In</w:t>
      </w:r>
      <w:r>
        <w:rPr>
          <w:spacing w:val="-2"/>
        </w:rPr>
        <w:t> </w:t>
      </w:r>
      <w:r>
        <w:rPr/>
        <w:t>Bhopal, India, the surface water of</w:t>
      </w:r>
      <w:r>
        <w:rPr>
          <w:spacing w:val="-1"/>
        </w:rPr>
        <w:t> </w:t>
      </w:r>
      <w:r>
        <w:rPr/>
        <w:t>lower lake had Cu (0.12</w:t>
      </w:r>
      <w:r>
        <w:rPr>
          <w:spacing w:val="-2"/>
        </w:rPr>
        <w:t> </w:t>
      </w:r>
      <w:r>
        <w:rPr/>
        <w:t>to 0.165 ppm), Zn (0.086</w:t>
      </w:r>
      <w:r>
        <w:rPr>
          <w:spacing w:val="-5"/>
        </w:rPr>
        <w:t> </w:t>
      </w:r>
      <w:r>
        <w:rPr/>
        <w:t>to</w:t>
      </w:r>
      <w:r>
        <w:rPr>
          <w:spacing w:val="-1"/>
        </w:rPr>
        <w:t> </w:t>
      </w:r>
      <w:r>
        <w:rPr/>
        <w:t>0.163</w:t>
      </w:r>
      <w:r>
        <w:rPr>
          <w:spacing w:val="-5"/>
        </w:rPr>
        <w:t> </w:t>
      </w:r>
      <w:r>
        <w:rPr/>
        <w:t>ppm), Pb</w:t>
      </w:r>
      <w:r>
        <w:rPr>
          <w:spacing w:val="-5"/>
        </w:rPr>
        <w:t> </w:t>
      </w:r>
      <w:r>
        <w:rPr/>
        <w:t>(0.03</w:t>
      </w:r>
      <w:r>
        <w:rPr>
          <w:spacing w:val="-5"/>
        </w:rPr>
        <w:t> </w:t>
      </w:r>
      <w:r>
        <w:rPr/>
        <w:t>to</w:t>
      </w:r>
      <w:r>
        <w:rPr>
          <w:spacing w:val="-1"/>
        </w:rPr>
        <w:t> </w:t>
      </w:r>
      <w:r>
        <w:rPr/>
        <w:t>0.12</w:t>
      </w:r>
      <w:r>
        <w:rPr>
          <w:spacing w:val="-1"/>
        </w:rPr>
        <w:t> </w:t>
      </w:r>
      <w:r>
        <w:rPr/>
        <w:t>ppm) and</w:t>
      </w:r>
      <w:r>
        <w:rPr>
          <w:spacing w:val="-1"/>
        </w:rPr>
        <w:t> </w:t>
      </w:r>
      <w:r>
        <w:rPr/>
        <w:t>Cd</w:t>
      </w:r>
      <w:r>
        <w:rPr>
          <w:spacing w:val="-1"/>
        </w:rPr>
        <w:t> </w:t>
      </w:r>
      <w:r>
        <w:rPr/>
        <w:t>(0.014</w:t>
      </w:r>
      <w:r>
        <w:rPr>
          <w:spacing w:val="-10"/>
        </w:rPr>
        <w:t> </w:t>
      </w:r>
      <w:r>
        <w:rPr/>
        <w:t>to 0.41</w:t>
      </w:r>
      <w:r>
        <w:rPr>
          <w:spacing w:val="-1"/>
        </w:rPr>
        <w:t> </w:t>
      </w:r>
      <w:r>
        <w:rPr/>
        <w:t>ppm). Concentration</w:t>
      </w:r>
      <w:r>
        <w:rPr>
          <w:spacing w:val="-5"/>
        </w:rPr>
        <w:t> </w:t>
      </w:r>
      <w:r>
        <w:rPr/>
        <w:t>of</w:t>
      </w:r>
      <w:r>
        <w:rPr>
          <w:spacing w:val="-3"/>
        </w:rPr>
        <w:t> </w:t>
      </w:r>
      <w:r>
        <w:rPr/>
        <w:t>heavy metals like Cd and Pb in surface water was found to be above permissible limits. Heavy metal contamination of</w:t>
      </w:r>
      <w:r>
        <w:rPr>
          <w:spacing w:val="-2"/>
        </w:rPr>
        <w:t> </w:t>
      </w:r>
      <w:r>
        <w:rPr/>
        <w:t>the lake water was found to occur due to a high degree of anthropogenic stress including idol immersion activity during religious festivals. </w:t>
      </w:r>
      <w:hyperlink r:id="rId24">
        <w:r>
          <w:rPr>
            <w:rFonts w:ascii="Calibri"/>
            <w:u w:val="single"/>
          </w:rPr>
          <w:t>Gupta and Gupta (2005</w:t>
        </w:r>
      </w:hyperlink>
      <w:r>
        <w:rPr/>
        <w:t>) estimated the heavy metal concentration in surface water of the rivers and estuaries of Sundarbans mangrove forest in Bangladesh, India. The concentrations of Cu, Pb and Cd seasonally varied from</w:t>
      </w:r>
      <w:r>
        <w:rPr>
          <w:spacing w:val="-11"/>
        </w:rPr>
        <w:t> </w:t>
      </w:r>
      <w:r>
        <w:rPr/>
        <w:t>0.025</w:t>
      </w:r>
      <w:r>
        <w:rPr>
          <w:spacing w:val="1"/>
        </w:rPr>
        <w:t> </w:t>
      </w:r>
      <w:r>
        <w:rPr/>
        <w:t>to</w:t>
      </w:r>
      <w:r>
        <w:rPr>
          <w:spacing w:val="6"/>
        </w:rPr>
        <w:t> </w:t>
      </w:r>
      <w:r>
        <w:rPr/>
        <w:t>0.136,</w:t>
      </w:r>
      <w:r>
        <w:rPr>
          <w:spacing w:val="3"/>
        </w:rPr>
        <w:t> </w:t>
      </w:r>
      <w:r>
        <w:rPr/>
        <w:t>0.205</w:t>
      </w:r>
      <w:r>
        <w:rPr>
          <w:spacing w:val="-9"/>
        </w:rPr>
        <w:t> </w:t>
      </w:r>
      <w:r>
        <w:rPr/>
        <w:t>to</w:t>
      </w:r>
      <w:r>
        <w:rPr>
          <w:spacing w:val="5"/>
        </w:rPr>
        <w:t> </w:t>
      </w:r>
      <w:r>
        <w:rPr/>
        <w:t>0.598</w:t>
      </w:r>
      <w:r>
        <w:rPr>
          <w:spacing w:val="1"/>
        </w:rPr>
        <w:t> </w:t>
      </w:r>
      <w:r>
        <w:rPr/>
        <w:t>and</w:t>
      </w:r>
      <w:r>
        <w:rPr>
          <w:spacing w:val="1"/>
        </w:rPr>
        <w:t> </w:t>
      </w:r>
      <w:r>
        <w:rPr/>
        <w:t>0.0045</w:t>
      </w:r>
      <w:r>
        <w:rPr>
          <w:spacing w:val="-4"/>
        </w:rPr>
        <w:t> </w:t>
      </w:r>
      <w:r>
        <w:rPr/>
        <w:t>to</w:t>
      </w:r>
      <w:r>
        <w:rPr>
          <w:spacing w:val="1"/>
        </w:rPr>
        <w:t> </w:t>
      </w:r>
      <w:r>
        <w:rPr/>
        <w:t>0.013</w:t>
      </w:r>
      <w:r>
        <w:rPr>
          <w:spacing w:val="1"/>
        </w:rPr>
        <w:t> </w:t>
      </w:r>
      <w:r>
        <w:rPr/>
        <w:t>ppm,</w:t>
      </w:r>
      <w:r>
        <w:rPr>
          <w:spacing w:val="2"/>
        </w:rPr>
        <w:t> </w:t>
      </w:r>
      <w:r>
        <w:rPr/>
        <w:t>respectively.</w:t>
      </w:r>
      <w:r>
        <w:rPr>
          <w:spacing w:val="3"/>
        </w:rPr>
        <w:t> </w:t>
      </w:r>
      <w:r>
        <w:rPr/>
        <w:t>In</w:t>
      </w:r>
      <w:r>
        <w:rPr>
          <w:spacing w:val="-4"/>
        </w:rPr>
        <w:t> </w:t>
      </w:r>
      <w:r>
        <w:rPr/>
        <w:t>Nigeria,</w:t>
      </w:r>
      <w:r>
        <w:rPr>
          <w:spacing w:val="15"/>
        </w:rPr>
        <w:t> </w:t>
      </w:r>
      <w:hyperlink r:id="rId25">
        <w:r>
          <w:rPr>
            <w:rFonts w:ascii="Calibri"/>
            <w:u w:val="single"/>
          </w:rPr>
          <w:t>Barone</w:t>
        </w:r>
        <w:r>
          <w:rPr>
            <w:rFonts w:ascii="Calibri"/>
            <w:spacing w:val="3"/>
            <w:u w:val="single"/>
          </w:rPr>
          <w:t> </w:t>
        </w:r>
        <w:r>
          <w:rPr>
            <w:rFonts w:ascii="Calibri"/>
            <w:i/>
            <w:spacing w:val="-5"/>
            <w:u w:val="single"/>
          </w:rPr>
          <w:t>et</w:t>
        </w:r>
      </w:hyperlink>
    </w:p>
    <w:p>
      <w:pPr>
        <w:pStyle w:val="BodyText"/>
        <w:spacing w:line="480" w:lineRule="auto" w:before="11"/>
        <w:ind w:left="420" w:right="710"/>
        <w:jc w:val="both"/>
        <w:rPr>
          <w:rFonts w:ascii="Calibri"/>
        </w:rPr>
      </w:pPr>
      <w:hyperlink r:id="rId25">
        <w:r>
          <w:rPr>
            <w:rFonts w:ascii="Calibri"/>
            <w:i/>
            <w:u w:val="single"/>
          </w:rPr>
          <w:t>al. </w:t>
        </w:r>
        <w:r>
          <w:rPr>
            <w:rFonts w:ascii="Calibri"/>
            <w:u w:val="single"/>
          </w:rPr>
          <w:t>(2005)</w:t>
        </w:r>
      </w:hyperlink>
      <w:r>
        <w:rPr>
          <w:rFonts w:ascii="Calibri"/>
        </w:rPr>
        <w:t> </w:t>
      </w:r>
      <w:r>
        <w:rPr/>
        <w:t>analyzed the water samples in different areas of Benue around Lokaja, North central Nigeria. The results indicated biologically significant contamination of water by heavy metals. Various sources contributed to the levels of heavy metals in the rivulet and harbour water, the major part came from</w:t>
      </w:r>
      <w:r>
        <w:rPr>
          <w:spacing w:val="-2"/>
        </w:rPr>
        <w:t> </w:t>
      </w:r>
      <w:r>
        <w:rPr/>
        <w:t>industrial</w:t>
      </w:r>
      <w:r>
        <w:rPr>
          <w:spacing w:val="-2"/>
        </w:rPr>
        <w:t> </w:t>
      </w:r>
      <w:r>
        <w:rPr/>
        <w:t>outfalls. Analyzing water used for irrigating fodder fields near a refinery factory. </w:t>
      </w:r>
      <w:hyperlink r:id="rId26">
        <w:r>
          <w:rPr>
            <w:rFonts w:ascii="Calibri"/>
            <w:u w:val="single"/>
          </w:rPr>
          <w:t>Li-wenfan </w:t>
        </w:r>
        <w:r>
          <w:rPr>
            <w:rFonts w:ascii="Calibri"/>
            <w:i/>
            <w:u w:val="single"/>
          </w:rPr>
          <w:t>et al</w:t>
        </w:r>
        <w:r>
          <w:rPr>
            <w:rFonts w:ascii="Calibri"/>
            <w:u w:val="single"/>
          </w:rPr>
          <w:t>. (1995)</w:t>
        </w:r>
      </w:hyperlink>
      <w:r>
        <w:rPr>
          <w:rFonts w:ascii="Calibri"/>
        </w:rPr>
        <w:t> </w:t>
      </w:r>
      <w:r>
        <w:rPr/>
        <w:t>found that the Pb, Cd, Cu and Zn concentration from polluted</w:t>
      </w:r>
      <w:r>
        <w:rPr>
          <w:spacing w:val="40"/>
        </w:rPr>
        <w:t> </w:t>
      </w:r>
      <w:r>
        <w:rPr/>
        <w:t>areas</w:t>
      </w:r>
      <w:r>
        <w:rPr>
          <w:spacing w:val="40"/>
        </w:rPr>
        <w:t> </w:t>
      </w:r>
      <w:r>
        <w:rPr/>
        <w:t>was</w:t>
      </w:r>
      <w:r>
        <w:rPr>
          <w:spacing w:val="40"/>
        </w:rPr>
        <w:t> </w:t>
      </w:r>
      <w:r>
        <w:rPr/>
        <w:t>significantly</w:t>
      </w:r>
      <w:r>
        <w:rPr>
          <w:spacing w:val="40"/>
        </w:rPr>
        <w:t> </w:t>
      </w:r>
      <w:r>
        <w:rPr/>
        <w:t>higher</w:t>
      </w:r>
      <w:r>
        <w:rPr>
          <w:spacing w:val="40"/>
        </w:rPr>
        <w:t> </w:t>
      </w:r>
      <w:r>
        <w:rPr/>
        <w:t>than</w:t>
      </w:r>
      <w:r>
        <w:rPr>
          <w:spacing w:val="40"/>
        </w:rPr>
        <w:t> </w:t>
      </w:r>
      <w:r>
        <w:rPr/>
        <w:t>that</w:t>
      </w:r>
      <w:r>
        <w:rPr>
          <w:spacing w:val="40"/>
        </w:rPr>
        <w:t> </w:t>
      </w:r>
      <w:r>
        <w:rPr/>
        <w:t>of</w:t>
      </w:r>
      <w:r>
        <w:rPr>
          <w:spacing w:val="40"/>
        </w:rPr>
        <w:t> </w:t>
      </w:r>
      <w:r>
        <w:rPr/>
        <w:t>unpolluted</w:t>
      </w:r>
      <w:r>
        <w:rPr>
          <w:spacing w:val="40"/>
        </w:rPr>
        <w:t> </w:t>
      </w:r>
      <w:r>
        <w:rPr/>
        <w:t>controls.</w:t>
      </w:r>
      <w:r>
        <w:rPr>
          <w:spacing w:val="65"/>
        </w:rPr>
        <w:t> </w:t>
      </w:r>
      <w:hyperlink r:id="rId27">
        <w:r>
          <w:rPr>
            <w:rFonts w:ascii="Calibri"/>
            <w:u w:val="single"/>
          </w:rPr>
          <w:t>Koklu</w:t>
        </w:r>
        <w:r>
          <w:rPr>
            <w:rFonts w:ascii="Calibri"/>
            <w:spacing w:val="40"/>
            <w:u w:val="single"/>
          </w:rPr>
          <w:t> </w:t>
        </w:r>
        <w:r>
          <w:rPr>
            <w:rFonts w:ascii="Calibri"/>
            <w:i/>
            <w:u w:val="single"/>
          </w:rPr>
          <w:t>et</w:t>
        </w:r>
        <w:r>
          <w:rPr>
            <w:rFonts w:ascii="Calibri"/>
            <w:i/>
            <w:spacing w:val="40"/>
            <w:u w:val="single"/>
          </w:rPr>
          <w:t> </w:t>
        </w:r>
        <w:r>
          <w:rPr>
            <w:rFonts w:ascii="Calibri"/>
            <w:i/>
            <w:u w:val="single"/>
          </w:rPr>
          <w:t>al</w:t>
        </w:r>
        <w:r>
          <w:rPr>
            <w:rFonts w:ascii="Calibri"/>
            <w:u w:val="single"/>
          </w:rPr>
          <w:t>.</w:t>
        </w:r>
        <w:r>
          <w:rPr>
            <w:rFonts w:ascii="Calibri"/>
            <w:spacing w:val="40"/>
            <w:u w:val="single"/>
          </w:rPr>
          <w:t> </w:t>
        </w:r>
        <w:r>
          <w:rPr>
            <w:rFonts w:ascii="Calibri"/>
            <w:u w:val="single"/>
          </w:rPr>
          <w:t>(1981)</w:t>
        </w:r>
      </w:hyperlink>
    </w:p>
    <w:p>
      <w:pPr>
        <w:pStyle w:val="BodyText"/>
        <w:spacing w:line="484" w:lineRule="auto"/>
        <w:ind w:left="420" w:right="712"/>
        <w:jc w:val="both"/>
        <w:rPr>
          <w:rFonts w:ascii="Calibri"/>
        </w:rPr>
      </w:pPr>
      <w:r>
        <w:rPr/>
        <w:t>evaluated the concentration of heavy metals like Cd, Pb, Cr, Cu and Zn in sea water collected from Istanbul. The concentration ranges of Cr, Cd, Pb, Cu and Zn in sea water were 0.89-3.93, 0.32-</w:t>
      </w:r>
      <w:r>
        <w:rPr>
          <w:spacing w:val="62"/>
        </w:rPr>
        <w:t> </w:t>
      </w:r>
      <w:r>
        <w:rPr/>
        <w:t>2.00,</w:t>
      </w:r>
      <w:r>
        <w:rPr>
          <w:spacing w:val="64"/>
        </w:rPr>
        <w:t> </w:t>
      </w:r>
      <w:r>
        <w:rPr/>
        <w:t>1.29-</w:t>
      </w:r>
      <w:r>
        <w:rPr>
          <w:spacing w:val="63"/>
        </w:rPr>
        <w:t> </w:t>
      </w:r>
      <w:r>
        <w:rPr/>
        <w:t>4.41,</w:t>
      </w:r>
      <w:r>
        <w:rPr>
          <w:spacing w:val="64"/>
        </w:rPr>
        <w:t> </w:t>
      </w:r>
      <w:r>
        <w:rPr/>
        <w:t>0.60-</w:t>
      </w:r>
      <w:r>
        <w:rPr>
          <w:spacing w:val="63"/>
        </w:rPr>
        <w:t> </w:t>
      </w:r>
      <w:r>
        <w:rPr/>
        <w:t>35.2</w:t>
      </w:r>
      <w:r>
        <w:rPr>
          <w:spacing w:val="62"/>
        </w:rPr>
        <w:t> </w:t>
      </w:r>
      <w:r>
        <w:rPr/>
        <w:t>and</w:t>
      </w:r>
      <w:r>
        <w:rPr>
          <w:spacing w:val="61"/>
        </w:rPr>
        <w:t> </w:t>
      </w:r>
      <w:r>
        <w:rPr/>
        <w:t>0.13-1.38</w:t>
      </w:r>
      <w:r>
        <w:rPr>
          <w:spacing w:val="62"/>
        </w:rPr>
        <w:t> </w:t>
      </w:r>
      <w:r>
        <w:rPr/>
        <w:t>ppm,</w:t>
      </w:r>
      <w:r>
        <w:rPr>
          <w:spacing w:val="63"/>
        </w:rPr>
        <w:t> </w:t>
      </w:r>
      <w:r>
        <w:rPr/>
        <w:t>respectively.</w:t>
      </w:r>
      <w:r>
        <w:rPr>
          <w:spacing w:val="64"/>
        </w:rPr>
        <w:t> </w:t>
      </w:r>
      <w:r>
        <w:rPr/>
        <w:t>In</w:t>
      </w:r>
      <w:r>
        <w:rPr>
          <w:spacing w:val="61"/>
        </w:rPr>
        <w:t> </w:t>
      </w:r>
      <w:r>
        <w:rPr/>
        <w:t>China,</w:t>
      </w:r>
      <w:r>
        <w:rPr>
          <w:spacing w:val="69"/>
        </w:rPr>
        <w:t> </w:t>
      </w:r>
      <w:hyperlink r:id="rId28">
        <w:r>
          <w:rPr>
            <w:rFonts w:ascii="Calibri"/>
            <w:u w:val="single"/>
          </w:rPr>
          <w:t>Ping</w:t>
        </w:r>
        <w:r>
          <w:rPr>
            <w:rFonts w:ascii="Calibri"/>
            <w:spacing w:val="65"/>
            <w:u w:val="single"/>
          </w:rPr>
          <w:t> </w:t>
        </w:r>
        <w:r>
          <w:rPr>
            <w:rFonts w:ascii="Calibri"/>
            <w:spacing w:val="-2"/>
            <w:u w:val="single"/>
          </w:rPr>
          <w:t>(2005)</w:t>
        </w:r>
      </w:hyperlink>
    </w:p>
    <w:p>
      <w:pPr>
        <w:pStyle w:val="BodyText"/>
        <w:spacing w:line="250" w:lineRule="exact"/>
        <w:ind w:left="420"/>
      </w:pPr>
      <w:r>
        <w:rPr/>
        <w:t>measured</w:t>
      </w:r>
      <w:r>
        <w:rPr>
          <w:spacing w:val="24"/>
        </w:rPr>
        <w:t> </w:t>
      </w:r>
      <w:r>
        <w:rPr/>
        <w:t>the</w:t>
      </w:r>
      <w:r>
        <w:rPr>
          <w:spacing w:val="23"/>
        </w:rPr>
        <w:t> </w:t>
      </w:r>
      <w:r>
        <w:rPr/>
        <w:t>concentration</w:t>
      </w:r>
      <w:r>
        <w:rPr>
          <w:spacing w:val="20"/>
        </w:rPr>
        <w:t> </w:t>
      </w:r>
      <w:r>
        <w:rPr/>
        <w:t>of</w:t>
      </w:r>
      <w:r>
        <w:rPr>
          <w:spacing w:val="21"/>
        </w:rPr>
        <w:t> </w:t>
      </w:r>
      <w:r>
        <w:rPr/>
        <w:t>heavy</w:t>
      </w:r>
      <w:r>
        <w:rPr>
          <w:spacing w:val="25"/>
        </w:rPr>
        <w:t> </w:t>
      </w:r>
      <w:r>
        <w:rPr/>
        <w:t>metals</w:t>
      </w:r>
      <w:r>
        <w:rPr>
          <w:spacing w:val="26"/>
        </w:rPr>
        <w:t> </w:t>
      </w:r>
      <w:r>
        <w:rPr/>
        <w:t>in</w:t>
      </w:r>
      <w:r>
        <w:rPr>
          <w:spacing w:val="24"/>
        </w:rPr>
        <w:t> </w:t>
      </w:r>
      <w:r>
        <w:rPr/>
        <w:t>water</w:t>
      </w:r>
      <w:r>
        <w:rPr>
          <w:spacing w:val="26"/>
        </w:rPr>
        <w:t> </w:t>
      </w:r>
      <w:r>
        <w:rPr/>
        <w:t>in</w:t>
      </w:r>
      <w:r>
        <w:rPr>
          <w:spacing w:val="19"/>
        </w:rPr>
        <w:t> </w:t>
      </w:r>
      <w:r>
        <w:rPr/>
        <w:t>the</w:t>
      </w:r>
      <w:r>
        <w:rPr>
          <w:spacing w:val="28"/>
        </w:rPr>
        <w:t> </w:t>
      </w:r>
      <w:r>
        <w:rPr/>
        <w:t>vicinity</w:t>
      </w:r>
      <w:r>
        <w:rPr>
          <w:spacing w:val="20"/>
        </w:rPr>
        <w:t> </w:t>
      </w:r>
      <w:r>
        <w:rPr/>
        <w:t>of</w:t>
      </w:r>
      <w:r>
        <w:rPr>
          <w:spacing w:val="17"/>
        </w:rPr>
        <w:t> </w:t>
      </w:r>
      <w:r>
        <w:rPr/>
        <w:t>the</w:t>
      </w:r>
      <w:r>
        <w:rPr>
          <w:spacing w:val="28"/>
        </w:rPr>
        <w:t> </w:t>
      </w:r>
      <w:r>
        <w:rPr/>
        <w:t>Baiyin</w:t>
      </w:r>
      <w:r>
        <w:rPr>
          <w:spacing w:val="28"/>
        </w:rPr>
        <w:t> </w:t>
      </w:r>
      <w:r>
        <w:rPr/>
        <w:t>mining</w:t>
      </w:r>
      <w:r>
        <w:rPr>
          <w:spacing w:val="25"/>
        </w:rPr>
        <w:t> </w:t>
      </w:r>
      <w:r>
        <w:rPr>
          <w:spacing w:val="-4"/>
        </w:rPr>
        <w:t>area</w:t>
      </w:r>
    </w:p>
    <w:p>
      <w:pPr>
        <w:pStyle w:val="BodyText"/>
      </w:pPr>
    </w:p>
    <w:p>
      <w:pPr>
        <w:pStyle w:val="BodyText"/>
        <w:spacing w:line="487" w:lineRule="auto"/>
        <w:ind w:left="420" w:right="765"/>
        <w:rPr>
          <w:rFonts w:ascii="Calibri"/>
          <w:sz w:val="22"/>
        </w:rPr>
      </w:pPr>
      <w:r>
        <w:rPr/>
        <w:t>and found that the waste gases and waste water produced by melting metals in factories caused Pb, Cd, Cu and Zn pollution in the surrounding environment</w:t>
      </w:r>
      <w:r>
        <w:rPr>
          <w:rFonts w:ascii="Calibri"/>
          <w:sz w:val="22"/>
        </w:rPr>
        <w:t>.</w:t>
      </w:r>
    </w:p>
    <w:p>
      <w:pPr>
        <w:pStyle w:val="ListParagraph"/>
        <w:numPr>
          <w:ilvl w:val="2"/>
          <w:numId w:val="17"/>
        </w:numPr>
        <w:tabs>
          <w:tab w:pos="1025" w:val="left" w:leader="none"/>
        </w:tabs>
        <w:spacing w:line="240" w:lineRule="auto" w:before="265" w:after="0"/>
        <w:ind w:left="1025" w:right="0" w:hanging="605"/>
        <w:jc w:val="left"/>
        <w:rPr>
          <w:sz w:val="24"/>
        </w:rPr>
      </w:pPr>
      <w:hyperlink r:id="rId10">
        <w:r>
          <w:rPr>
            <w:sz w:val="24"/>
          </w:rPr>
          <w:t>Heavy</w:t>
        </w:r>
        <w:r>
          <w:rPr>
            <w:spacing w:val="-8"/>
            <w:sz w:val="24"/>
          </w:rPr>
          <w:t> </w:t>
        </w:r>
        <w:r>
          <w:rPr>
            <w:sz w:val="24"/>
          </w:rPr>
          <w:t>metals</w:t>
        </w:r>
      </w:hyperlink>
      <w:r>
        <w:rPr>
          <w:sz w:val="24"/>
        </w:rPr>
        <w:t> in</w:t>
      </w:r>
      <w:r>
        <w:rPr>
          <w:spacing w:val="-3"/>
          <w:sz w:val="24"/>
        </w:rPr>
        <w:t> </w:t>
      </w:r>
      <w:r>
        <w:rPr>
          <w:spacing w:val="-4"/>
          <w:sz w:val="24"/>
        </w:rPr>
        <w:t>soil</w:t>
      </w:r>
    </w:p>
    <w:p>
      <w:pPr>
        <w:spacing w:after="0" w:line="240" w:lineRule="auto"/>
        <w:jc w:val="left"/>
        <w:rPr>
          <w:sz w:val="24"/>
        </w:rPr>
        <w:sectPr>
          <w:pgSz w:w="12240" w:h="15840"/>
          <w:pgMar w:header="0" w:footer="1012" w:top="1360" w:bottom="1200" w:left="1020" w:right="720"/>
        </w:sectPr>
      </w:pPr>
    </w:p>
    <w:p>
      <w:pPr>
        <w:pStyle w:val="BodyText"/>
        <w:spacing w:line="480" w:lineRule="auto" w:before="72"/>
        <w:ind w:left="420" w:right="710"/>
        <w:jc w:val="both"/>
      </w:pPr>
      <w:r>
        <w:rPr/>
        <w:t>When plants decay, heavy metals that had been taken into the plants are redistributed so the soil is then again enriched with the pollutants (Sawidis </w:t>
      </w:r>
      <w:r>
        <w:rPr>
          <w:i/>
        </w:rPr>
        <w:t>et al</w:t>
      </w:r>
      <w:r>
        <w:rPr/>
        <w:t>., 2001). It has been established that</w:t>
      </w:r>
      <w:r>
        <w:rPr>
          <w:spacing w:val="40"/>
        </w:rPr>
        <w:t> </w:t>
      </w:r>
      <w:r>
        <w:rPr/>
        <w:t>heavy metals in soil are associated with various chemical forms that relate to their solubility which directly bear on their mobility and biological availability. Heavy metals in soluble form have high relation to their uptake by plants (Atora </w:t>
      </w:r>
      <w:r>
        <w:rPr>
          <w:i/>
        </w:rPr>
        <w:t>et al</w:t>
      </w:r>
      <w:r>
        <w:rPr/>
        <w:t>., 2008). Apart from the source of heavy metal, the physical and chemical properties of the soil also affect the concentration of heavy metals in soils (Moore, 2007). The uptake and bioaccumulation of heavy metals in vegetables is influenced by</w:t>
      </w:r>
      <w:r>
        <w:rPr>
          <w:spacing w:val="-7"/>
        </w:rPr>
        <w:t> </w:t>
      </w:r>
      <w:r>
        <w:rPr/>
        <w:t>many</w:t>
      </w:r>
      <w:r>
        <w:rPr>
          <w:spacing w:val="-2"/>
        </w:rPr>
        <w:t> </w:t>
      </w:r>
      <w:r>
        <w:rPr/>
        <w:t>factors</w:t>
      </w:r>
      <w:r>
        <w:rPr>
          <w:spacing w:val="-4"/>
        </w:rPr>
        <w:t> </w:t>
      </w:r>
      <w:r>
        <w:rPr/>
        <w:t>such</w:t>
      </w:r>
      <w:r>
        <w:rPr>
          <w:spacing w:val="-7"/>
        </w:rPr>
        <w:t> </w:t>
      </w:r>
      <w:r>
        <w:rPr/>
        <w:t>as</w:t>
      </w:r>
      <w:r>
        <w:rPr>
          <w:spacing w:val="-4"/>
        </w:rPr>
        <w:t> </w:t>
      </w:r>
      <w:r>
        <w:rPr/>
        <w:t>climate, atmospheric depositions, the</w:t>
      </w:r>
      <w:r>
        <w:rPr>
          <w:spacing w:val="-3"/>
        </w:rPr>
        <w:t> </w:t>
      </w:r>
      <w:r>
        <w:rPr/>
        <w:t>concentrations</w:t>
      </w:r>
      <w:r>
        <w:rPr>
          <w:spacing w:val="-4"/>
        </w:rPr>
        <w:t> </w:t>
      </w:r>
      <w:r>
        <w:rPr/>
        <w:t>of</w:t>
      </w:r>
      <w:r>
        <w:rPr>
          <w:spacing w:val="-9"/>
        </w:rPr>
        <w:t> </w:t>
      </w:r>
      <w:r>
        <w:rPr/>
        <w:t>heavy metals</w:t>
      </w:r>
      <w:r>
        <w:rPr>
          <w:spacing w:val="40"/>
        </w:rPr>
        <w:t> </w:t>
      </w:r>
      <w:r>
        <w:rPr/>
        <w:t>in soils, the nature of soil and the degree of maturity of the plants at the time of the harvest (Scott </w:t>
      </w:r>
      <w:r>
        <w:rPr>
          <w:i/>
        </w:rPr>
        <w:t>et al</w:t>
      </w:r>
      <w:r>
        <w:rPr/>
        <w:t>., 1996). The</w:t>
      </w:r>
      <w:r>
        <w:rPr>
          <w:spacing w:val="-1"/>
        </w:rPr>
        <w:t> </w:t>
      </w:r>
      <w:r>
        <w:rPr/>
        <w:t>soil</w:t>
      </w:r>
      <w:r>
        <w:rPr>
          <w:spacing w:val="-5"/>
        </w:rPr>
        <w:t> </w:t>
      </w:r>
      <w:r>
        <w:rPr/>
        <w:t>contaminants of</w:t>
      </w:r>
      <w:r>
        <w:rPr>
          <w:spacing w:val="-3"/>
        </w:rPr>
        <w:t> </w:t>
      </w:r>
      <w:r>
        <w:rPr/>
        <w:t>heavy metals</w:t>
      </w:r>
      <w:r>
        <w:rPr>
          <w:spacing w:val="-2"/>
        </w:rPr>
        <w:t> </w:t>
      </w:r>
      <w:r>
        <w:rPr/>
        <w:t>were</w:t>
      </w:r>
      <w:r>
        <w:rPr>
          <w:spacing w:val="-1"/>
        </w:rPr>
        <w:t> </w:t>
      </w:r>
      <w:r>
        <w:rPr/>
        <w:t>studied in different parts of India (</w:t>
      </w:r>
      <w:hyperlink r:id="rId29">
        <w:r>
          <w:rPr>
            <w:rFonts w:ascii="Calibri"/>
            <w:u w:val="single"/>
          </w:rPr>
          <w:t>Singh </w:t>
        </w:r>
        <w:r>
          <w:rPr>
            <w:rFonts w:ascii="Calibri"/>
            <w:i/>
            <w:u w:val="single"/>
          </w:rPr>
          <w:t>et al</w:t>
        </w:r>
        <w:r>
          <w:rPr>
            <w:rFonts w:ascii="Calibri"/>
            <w:u w:val="single"/>
          </w:rPr>
          <w:t>., 20</w:t>
        </w:r>
      </w:hyperlink>
      <w:r>
        <w:rPr/>
        <w:t>12). Also the micronutrient content of soil in the different villages and their availability to lactating cows were studied by many researchers in different parts of India (</w:t>
      </w:r>
      <w:hyperlink r:id="rId30">
        <w:r>
          <w:rPr>
            <w:rFonts w:ascii="Calibri"/>
            <w:u w:val="single"/>
          </w:rPr>
          <w:t>Prasad </w:t>
        </w:r>
        <w:r>
          <w:rPr>
            <w:rFonts w:ascii="Calibri"/>
            <w:i/>
            <w:u w:val="single"/>
          </w:rPr>
          <w:t>et al</w:t>
        </w:r>
        <w:r>
          <w:rPr>
            <w:rFonts w:ascii="Calibri"/>
            <w:u w:val="single"/>
          </w:rPr>
          <w:t>.,</w:t>
        </w:r>
        <w:r>
          <w:rPr>
            <w:rFonts w:ascii="Calibri"/>
            <w:spacing w:val="-1"/>
            <w:u w:val="single"/>
          </w:rPr>
          <w:t> </w:t>
        </w:r>
        <w:r>
          <w:rPr>
            <w:rFonts w:ascii="Calibri"/>
            <w:u w:val="single"/>
          </w:rPr>
          <w:t>2005</w:t>
        </w:r>
      </w:hyperlink>
      <w:r>
        <w:rPr/>
        <w:t>). Lead concentration</w:t>
      </w:r>
      <w:r>
        <w:rPr>
          <w:spacing w:val="-4"/>
        </w:rPr>
        <w:t> </w:t>
      </w:r>
      <w:r>
        <w:rPr/>
        <w:t>examined in</w:t>
      </w:r>
      <w:r>
        <w:rPr>
          <w:spacing w:val="-4"/>
        </w:rPr>
        <w:t> </w:t>
      </w:r>
      <w:r>
        <w:rPr/>
        <w:t>soil</w:t>
      </w:r>
      <w:r>
        <w:rPr>
          <w:spacing w:val="-4"/>
        </w:rPr>
        <w:t> </w:t>
      </w:r>
      <w:r>
        <w:rPr/>
        <w:t>of</w:t>
      </w:r>
      <w:r>
        <w:rPr>
          <w:spacing w:val="-2"/>
        </w:rPr>
        <w:t> </w:t>
      </w:r>
      <w:r>
        <w:rPr/>
        <w:t>Andhra Pradesh</w:t>
      </w:r>
      <w:r>
        <w:rPr>
          <w:spacing w:val="-4"/>
        </w:rPr>
        <w:t> </w:t>
      </w:r>
      <w:r>
        <w:rPr/>
        <w:t>was</w:t>
      </w:r>
      <w:r>
        <w:rPr>
          <w:spacing w:val="-1"/>
        </w:rPr>
        <w:t> </w:t>
      </w:r>
      <w:r>
        <w:rPr/>
        <w:t>24 to 183 ppm (</w:t>
      </w:r>
      <w:hyperlink r:id="rId14">
        <w:r>
          <w:rPr>
            <w:rFonts w:ascii="Calibri"/>
            <w:u w:val="single"/>
          </w:rPr>
          <w:t>Bhat and Krishnamachari, 1980</w:t>
        </w:r>
      </w:hyperlink>
      <w:r>
        <w:rPr/>
        <w:t>). Fodder plot soil showed 36.8 ppm</w:t>
      </w:r>
      <w:r>
        <w:rPr>
          <w:spacing w:val="-5"/>
        </w:rPr>
        <w:t> </w:t>
      </w:r>
      <w:r>
        <w:rPr/>
        <w:t>of lead in industrial area of Punjab (</w:t>
      </w:r>
      <w:hyperlink r:id="rId31">
        <w:r>
          <w:rPr>
            <w:rFonts w:ascii="Calibri"/>
            <w:u w:val="single"/>
          </w:rPr>
          <w:t>Singh </w:t>
        </w:r>
        <w:r>
          <w:rPr>
            <w:rFonts w:ascii="Calibri"/>
            <w:i/>
            <w:u w:val="single"/>
          </w:rPr>
          <w:t>et al</w:t>
        </w:r>
        <w:r>
          <w:rPr>
            <w:rFonts w:ascii="Calibri"/>
            <w:u w:val="single"/>
          </w:rPr>
          <w:t>.,</w:t>
        </w:r>
      </w:hyperlink>
      <w:r>
        <w:rPr>
          <w:rFonts w:ascii="Calibri"/>
          <w:u w:val="single"/>
        </w:rPr>
        <w:t> </w:t>
      </w:r>
      <w:r>
        <w:rPr/>
        <w:t>2012). Examination of soil samples in Jeedimetla industrial area of Andhra Pradesh, India by </w:t>
      </w:r>
      <w:hyperlink r:id="rId15">
        <w:r>
          <w:rPr>
            <w:rFonts w:ascii="Calibri"/>
            <w:u w:val="single"/>
          </w:rPr>
          <w:t>Govil (2001)</w:t>
        </w:r>
      </w:hyperlink>
      <w:r>
        <w:rPr>
          <w:rFonts w:ascii="Calibri"/>
        </w:rPr>
        <w:t> </w:t>
      </w:r>
      <w:r>
        <w:rPr/>
        <w:t>revealed very high concentrations of Cu (400 ppm), Zn (1000 ppm), Pb (1600 ppm) and Ni (700 ppm). </w:t>
      </w:r>
      <w:hyperlink r:id="rId32">
        <w:r>
          <w:rPr>
            <w:rFonts w:ascii="Calibri"/>
            <w:u w:val="single"/>
          </w:rPr>
          <w:t>Singh</w:t>
        </w:r>
        <w:r>
          <w:rPr>
            <w:rFonts w:ascii="Calibri"/>
            <w:spacing w:val="40"/>
            <w:u w:val="single"/>
          </w:rPr>
          <w:t> </w:t>
        </w:r>
        <w:r>
          <w:rPr>
            <w:rFonts w:ascii="Calibri"/>
            <w:i/>
            <w:u w:val="single"/>
          </w:rPr>
          <w:t>et al</w:t>
        </w:r>
        <w:r>
          <w:rPr>
            <w:rFonts w:ascii="Calibri"/>
            <w:u w:val="single"/>
          </w:rPr>
          <w:t>. (2012)</w:t>
        </w:r>
      </w:hyperlink>
      <w:r>
        <w:rPr>
          <w:rFonts w:ascii="Calibri"/>
          <w:spacing w:val="40"/>
        </w:rPr>
        <w:t> </w:t>
      </w:r>
      <w:r>
        <w:rPr/>
        <w:t>found higher concentrations of heavy metal in soil sample from a lake in Mysoreand Karnataka, indicating metal toxicity. </w:t>
      </w:r>
      <w:hyperlink r:id="rId22">
        <w:r>
          <w:rPr>
            <w:rFonts w:ascii="Calibri"/>
            <w:u w:val="single"/>
          </w:rPr>
          <w:t>Gowda </w:t>
        </w:r>
        <w:r>
          <w:rPr>
            <w:rFonts w:ascii="Calibri"/>
            <w:i/>
            <w:u w:val="single"/>
          </w:rPr>
          <w:t>et al</w:t>
        </w:r>
        <w:r>
          <w:rPr>
            <w:rFonts w:ascii="Calibri"/>
            <w:u w:val="single"/>
          </w:rPr>
          <w:t>. (2003)</w:t>
        </w:r>
      </w:hyperlink>
      <w:r>
        <w:rPr>
          <w:rFonts w:ascii="Calibri"/>
        </w:rPr>
        <w:t> </w:t>
      </w:r>
      <w:r>
        <w:rPr/>
        <w:t>studied the status of pollutants in soil in industrial area in Bangalore. The average </w:t>
      </w:r>
      <w:hyperlink r:id="rId33">
        <w:r>
          <w:rPr/>
          <w:t>soil pH</w:t>
        </w:r>
      </w:hyperlink>
      <w:r>
        <w:rPr/>
        <w:t> was acidic (6.54 ppm) in industrial areas as compared to normal areas. The Pb (35.30 ppm), Cu (95.30 ppm), Zn</w:t>
      </w:r>
      <w:r>
        <w:rPr>
          <w:spacing w:val="-5"/>
        </w:rPr>
        <w:t> </w:t>
      </w:r>
      <w:r>
        <w:rPr/>
        <w:t>(69.0) and Fe levels in soil</w:t>
      </w:r>
      <w:r>
        <w:rPr>
          <w:spacing w:val="-5"/>
        </w:rPr>
        <w:t> </w:t>
      </w:r>
      <w:r>
        <w:rPr/>
        <w:t>of</w:t>
      </w:r>
      <w:r>
        <w:rPr>
          <w:spacing w:val="-3"/>
        </w:rPr>
        <w:t> </w:t>
      </w:r>
      <w:r>
        <w:rPr/>
        <w:t>industrial</w:t>
      </w:r>
      <w:r>
        <w:rPr>
          <w:spacing w:val="-5"/>
        </w:rPr>
        <w:t> </w:t>
      </w:r>
      <w:r>
        <w:rPr/>
        <w:t>areas</w:t>
      </w:r>
      <w:r>
        <w:rPr>
          <w:spacing w:val="-2"/>
        </w:rPr>
        <w:t> </w:t>
      </w:r>
      <w:r>
        <w:rPr/>
        <w:t>was much higher than those of non-industrial areas. </w:t>
      </w:r>
      <w:hyperlink r:id="rId34">
        <w:r>
          <w:rPr>
            <w:rFonts w:ascii="Calibri"/>
            <w:u w:val="single"/>
          </w:rPr>
          <w:t>Bansal </w:t>
        </w:r>
        <w:r>
          <w:rPr>
            <w:rFonts w:ascii="Calibri"/>
            <w:i/>
            <w:u w:val="single"/>
          </w:rPr>
          <w:t>et al. </w:t>
        </w:r>
        <w:r>
          <w:rPr>
            <w:rFonts w:ascii="Calibri"/>
            <w:u w:val="single"/>
          </w:rPr>
          <w:t>(2004)</w:t>
        </w:r>
      </w:hyperlink>
      <w:r>
        <w:rPr>
          <w:rFonts w:ascii="Calibri"/>
        </w:rPr>
        <w:t> </w:t>
      </w:r>
      <w:r>
        <w:rPr/>
        <w:t>found that the soils under sewer water irrigation had higher</w:t>
      </w:r>
      <w:r>
        <w:rPr>
          <w:spacing w:val="15"/>
        </w:rPr>
        <w:t> </w:t>
      </w:r>
      <w:r>
        <w:rPr/>
        <w:t>concentrations of Zn,</w:t>
      </w:r>
      <w:r>
        <w:rPr>
          <w:spacing w:val="15"/>
        </w:rPr>
        <w:t> </w:t>
      </w:r>
      <w:r>
        <w:rPr/>
        <w:t>Cu,</w:t>
      </w:r>
      <w:r>
        <w:rPr>
          <w:spacing w:val="15"/>
        </w:rPr>
        <w:t> </w:t>
      </w:r>
      <w:r>
        <w:rPr/>
        <w:t>Pb and Cd when compared to fields</w:t>
      </w:r>
      <w:r>
        <w:rPr>
          <w:spacing w:val="16"/>
        </w:rPr>
        <w:t> </w:t>
      </w:r>
      <w:r>
        <w:rPr/>
        <w:t>irrigated by</w:t>
      </w:r>
    </w:p>
    <w:p>
      <w:pPr>
        <w:spacing w:after="0" w:line="480" w:lineRule="auto"/>
        <w:jc w:val="both"/>
        <w:sectPr>
          <w:pgSz w:w="12240" w:h="15840"/>
          <w:pgMar w:header="0" w:footer="1012" w:top="1360" w:bottom="1200" w:left="1020" w:right="720"/>
        </w:sectPr>
      </w:pPr>
    </w:p>
    <w:p>
      <w:pPr>
        <w:pStyle w:val="BodyText"/>
        <w:spacing w:line="480" w:lineRule="auto" w:before="72"/>
        <w:ind w:left="420" w:right="712"/>
        <w:jc w:val="both"/>
      </w:pPr>
      <w:r>
        <w:rPr/>
        <w:t>underground water. Soils irrigated with the effluents had higher contents of micronutrients and heavy metals as compared to the corresponding well irrigated soils (</w:t>
      </w:r>
      <w:hyperlink r:id="rId35">
        <w:r>
          <w:rPr>
            <w:rFonts w:ascii="Calibri"/>
            <w:u w:val="single"/>
          </w:rPr>
          <w:t>Patel </w:t>
        </w:r>
        <w:r>
          <w:rPr>
            <w:rFonts w:ascii="Calibri"/>
            <w:i/>
            <w:u w:val="single"/>
          </w:rPr>
          <w:t>et al</w:t>
        </w:r>
        <w:r>
          <w:rPr>
            <w:rFonts w:ascii="Calibri"/>
            <w:u w:val="single"/>
          </w:rPr>
          <w:t>., 2004</w:t>
        </w:r>
      </w:hyperlink>
      <w:r>
        <w:rPr/>
        <w:t>). Heavy metal accumulation, movement and distribution in the soil profiles near Zn smelter plant in Udaipur, India was studied by </w:t>
      </w:r>
      <w:hyperlink r:id="rId36">
        <w:r>
          <w:rPr>
            <w:rFonts w:ascii="Calibri"/>
            <w:u w:val="single"/>
          </w:rPr>
          <w:t>Garg and Totawat (2005)</w:t>
        </w:r>
        <w:r>
          <w:rPr/>
          <w:t>.</w:t>
        </w:r>
      </w:hyperlink>
      <w:r>
        <w:rPr/>
        <w:t> They found higher levels of heavy metals in the area which was situated in the close proximity of the effluent discharge point. </w:t>
      </w:r>
      <w:hyperlink r:id="rId37">
        <w:r>
          <w:rPr>
            <w:rFonts w:ascii="Calibri"/>
            <w:u w:val="single"/>
          </w:rPr>
          <w:t>Ahmed </w:t>
        </w:r>
        <w:r>
          <w:rPr>
            <w:rFonts w:ascii="Calibri"/>
            <w:i/>
            <w:u w:val="single"/>
          </w:rPr>
          <w:t>et al. </w:t>
        </w:r>
        <w:r>
          <w:rPr>
            <w:rFonts w:ascii="Calibri"/>
            <w:u w:val="single"/>
          </w:rPr>
          <w:t>(2009)</w:t>
        </w:r>
      </w:hyperlink>
      <w:r>
        <w:rPr>
          <w:rFonts w:ascii="Calibri"/>
          <w:spacing w:val="40"/>
        </w:rPr>
        <w:t> </w:t>
      </w:r>
      <w:r>
        <w:rPr/>
        <w:t>investigated the heavy metal concentration in soil in the vicinity of industries around Coimbatore city in Tamil Nadu, India. The concentration of Cd in all the industrial areas was found above the normal level. Pb was found above maximum tolerable concentration in all sites except in the textile industrial area. The content of heavy metals in soil of Jharia coal field of Jharkhand was estimated by </w:t>
      </w:r>
      <w:hyperlink r:id="rId38">
        <w:r>
          <w:rPr>
            <w:rFonts w:ascii="Calibri"/>
            <w:u w:val="single"/>
          </w:rPr>
          <w:t>Nwude </w:t>
        </w:r>
        <w:r>
          <w:rPr>
            <w:rFonts w:ascii="Calibri"/>
            <w:i/>
            <w:u w:val="single"/>
          </w:rPr>
          <w:t>et al</w:t>
        </w:r>
        <w:r>
          <w:rPr>
            <w:rFonts w:ascii="Calibri"/>
            <w:u w:val="single"/>
          </w:rPr>
          <w:t>. (2010)</w:t>
        </w:r>
      </w:hyperlink>
      <w:r>
        <w:rPr>
          <w:rFonts w:ascii="Calibri"/>
        </w:rPr>
        <w:t> </w:t>
      </w:r>
      <w:r>
        <w:rPr/>
        <w:t>and noticed that the polluted soil was substantially contaminated with metals including Cr, Fe, Ni, Pb, Zn and Cu present in significant level. Soil</w:t>
      </w:r>
      <w:r>
        <w:rPr>
          <w:spacing w:val="-2"/>
        </w:rPr>
        <w:t> </w:t>
      </w:r>
      <w:r>
        <w:rPr/>
        <w:t>samples in the area near a refining factory</w:t>
      </w:r>
      <w:r>
        <w:rPr>
          <w:spacing w:val="-2"/>
        </w:rPr>
        <w:t> </w:t>
      </w:r>
      <w:r>
        <w:rPr/>
        <w:t>had higher content of Pb, Cd and Cu (</w:t>
      </w:r>
      <w:hyperlink r:id="rId26">
        <w:r>
          <w:rPr>
            <w:rFonts w:ascii="Calibri"/>
            <w:u w:val="single"/>
          </w:rPr>
          <w:t>Li-wenfan </w:t>
        </w:r>
        <w:r>
          <w:rPr>
            <w:rFonts w:ascii="Calibri"/>
            <w:i/>
            <w:u w:val="single"/>
          </w:rPr>
          <w:t>et al</w:t>
        </w:r>
        <w:r>
          <w:rPr>
            <w:rFonts w:ascii="Calibri"/>
            <w:u w:val="single"/>
          </w:rPr>
          <w:t>., 1995</w:t>
        </w:r>
      </w:hyperlink>
      <w:r>
        <w:rPr/>
        <w:t>). </w:t>
      </w:r>
      <w:hyperlink r:id="rId39">
        <w:r>
          <w:rPr>
            <w:rFonts w:ascii="Calibri"/>
            <w:u w:val="single"/>
          </w:rPr>
          <w:t>Burhenne </w:t>
        </w:r>
        <w:r>
          <w:rPr>
            <w:rFonts w:ascii="Calibri"/>
            <w:i/>
            <w:u w:val="single"/>
          </w:rPr>
          <w:t>et al</w:t>
        </w:r>
        <w:r>
          <w:rPr>
            <w:rFonts w:ascii="Calibri"/>
            <w:u w:val="single"/>
          </w:rPr>
          <w:t>. (2008)</w:t>
        </w:r>
      </w:hyperlink>
      <w:r>
        <w:rPr>
          <w:rFonts w:ascii="Calibri"/>
        </w:rPr>
        <w:t> </w:t>
      </w:r>
      <w:r>
        <w:rPr/>
        <w:t>found high level of heavy metal concentrations in soil. Pb, Cd, Cu and Hg were 1360, 29.7, 817 and 40.8 ppm</w:t>
      </w:r>
      <w:r>
        <w:rPr>
          <w:spacing w:val="-4"/>
        </w:rPr>
        <w:t> </w:t>
      </w:r>
      <w:r>
        <w:rPr/>
        <w:t>of</w:t>
      </w:r>
      <w:r>
        <w:rPr>
          <w:spacing w:val="-2"/>
        </w:rPr>
        <w:t> </w:t>
      </w:r>
      <w:r>
        <w:rPr/>
        <w:t>soil </w:t>
      </w:r>
      <w:hyperlink r:id="rId40">
        <w:r>
          <w:rPr/>
          <w:t>dry matter</w:t>
        </w:r>
      </w:hyperlink>
      <w:r>
        <w:rPr/>
        <w:t>, respectively. </w:t>
      </w:r>
      <w:hyperlink r:id="rId41">
        <w:r>
          <w:rPr>
            <w:rFonts w:ascii="Calibri"/>
            <w:u w:val="single"/>
          </w:rPr>
          <w:t>Lemos </w:t>
        </w:r>
        <w:r>
          <w:rPr>
            <w:rFonts w:ascii="Calibri"/>
            <w:i/>
            <w:u w:val="single"/>
          </w:rPr>
          <w:t>et al</w:t>
        </w:r>
        <w:r>
          <w:rPr>
            <w:rFonts w:ascii="Calibri"/>
            <w:u w:val="single"/>
          </w:rPr>
          <w:t>. (2004)</w:t>
        </w:r>
      </w:hyperlink>
      <w:r>
        <w:rPr>
          <w:rFonts w:ascii="Calibri"/>
        </w:rPr>
        <w:t> </w:t>
      </w:r>
      <w:r>
        <w:rPr/>
        <w:t>measured the concentration of As, Cd, Cu and Pb in New Zealand pastoral topsoil in both farmed and non-farmed sites. Results showed that there was a significant enrichment of Cd in the farmed soils over non-farmed soils.</w:t>
      </w:r>
    </w:p>
    <w:p>
      <w:pPr>
        <w:pStyle w:val="BodyText"/>
        <w:spacing w:before="9"/>
      </w:pPr>
    </w:p>
    <w:p>
      <w:pPr>
        <w:pStyle w:val="ListParagraph"/>
        <w:numPr>
          <w:ilvl w:val="2"/>
          <w:numId w:val="17"/>
        </w:numPr>
        <w:tabs>
          <w:tab w:pos="962" w:val="left" w:leader="none"/>
        </w:tabs>
        <w:spacing w:line="240" w:lineRule="auto" w:before="0" w:after="0"/>
        <w:ind w:left="962" w:right="0" w:hanging="542"/>
        <w:jc w:val="left"/>
        <w:rPr>
          <w:sz w:val="24"/>
        </w:rPr>
      </w:pPr>
      <w:hyperlink r:id="rId10">
        <w:r>
          <w:rPr>
            <w:sz w:val="24"/>
          </w:rPr>
          <w:t>Heavy</w:t>
        </w:r>
        <w:r>
          <w:rPr>
            <w:spacing w:val="-7"/>
            <w:sz w:val="24"/>
          </w:rPr>
          <w:t> </w:t>
        </w:r>
        <w:r>
          <w:rPr>
            <w:sz w:val="24"/>
          </w:rPr>
          <w:t>metals</w:t>
        </w:r>
      </w:hyperlink>
      <w:r>
        <w:rPr>
          <w:spacing w:val="2"/>
          <w:sz w:val="24"/>
        </w:rPr>
        <w:t> </w:t>
      </w:r>
      <w:r>
        <w:rPr>
          <w:sz w:val="24"/>
        </w:rPr>
        <w:t>in</w:t>
      </w:r>
      <w:r>
        <w:rPr>
          <w:spacing w:val="-1"/>
          <w:sz w:val="24"/>
        </w:rPr>
        <w:t> </w:t>
      </w:r>
      <w:r>
        <w:rPr>
          <w:spacing w:val="-2"/>
          <w:sz w:val="24"/>
        </w:rPr>
        <w:t>fodder</w:t>
      </w:r>
    </w:p>
    <w:p>
      <w:pPr>
        <w:pStyle w:val="BodyText"/>
      </w:pPr>
    </w:p>
    <w:p>
      <w:pPr>
        <w:pStyle w:val="BodyText"/>
        <w:spacing w:before="2"/>
      </w:pPr>
    </w:p>
    <w:p>
      <w:pPr>
        <w:pStyle w:val="BodyText"/>
        <w:spacing w:line="480" w:lineRule="auto"/>
        <w:ind w:left="420" w:right="721"/>
        <w:jc w:val="both"/>
      </w:pPr>
      <w:r>
        <w:rPr/>
        <w:t>In India, </w:t>
      </w:r>
      <w:hyperlink r:id="rId42">
        <w:r>
          <w:rPr>
            <w:u w:val="single"/>
          </w:rPr>
          <w:t>Rozso </w:t>
        </w:r>
        <w:r>
          <w:rPr>
            <w:i/>
            <w:u w:val="single"/>
          </w:rPr>
          <w:t>et al</w:t>
        </w:r>
        <w:r>
          <w:rPr>
            <w:u w:val="single"/>
          </w:rPr>
          <w:t>. (2003)</w:t>
        </w:r>
      </w:hyperlink>
      <w:r>
        <w:rPr/>
        <w:t> detected Pb content of forages and roughages produced in agricultural regions and the neighboring cities, industrial plants and busy highways. Pb contamination of plants from industrial areas and nearby busy roads was higher than that of plants</w:t>
      </w:r>
      <w:r>
        <w:rPr>
          <w:spacing w:val="12"/>
        </w:rPr>
        <w:t> </w:t>
      </w:r>
      <w:r>
        <w:rPr/>
        <w:t>from</w:t>
      </w:r>
      <w:r>
        <w:rPr>
          <w:spacing w:val="1"/>
        </w:rPr>
        <w:t> </w:t>
      </w:r>
      <w:r>
        <w:rPr/>
        <w:t>agricultural</w:t>
      </w:r>
      <w:r>
        <w:rPr>
          <w:spacing w:val="5"/>
        </w:rPr>
        <w:t> </w:t>
      </w:r>
      <w:r>
        <w:rPr/>
        <w:t>areas.</w:t>
      </w:r>
      <w:r>
        <w:rPr>
          <w:spacing w:val="18"/>
        </w:rPr>
        <w:t> </w:t>
      </w:r>
      <w:hyperlink r:id="rId43">
        <w:r>
          <w:rPr>
            <w:u w:val="single"/>
          </w:rPr>
          <w:t>Dey</w:t>
        </w:r>
        <w:r>
          <w:rPr>
            <w:spacing w:val="10"/>
            <w:u w:val="single"/>
          </w:rPr>
          <w:t> </w:t>
        </w:r>
        <w:r>
          <w:rPr>
            <w:i/>
            <w:u w:val="single"/>
          </w:rPr>
          <w:t>et</w:t>
        </w:r>
        <w:r>
          <w:rPr>
            <w:i/>
            <w:spacing w:val="11"/>
            <w:u w:val="single"/>
          </w:rPr>
          <w:t> </w:t>
        </w:r>
        <w:r>
          <w:rPr>
            <w:i/>
            <w:u w:val="single"/>
          </w:rPr>
          <w:t>al</w:t>
        </w:r>
        <w:r>
          <w:rPr>
            <w:u w:val="single"/>
          </w:rPr>
          <w:t>.</w:t>
        </w:r>
        <w:r>
          <w:rPr>
            <w:spacing w:val="11"/>
            <w:u w:val="single"/>
          </w:rPr>
          <w:t> </w:t>
        </w:r>
        <w:r>
          <w:rPr>
            <w:u w:val="single"/>
          </w:rPr>
          <w:t>(1997)</w:t>
        </w:r>
      </w:hyperlink>
      <w:r>
        <w:rPr>
          <w:spacing w:val="12"/>
        </w:rPr>
        <w:t> </w:t>
      </w:r>
      <w:r>
        <w:rPr/>
        <w:t>examined</w:t>
      </w:r>
      <w:r>
        <w:rPr>
          <w:spacing w:val="9"/>
        </w:rPr>
        <w:t> </w:t>
      </w:r>
      <w:r>
        <w:rPr/>
        <w:t>the</w:t>
      </w:r>
      <w:r>
        <w:rPr>
          <w:spacing w:val="19"/>
        </w:rPr>
        <w:t> </w:t>
      </w:r>
      <w:r>
        <w:rPr/>
        <w:t>fodder</w:t>
      </w:r>
      <w:r>
        <w:rPr>
          <w:spacing w:val="11"/>
        </w:rPr>
        <w:t> </w:t>
      </w:r>
      <w:r>
        <w:rPr/>
        <w:t>samples</w:t>
      </w:r>
      <w:r>
        <w:rPr>
          <w:spacing w:val="17"/>
        </w:rPr>
        <w:t> </w:t>
      </w:r>
      <w:r>
        <w:rPr/>
        <w:t>in</w:t>
      </w:r>
      <w:r>
        <w:rPr>
          <w:spacing w:val="9"/>
        </w:rPr>
        <w:t> </w:t>
      </w:r>
      <w:r>
        <w:rPr/>
        <w:t>a</w:t>
      </w:r>
      <w:r>
        <w:rPr>
          <w:spacing w:val="9"/>
        </w:rPr>
        <w:t> </w:t>
      </w:r>
      <w:r>
        <w:rPr/>
        <w:t>polluted</w:t>
      </w:r>
      <w:r>
        <w:rPr>
          <w:spacing w:val="10"/>
        </w:rPr>
        <w:t> </w:t>
      </w:r>
      <w:r>
        <w:rPr>
          <w:spacing w:val="-4"/>
        </w:rPr>
        <w:t>area</w:t>
      </w:r>
    </w:p>
    <w:p>
      <w:pPr>
        <w:spacing w:after="0" w:line="480" w:lineRule="auto"/>
        <w:jc w:val="both"/>
        <w:sectPr>
          <w:pgSz w:w="12240" w:h="15840"/>
          <w:pgMar w:header="0" w:footer="1012" w:top="1360" w:bottom="1200" w:left="1020" w:right="720"/>
        </w:sectPr>
      </w:pPr>
    </w:p>
    <w:p>
      <w:pPr>
        <w:pStyle w:val="BodyText"/>
        <w:spacing w:line="480" w:lineRule="auto" w:before="72"/>
        <w:ind w:left="420" w:right="714"/>
        <w:jc w:val="both"/>
      </w:pPr>
      <w:r>
        <w:rPr/>
        <w:t>and recorded the mean Pb concentration in forages as 706 ppm and the mean Cu, Pb, Cd concentration in forages as 1.116, 46, 1.075 ppm, respectively</w:t>
      </w:r>
      <w:r>
        <w:rPr>
          <w:spacing w:val="-6"/>
        </w:rPr>
        <w:t> </w:t>
      </w:r>
      <w:r>
        <w:rPr/>
        <w:t>(</w:t>
      </w:r>
      <w:hyperlink r:id="rId18">
        <w:r>
          <w:rPr>
            <w:u w:val="single"/>
          </w:rPr>
          <w:t>Dey</w:t>
        </w:r>
        <w:r>
          <w:rPr>
            <w:spacing w:val="-1"/>
            <w:u w:val="single"/>
          </w:rPr>
          <w:t> </w:t>
        </w:r>
        <w:r>
          <w:rPr>
            <w:i/>
            <w:u w:val="single"/>
          </w:rPr>
          <w:t>et al</w:t>
        </w:r>
        <w:r>
          <w:rPr>
            <w:u w:val="single"/>
          </w:rPr>
          <w:t>., 1997</w:t>
        </w:r>
      </w:hyperlink>
      <w:r>
        <w:rPr/>
        <w:t>). The fodder fed to animals in industrial areas of Punjab, India contained Pb concentration of 102 to 382 mg kg</w:t>
      </w:r>
      <w:r>
        <w:rPr>
          <w:vertAlign w:val="superscript"/>
        </w:rPr>
        <w:t>-1</w:t>
      </w:r>
      <w:r>
        <w:rPr>
          <w:vertAlign w:val="baseline"/>
        </w:rPr>
        <w:t> (</w:t>
      </w:r>
      <w:hyperlink r:id="rId31">
        <w:r>
          <w:rPr>
            <w:u w:val="single"/>
            <w:vertAlign w:val="baseline"/>
          </w:rPr>
          <w:t>Singh</w:t>
        </w:r>
        <w:r>
          <w:rPr>
            <w:spacing w:val="-6"/>
            <w:u w:val="single"/>
            <w:vertAlign w:val="baseline"/>
          </w:rPr>
          <w:t> </w:t>
        </w:r>
        <w:r>
          <w:rPr>
            <w:i/>
            <w:u w:val="single"/>
            <w:vertAlign w:val="baseline"/>
          </w:rPr>
          <w:t>et</w:t>
        </w:r>
        <w:r>
          <w:rPr>
            <w:i/>
            <w:spacing w:val="-2"/>
            <w:u w:val="single"/>
            <w:vertAlign w:val="baseline"/>
          </w:rPr>
          <w:t> </w:t>
        </w:r>
        <w:r>
          <w:rPr>
            <w:i/>
            <w:u w:val="single"/>
            <w:vertAlign w:val="baseline"/>
          </w:rPr>
          <w:t>al</w:t>
        </w:r>
        <w:r>
          <w:rPr>
            <w:u w:val="single"/>
            <w:vertAlign w:val="baseline"/>
          </w:rPr>
          <w:t>.,</w:t>
        </w:r>
      </w:hyperlink>
      <w:r>
        <w:rPr>
          <w:u w:val="single"/>
          <w:vertAlign w:val="baseline"/>
        </w:rPr>
        <w:t> </w:t>
      </w:r>
      <w:r>
        <w:rPr>
          <w:vertAlign w:val="baseline"/>
        </w:rPr>
        <w:t>2012).</w:t>
      </w:r>
      <w:r>
        <w:rPr>
          <w:spacing w:val="-4"/>
          <w:vertAlign w:val="baseline"/>
        </w:rPr>
        <w:t> </w:t>
      </w:r>
      <w:r>
        <w:rPr>
          <w:vertAlign w:val="baseline"/>
        </w:rPr>
        <w:t>The</w:t>
      </w:r>
      <w:r>
        <w:rPr>
          <w:spacing w:val="-3"/>
          <w:vertAlign w:val="baseline"/>
        </w:rPr>
        <w:t> </w:t>
      </w:r>
      <w:r>
        <w:rPr>
          <w:vertAlign w:val="baseline"/>
        </w:rPr>
        <w:t>Pb</w:t>
      </w:r>
      <w:r>
        <w:rPr>
          <w:spacing w:val="-6"/>
          <w:vertAlign w:val="baseline"/>
        </w:rPr>
        <w:t> </w:t>
      </w:r>
      <w:r>
        <w:rPr>
          <w:vertAlign w:val="baseline"/>
        </w:rPr>
        <w:t>(2.40-145</w:t>
      </w:r>
      <w:r>
        <w:rPr>
          <w:spacing w:val="-6"/>
          <w:vertAlign w:val="baseline"/>
        </w:rPr>
        <w:t> </w:t>
      </w:r>
      <w:r>
        <w:rPr>
          <w:vertAlign w:val="baseline"/>
        </w:rPr>
        <w:t>ppm), Cd</w:t>
      </w:r>
      <w:r>
        <w:rPr>
          <w:spacing w:val="-2"/>
          <w:vertAlign w:val="baseline"/>
        </w:rPr>
        <w:t> </w:t>
      </w:r>
      <w:r>
        <w:rPr>
          <w:vertAlign w:val="baseline"/>
        </w:rPr>
        <w:t>(0.50-10</w:t>
      </w:r>
      <w:r>
        <w:rPr>
          <w:spacing w:val="-2"/>
          <w:vertAlign w:val="baseline"/>
        </w:rPr>
        <w:t> </w:t>
      </w:r>
      <w:r>
        <w:rPr>
          <w:vertAlign w:val="baseline"/>
        </w:rPr>
        <w:t>ppm)</w:t>
      </w:r>
      <w:r>
        <w:rPr>
          <w:spacing w:val="-1"/>
          <w:vertAlign w:val="baseline"/>
        </w:rPr>
        <w:t> </w:t>
      </w:r>
      <w:r>
        <w:rPr>
          <w:vertAlign w:val="baseline"/>
        </w:rPr>
        <w:t>and</w:t>
      </w:r>
      <w:r>
        <w:rPr>
          <w:spacing w:val="-2"/>
          <w:vertAlign w:val="baseline"/>
        </w:rPr>
        <w:t> </w:t>
      </w:r>
      <w:r>
        <w:rPr>
          <w:vertAlign w:val="baseline"/>
        </w:rPr>
        <w:t>Cu</w:t>
      </w:r>
      <w:r>
        <w:rPr>
          <w:spacing w:val="-2"/>
          <w:vertAlign w:val="baseline"/>
        </w:rPr>
        <w:t> </w:t>
      </w:r>
      <w:r>
        <w:rPr>
          <w:vertAlign w:val="baseline"/>
        </w:rPr>
        <w:t>(43- 251</w:t>
      </w:r>
      <w:r>
        <w:rPr>
          <w:spacing w:val="-2"/>
          <w:vertAlign w:val="baseline"/>
        </w:rPr>
        <w:t> </w:t>
      </w:r>
      <w:r>
        <w:rPr>
          <w:vertAlign w:val="baseline"/>
        </w:rPr>
        <w:t>ppm), Zn</w:t>
      </w:r>
      <w:r>
        <w:rPr>
          <w:spacing w:val="-6"/>
          <w:vertAlign w:val="baseline"/>
        </w:rPr>
        <w:t> </w:t>
      </w:r>
      <w:r>
        <w:rPr>
          <w:vertAlign w:val="baseline"/>
        </w:rPr>
        <w:t>(19-50 ppm) and Iron (338-11600 ppm) content in the vegetation in an industrial area was found higher as compared to normal areas (</w:t>
      </w:r>
      <w:hyperlink r:id="rId22">
        <w:r>
          <w:rPr>
            <w:u w:val="single"/>
            <w:vertAlign w:val="baseline"/>
          </w:rPr>
          <w:t>Gwoda </w:t>
        </w:r>
        <w:r>
          <w:rPr>
            <w:i/>
            <w:u w:val="single"/>
            <w:vertAlign w:val="baseline"/>
          </w:rPr>
          <w:t>et al</w:t>
        </w:r>
        <w:r>
          <w:rPr>
            <w:u w:val="single"/>
            <w:vertAlign w:val="baseline"/>
          </w:rPr>
          <w:t>., 2003</w:t>
        </w:r>
      </w:hyperlink>
      <w:r>
        <w:rPr>
          <w:vertAlign w:val="baseline"/>
        </w:rPr>
        <w:t>). Plants grown on sewer water irrigation had higher concentration of Zn, Cu, Cd, Cr and Ni as compared to fields irrigated by underground water in Aligarh district of Uttar Pradesh, India (</w:t>
      </w:r>
      <w:hyperlink r:id="rId34">
        <w:r>
          <w:rPr>
            <w:u w:val="single"/>
            <w:vertAlign w:val="baseline"/>
          </w:rPr>
          <w:t>Bansal </w:t>
        </w:r>
        <w:r>
          <w:rPr>
            <w:i/>
            <w:u w:val="single"/>
            <w:vertAlign w:val="baseline"/>
          </w:rPr>
          <w:t>et al.</w:t>
        </w:r>
        <w:r>
          <w:rPr>
            <w:u w:val="single"/>
            <w:vertAlign w:val="baseline"/>
          </w:rPr>
          <w:t>, 2004</w:t>
        </w:r>
      </w:hyperlink>
      <w:r>
        <w:rPr>
          <w:vertAlign w:val="baseline"/>
        </w:rPr>
        <w:t>). The Cu content in various tree leaves in Akola district of Maharashtra state, India ranged between 106.25 to 220.00 ppm (</w:t>
      </w:r>
      <w:hyperlink r:id="rId44">
        <w:r>
          <w:rPr>
            <w:u w:val="single"/>
            <w:vertAlign w:val="baseline"/>
          </w:rPr>
          <w:t>Dike </w:t>
        </w:r>
        <w:r>
          <w:rPr>
            <w:i/>
            <w:u w:val="single"/>
            <w:vertAlign w:val="baseline"/>
          </w:rPr>
          <w:t>et al</w:t>
        </w:r>
        <w:r>
          <w:rPr>
            <w:u w:val="single"/>
            <w:vertAlign w:val="baseline"/>
          </w:rPr>
          <w:t>., 200</w:t>
        </w:r>
      </w:hyperlink>
      <w:r>
        <w:rPr>
          <w:vertAlign w:val="baseline"/>
        </w:rPr>
        <w:t>4). The concentration of Cr, Cu, Zn, Fe and Mn in the green roughage fed to Black Bengal goats had mean values of 0.80±0.01, 49.13, 36.89, 353.71 and 96.58 ppm, respectively</w:t>
      </w:r>
      <w:r>
        <w:rPr>
          <w:spacing w:val="-9"/>
          <w:vertAlign w:val="baseline"/>
        </w:rPr>
        <w:t> </w:t>
      </w:r>
      <w:r>
        <w:rPr>
          <w:vertAlign w:val="baseline"/>
        </w:rPr>
        <w:t>(</w:t>
      </w:r>
      <w:hyperlink r:id="rId45">
        <w:r>
          <w:rPr>
            <w:u w:val="single"/>
            <w:vertAlign w:val="baseline"/>
          </w:rPr>
          <w:t>Paul</w:t>
        </w:r>
        <w:r>
          <w:rPr>
            <w:spacing w:val="-4"/>
            <w:u w:val="single"/>
            <w:vertAlign w:val="baseline"/>
          </w:rPr>
          <w:t> </w:t>
        </w:r>
        <w:r>
          <w:rPr>
            <w:i/>
            <w:u w:val="single"/>
            <w:vertAlign w:val="baseline"/>
          </w:rPr>
          <w:t>et al</w:t>
        </w:r>
        <w:r>
          <w:rPr>
            <w:u w:val="single"/>
            <w:vertAlign w:val="baseline"/>
          </w:rPr>
          <w:t>., 2005</w:t>
        </w:r>
      </w:hyperlink>
      <w:r>
        <w:rPr>
          <w:vertAlign w:val="baseline"/>
        </w:rPr>
        <w:t>). The</w:t>
      </w:r>
      <w:r>
        <w:rPr>
          <w:spacing w:val="-1"/>
          <w:vertAlign w:val="baseline"/>
        </w:rPr>
        <w:t> </w:t>
      </w:r>
      <w:r>
        <w:rPr>
          <w:vertAlign w:val="baseline"/>
        </w:rPr>
        <w:t>fodder samples fed to the</w:t>
      </w:r>
      <w:r>
        <w:rPr>
          <w:spacing w:val="-1"/>
          <w:vertAlign w:val="baseline"/>
        </w:rPr>
        <w:t> </w:t>
      </w:r>
      <w:r>
        <w:rPr>
          <w:vertAlign w:val="baseline"/>
        </w:rPr>
        <w:t>dairy</w:t>
      </w:r>
      <w:r>
        <w:rPr>
          <w:spacing w:val="-10"/>
          <w:vertAlign w:val="baseline"/>
        </w:rPr>
        <w:t> </w:t>
      </w:r>
      <w:r>
        <w:rPr>
          <w:vertAlign w:val="baseline"/>
        </w:rPr>
        <w:t>animals in Coimbatore,</w:t>
      </w:r>
      <w:r>
        <w:rPr>
          <w:spacing w:val="-3"/>
          <w:vertAlign w:val="baseline"/>
        </w:rPr>
        <w:t> </w:t>
      </w:r>
      <w:r>
        <w:rPr>
          <w:vertAlign w:val="baseline"/>
        </w:rPr>
        <w:t>India was analyzed by </w:t>
      </w:r>
      <w:hyperlink r:id="rId46">
        <w:r>
          <w:rPr>
            <w:color w:val="0000FF"/>
            <w:u w:val="single" w:color="0000FF"/>
            <w:vertAlign w:val="baseline"/>
          </w:rPr>
          <w:t> Saad and Fahmy</w:t>
        </w:r>
        <w:r>
          <w:rPr>
            <w:color w:val="0000FF"/>
            <w:spacing w:val="-1"/>
            <w:u w:val="single" w:color="0000FF"/>
            <w:vertAlign w:val="baseline"/>
          </w:rPr>
          <w:t> </w:t>
        </w:r>
        <w:r>
          <w:rPr>
            <w:color w:val="0000FF"/>
            <w:u w:val="single" w:color="0000FF"/>
            <w:vertAlign w:val="baseline"/>
          </w:rPr>
          <w:t>(1996</w:t>
        </w:r>
        <w:r>
          <w:rPr>
            <w:u w:val="single" w:color="0000FF"/>
            <w:vertAlign w:val="baseline"/>
          </w:rPr>
          <w:t>)</w:t>
        </w:r>
      </w:hyperlink>
      <w:r>
        <w:rPr>
          <w:vertAlign w:val="baseline"/>
        </w:rPr>
        <w:t> for micronutrient and heavy metal</w:t>
      </w:r>
      <w:r>
        <w:rPr>
          <w:spacing w:val="-1"/>
          <w:vertAlign w:val="baseline"/>
        </w:rPr>
        <w:t> </w:t>
      </w:r>
      <w:r>
        <w:rPr>
          <w:vertAlign w:val="baseline"/>
        </w:rPr>
        <w:t>concentration. The mean values of micronutrients were Cu, Zn, Fe and Mn; 15.99, 48.4, 379.60, 47.16 mg kg</w:t>
      </w:r>
      <w:r>
        <w:rPr>
          <w:vertAlign w:val="superscript"/>
        </w:rPr>
        <w:t>-1</w:t>
      </w:r>
      <w:r>
        <w:rPr>
          <w:vertAlign w:val="baseline"/>
        </w:rPr>
        <w:t> and that of heavy metals were Cr, Ni, Pb, Cd; 134.8, 202.9, 64.02, 15.92 mg kg</w:t>
      </w:r>
      <w:r>
        <w:rPr>
          <w:vertAlign w:val="superscript"/>
        </w:rPr>
        <w:t>-1</w:t>
      </w:r>
      <w:r>
        <w:rPr>
          <w:vertAlign w:val="baseline"/>
        </w:rPr>
        <w:t>, respectively. The concentration of micronutrients was in the normal range and hence no toxicity, whereas the</w:t>
      </w:r>
      <w:r>
        <w:rPr>
          <w:spacing w:val="40"/>
          <w:vertAlign w:val="baseline"/>
        </w:rPr>
        <w:t> </w:t>
      </w:r>
      <w:r>
        <w:rPr>
          <w:vertAlign w:val="baseline"/>
        </w:rPr>
        <w:t>heavy metal concentration fell under toxic level based on the critical level of trace metal in plants. </w:t>
      </w:r>
      <w:hyperlink r:id="rId13">
        <w:r>
          <w:rPr>
            <w:u w:val="single"/>
            <w:vertAlign w:val="baseline"/>
          </w:rPr>
          <w:t>Raji </w:t>
        </w:r>
        <w:r>
          <w:rPr>
            <w:i/>
            <w:u w:val="single"/>
            <w:vertAlign w:val="baseline"/>
          </w:rPr>
          <w:t>et al</w:t>
        </w:r>
        <w:r>
          <w:rPr>
            <w:u w:val="single"/>
            <w:vertAlign w:val="baseline"/>
          </w:rPr>
          <w:t>. (2010)</w:t>
        </w:r>
      </w:hyperlink>
      <w:r>
        <w:rPr>
          <w:vertAlign w:val="baseline"/>
        </w:rPr>
        <w:t> analyzed plants for Cd, Cr, Ni, Pb, Co, Zn, Cu, Fe and Mn in sewage contaminated area. Plants grown on polluted soil irrigated with sewage water recorded higher level</w:t>
      </w:r>
      <w:r>
        <w:rPr>
          <w:spacing w:val="-4"/>
          <w:vertAlign w:val="baseline"/>
        </w:rPr>
        <w:t> </w:t>
      </w:r>
      <w:r>
        <w:rPr>
          <w:vertAlign w:val="baseline"/>
        </w:rPr>
        <w:t>of</w:t>
      </w:r>
      <w:r>
        <w:rPr>
          <w:spacing w:val="-2"/>
          <w:vertAlign w:val="baseline"/>
        </w:rPr>
        <w:t> </w:t>
      </w:r>
      <w:r>
        <w:rPr>
          <w:vertAlign w:val="baseline"/>
        </w:rPr>
        <w:t>heavy</w:t>
      </w:r>
      <w:r>
        <w:rPr>
          <w:spacing w:val="2"/>
          <w:vertAlign w:val="baseline"/>
        </w:rPr>
        <w:t> </w:t>
      </w:r>
      <w:r>
        <w:rPr>
          <w:vertAlign w:val="baseline"/>
        </w:rPr>
        <w:t>metals.</w:t>
      </w:r>
      <w:r>
        <w:rPr>
          <w:spacing w:val="3"/>
          <w:vertAlign w:val="baseline"/>
        </w:rPr>
        <w:t> </w:t>
      </w:r>
      <w:r>
        <w:rPr>
          <w:vertAlign w:val="baseline"/>
        </w:rPr>
        <w:t>The average</w:t>
      </w:r>
      <w:r>
        <w:rPr>
          <w:spacing w:val="6"/>
          <w:vertAlign w:val="baseline"/>
        </w:rPr>
        <w:t> </w:t>
      </w:r>
      <w:r>
        <w:rPr>
          <w:vertAlign w:val="baseline"/>
        </w:rPr>
        <w:t>value of</w:t>
      </w:r>
      <w:r>
        <w:rPr>
          <w:spacing w:val="-2"/>
          <w:vertAlign w:val="baseline"/>
        </w:rPr>
        <w:t> </w:t>
      </w:r>
      <w:r>
        <w:rPr>
          <w:vertAlign w:val="baseline"/>
        </w:rPr>
        <w:t>Cd</w:t>
      </w:r>
      <w:r>
        <w:rPr>
          <w:spacing w:val="6"/>
          <w:vertAlign w:val="baseline"/>
        </w:rPr>
        <w:t> </w:t>
      </w:r>
      <w:r>
        <w:rPr>
          <w:vertAlign w:val="baseline"/>
        </w:rPr>
        <w:t>in</w:t>
      </w:r>
      <w:r>
        <w:rPr>
          <w:spacing w:val="5"/>
          <w:vertAlign w:val="baseline"/>
        </w:rPr>
        <w:t> </w:t>
      </w:r>
      <w:r>
        <w:rPr>
          <w:vertAlign w:val="baseline"/>
        </w:rPr>
        <w:t>plants</w:t>
      </w:r>
      <w:r>
        <w:rPr>
          <w:spacing w:val="-1"/>
          <w:vertAlign w:val="baseline"/>
        </w:rPr>
        <w:t> </w:t>
      </w:r>
      <w:r>
        <w:rPr>
          <w:vertAlign w:val="baseline"/>
        </w:rPr>
        <w:t>was</w:t>
      </w:r>
      <w:r>
        <w:rPr>
          <w:spacing w:val="4"/>
          <w:vertAlign w:val="baseline"/>
        </w:rPr>
        <w:t> </w:t>
      </w:r>
      <w:r>
        <w:rPr>
          <w:vertAlign w:val="baseline"/>
        </w:rPr>
        <w:t>0.79</w:t>
      </w:r>
      <w:r>
        <w:rPr>
          <w:spacing w:val="5"/>
          <w:vertAlign w:val="baseline"/>
        </w:rPr>
        <w:t> </w:t>
      </w:r>
      <w:r>
        <w:rPr>
          <w:vertAlign w:val="baseline"/>
        </w:rPr>
        <w:t>mg</w:t>
      </w:r>
      <w:r>
        <w:rPr>
          <w:spacing w:val="5"/>
          <w:vertAlign w:val="baseline"/>
        </w:rPr>
        <w:t> </w:t>
      </w:r>
      <w:r>
        <w:rPr>
          <w:vertAlign w:val="baseline"/>
        </w:rPr>
        <w:t>kg</w:t>
      </w:r>
      <w:r>
        <w:rPr>
          <w:vertAlign w:val="superscript"/>
        </w:rPr>
        <w:t>-1</w:t>
      </w:r>
      <w:r>
        <w:rPr>
          <w:vertAlign w:val="baseline"/>
        </w:rPr>
        <w:t>,</w:t>
      </w:r>
      <w:r>
        <w:rPr>
          <w:spacing w:val="4"/>
          <w:vertAlign w:val="baseline"/>
        </w:rPr>
        <w:t> </w:t>
      </w:r>
      <w:r>
        <w:rPr>
          <w:vertAlign w:val="baseline"/>
        </w:rPr>
        <w:t>Pb</w:t>
      </w:r>
      <w:r>
        <w:rPr>
          <w:spacing w:val="-4"/>
          <w:vertAlign w:val="baseline"/>
        </w:rPr>
        <w:t> </w:t>
      </w:r>
      <w:r>
        <w:rPr>
          <w:vertAlign w:val="baseline"/>
        </w:rPr>
        <w:t>19.22</w:t>
      </w:r>
      <w:r>
        <w:rPr>
          <w:spacing w:val="5"/>
          <w:vertAlign w:val="baseline"/>
        </w:rPr>
        <w:t> </w:t>
      </w:r>
      <w:r>
        <w:rPr>
          <w:vertAlign w:val="baseline"/>
        </w:rPr>
        <w:t>mg</w:t>
      </w:r>
      <w:r>
        <w:rPr>
          <w:spacing w:val="2"/>
          <w:vertAlign w:val="baseline"/>
        </w:rPr>
        <w:t> </w:t>
      </w:r>
      <w:r>
        <w:rPr>
          <w:vertAlign w:val="baseline"/>
        </w:rPr>
        <w:t>kg</w:t>
      </w:r>
      <w:r>
        <w:rPr>
          <w:vertAlign w:val="superscript"/>
        </w:rPr>
        <w:t>-1</w:t>
      </w:r>
      <w:r>
        <w:rPr>
          <w:vertAlign w:val="baseline"/>
        </w:rPr>
        <w:t>,</w:t>
      </w:r>
      <w:r>
        <w:rPr>
          <w:spacing w:val="3"/>
          <w:vertAlign w:val="baseline"/>
        </w:rPr>
        <w:t> </w:t>
      </w:r>
      <w:r>
        <w:rPr>
          <w:spacing w:val="-5"/>
          <w:vertAlign w:val="baseline"/>
        </w:rPr>
        <w:t>Cu</w:t>
      </w:r>
    </w:p>
    <w:p>
      <w:pPr>
        <w:pStyle w:val="BodyText"/>
        <w:spacing w:line="480" w:lineRule="auto" w:before="4"/>
        <w:ind w:left="420" w:right="720"/>
        <w:jc w:val="both"/>
      </w:pPr>
      <w:r>
        <w:rPr/>
        <w:t>12.76 mg kg</w:t>
      </w:r>
      <w:r>
        <w:rPr>
          <w:vertAlign w:val="superscript"/>
        </w:rPr>
        <w:t>-1</w:t>
      </w:r>
      <w:r>
        <w:rPr>
          <w:vertAlign w:val="baseline"/>
        </w:rPr>
        <w:t>, Cr 4.90 mg kg</w:t>
      </w:r>
      <w:r>
        <w:rPr>
          <w:vertAlign w:val="superscript"/>
        </w:rPr>
        <w:t>-1</w:t>
      </w:r>
      <w:r>
        <w:rPr>
          <w:vertAlign w:val="baseline"/>
        </w:rPr>
        <w:t>, Ni</w:t>
      </w:r>
      <w:r>
        <w:rPr>
          <w:spacing w:val="-6"/>
          <w:vertAlign w:val="baseline"/>
        </w:rPr>
        <w:t> </w:t>
      </w:r>
      <w:r>
        <w:rPr>
          <w:vertAlign w:val="baseline"/>
        </w:rPr>
        <w:t>4.34 mg kg</w:t>
      </w:r>
      <w:r>
        <w:rPr>
          <w:vertAlign w:val="superscript"/>
        </w:rPr>
        <w:t>-1</w:t>
      </w:r>
      <w:r>
        <w:rPr>
          <w:vertAlign w:val="baseline"/>
        </w:rPr>
        <w:t>, Co 2.39</w:t>
      </w:r>
      <w:r>
        <w:rPr>
          <w:spacing w:val="-1"/>
          <w:vertAlign w:val="baseline"/>
        </w:rPr>
        <w:t> </w:t>
      </w:r>
      <w:r>
        <w:rPr>
          <w:vertAlign w:val="baseline"/>
        </w:rPr>
        <w:t>mg kg</w:t>
      </w:r>
      <w:r>
        <w:rPr>
          <w:vertAlign w:val="superscript"/>
        </w:rPr>
        <w:t>-1</w:t>
      </w:r>
      <w:r>
        <w:rPr>
          <w:vertAlign w:val="baseline"/>
        </w:rPr>
        <w:t>, Zn</w:t>
      </w:r>
      <w:r>
        <w:rPr>
          <w:spacing w:val="-1"/>
          <w:vertAlign w:val="baseline"/>
        </w:rPr>
        <w:t> </w:t>
      </w:r>
      <w:r>
        <w:rPr>
          <w:vertAlign w:val="baseline"/>
        </w:rPr>
        <w:t>44.88 mg kg</w:t>
      </w:r>
      <w:r>
        <w:rPr>
          <w:vertAlign w:val="superscript"/>
        </w:rPr>
        <w:t>-1</w:t>
      </w:r>
      <w:r>
        <w:rPr>
          <w:vertAlign w:val="baseline"/>
        </w:rPr>
        <w:t>, Fe 459 mg kg</w:t>
      </w:r>
      <w:r>
        <w:rPr>
          <w:vertAlign w:val="superscript"/>
        </w:rPr>
        <w:t>-1</w:t>
      </w:r>
      <w:r>
        <w:rPr>
          <w:vertAlign w:val="baseline"/>
        </w:rPr>
        <w:t> and Mn 92.86 mg kg</w:t>
      </w:r>
      <w:r>
        <w:rPr>
          <w:vertAlign w:val="superscript"/>
        </w:rPr>
        <w:t>-1</w:t>
      </w:r>
      <w:r>
        <w:rPr>
          <w:vertAlign w:val="baseline"/>
        </w:rPr>
        <w:t>. </w:t>
      </w:r>
      <w:hyperlink r:id="rId47">
        <w:r>
          <w:rPr>
            <w:u w:val="single"/>
            <w:vertAlign w:val="baseline"/>
          </w:rPr>
          <w:t>Prasad </w:t>
        </w:r>
        <w:r>
          <w:rPr>
            <w:i/>
            <w:u w:val="single"/>
            <w:vertAlign w:val="baseline"/>
          </w:rPr>
          <w:t>et al</w:t>
        </w:r>
        <w:r>
          <w:rPr>
            <w:u w:val="single"/>
            <w:vertAlign w:val="baseline"/>
          </w:rPr>
          <w:t>. (2005)</w:t>
        </w:r>
      </w:hyperlink>
      <w:r>
        <w:rPr>
          <w:vertAlign w:val="baseline"/>
        </w:rPr>
        <w:t> monitored Pb and Cd contamination in grazing land</w:t>
      </w:r>
      <w:r>
        <w:rPr>
          <w:spacing w:val="4"/>
          <w:vertAlign w:val="baseline"/>
        </w:rPr>
        <w:t> </w:t>
      </w:r>
      <w:r>
        <w:rPr>
          <w:vertAlign w:val="baseline"/>
        </w:rPr>
        <w:t>located</w:t>
      </w:r>
      <w:r>
        <w:rPr>
          <w:spacing w:val="1"/>
          <w:vertAlign w:val="baseline"/>
        </w:rPr>
        <w:t> </w:t>
      </w:r>
      <w:r>
        <w:rPr>
          <w:vertAlign w:val="baseline"/>
        </w:rPr>
        <w:t>near</w:t>
      </w:r>
      <w:r>
        <w:rPr>
          <w:spacing w:val="2"/>
          <w:vertAlign w:val="baseline"/>
        </w:rPr>
        <w:t> </w:t>
      </w:r>
      <w:r>
        <w:rPr>
          <w:vertAlign w:val="baseline"/>
        </w:rPr>
        <w:t>a highway.</w:t>
      </w:r>
      <w:r>
        <w:rPr>
          <w:spacing w:val="3"/>
          <w:vertAlign w:val="baseline"/>
        </w:rPr>
        <w:t> </w:t>
      </w:r>
      <w:r>
        <w:rPr>
          <w:vertAlign w:val="baseline"/>
        </w:rPr>
        <w:t>Grass</w:t>
      </w:r>
      <w:r>
        <w:rPr>
          <w:spacing w:val="3"/>
          <w:vertAlign w:val="baseline"/>
        </w:rPr>
        <w:t> </w:t>
      </w:r>
      <w:r>
        <w:rPr>
          <w:vertAlign w:val="baseline"/>
        </w:rPr>
        <w:t>had</w:t>
      </w:r>
      <w:r>
        <w:rPr>
          <w:spacing w:val="1"/>
          <w:vertAlign w:val="baseline"/>
        </w:rPr>
        <w:t> </w:t>
      </w:r>
      <w:r>
        <w:rPr>
          <w:vertAlign w:val="baseline"/>
        </w:rPr>
        <w:t>a Pb</w:t>
      </w:r>
      <w:r>
        <w:rPr>
          <w:spacing w:val="-5"/>
          <w:vertAlign w:val="baseline"/>
        </w:rPr>
        <w:t> </w:t>
      </w:r>
      <w:r>
        <w:rPr>
          <w:vertAlign w:val="baseline"/>
        </w:rPr>
        <w:t>and</w:t>
      </w:r>
      <w:r>
        <w:rPr>
          <w:spacing w:val="1"/>
          <w:vertAlign w:val="baseline"/>
        </w:rPr>
        <w:t> </w:t>
      </w:r>
      <w:r>
        <w:rPr>
          <w:vertAlign w:val="baseline"/>
        </w:rPr>
        <w:t>Cd</w:t>
      </w:r>
      <w:r>
        <w:rPr>
          <w:spacing w:val="1"/>
          <w:vertAlign w:val="baseline"/>
        </w:rPr>
        <w:t> </w:t>
      </w:r>
      <w:r>
        <w:rPr>
          <w:vertAlign w:val="baseline"/>
        </w:rPr>
        <w:t>content</w:t>
      </w:r>
      <w:r>
        <w:rPr>
          <w:spacing w:val="1"/>
          <w:vertAlign w:val="baseline"/>
        </w:rPr>
        <w:t> </w:t>
      </w:r>
      <w:r>
        <w:rPr>
          <w:vertAlign w:val="baseline"/>
        </w:rPr>
        <w:t>of</w:t>
      </w:r>
      <w:r>
        <w:rPr>
          <w:spacing w:val="-7"/>
          <w:vertAlign w:val="baseline"/>
        </w:rPr>
        <w:t> </w:t>
      </w:r>
      <w:r>
        <w:rPr>
          <w:vertAlign w:val="baseline"/>
        </w:rPr>
        <w:t>0.76</w:t>
      </w:r>
      <w:r>
        <w:rPr>
          <w:spacing w:val="1"/>
          <w:vertAlign w:val="baseline"/>
        </w:rPr>
        <w:t> </w:t>
      </w:r>
      <w:r>
        <w:rPr>
          <w:vertAlign w:val="baseline"/>
        </w:rPr>
        <w:t>to</w:t>
      </w:r>
      <w:r>
        <w:rPr>
          <w:spacing w:val="1"/>
          <w:vertAlign w:val="baseline"/>
        </w:rPr>
        <w:t> </w:t>
      </w:r>
      <w:r>
        <w:rPr>
          <w:vertAlign w:val="baseline"/>
        </w:rPr>
        <w:t>6.62</w:t>
      </w:r>
      <w:r>
        <w:rPr>
          <w:spacing w:val="1"/>
          <w:vertAlign w:val="baseline"/>
        </w:rPr>
        <w:t> </w:t>
      </w:r>
      <w:r>
        <w:rPr>
          <w:vertAlign w:val="baseline"/>
        </w:rPr>
        <w:t>ppm</w:t>
      </w:r>
      <w:r>
        <w:rPr>
          <w:spacing w:val="-8"/>
          <w:vertAlign w:val="baseline"/>
        </w:rPr>
        <w:t> </w:t>
      </w:r>
      <w:r>
        <w:rPr>
          <w:vertAlign w:val="baseline"/>
        </w:rPr>
        <w:t>and</w:t>
      </w:r>
      <w:r>
        <w:rPr>
          <w:spacing w:val="1"/>
          <w:vertAlign w:val="baseline"/>
        </w:rPr>
        <w:t> </w:t>
      </w:r>
      <w:r>
        <w:rPr>
          <w:vertAlign w:val="baseline"/>
        </w:rPr>
        <w:t>0.17</w:t>
      </w:r>
      <w:r>
        <w:rPr>
          <w:spacing w:val="1"/>
          <w:vertAlign w:val="baseline"/>
        </w:rPr>
        <w:t> </w:t>
      </w:r>
      <w:r>
        <w:rPr>
          <w:vertAlign w:val="baseline"/>
        </w:rPr>
        <w:t>to</w:t>
      </w:r>
      <w:r>
        <w:rPr>
          <w:spacing w:val="6"/>
          <w:vertAlign w:val="baseline"/>
        </w:rPr>
        <w:t> </w:t>
      </w:r>
      <w:r>
        <w:rPr>
          <w:spacing w:val="-4"/>
          <w:vertAlign w:val="baseline"/>
        </w:rPr>
        <w:t>0.73</w:t>
      </w:r>
    </w:p>
    <w:p>
      <w:pPr>
        <w:spacing w:after="0" w:line="480" w:lineRule="auto"/>
        <w:jc w:val="both"/>
        <w:sectPr>
          <w:pgSz w:w="12240" w:h="15840"/>
          <w:pgMar w:header="0" w:footer="1012" w:top="1360" w:bottom="1200" w:left="1020" w:right="720"/>
        </w:sectPr>
      </w:pPr>
    </w:p>
    <w:p>
      <w:pPr>
        <w:pStyle w:val="BodyText"/>
        <w:spacing w:line="480" w:lineRule="auto" w:before="72"/>
        <w:ind w:left="420" w:right="600"/>
      </w:pPr>
      <w:r>
        <w:rPr/>
        <w:t>ppm, respectively. They found that plants growing nearer to the highway are usually exposed to more</w:t>
      </w:r>
      <w:r>
        <w:rPr>
          <w:spacing w:val="62"/>
        </w:rPr>
        <w:t> </w:t>
      </w:r>
      <w:r>
        <w:rPr/>
        <w:t>heavy</w:t>
      </w:r>
      <w:r>
        <w:rPr>
          <w:spacing w:val="58"/>
        </w:rPr>
        <w:t> </w:t>
      </w:r>
      <w:r>
        <w:rPr/>
        <w:t>metal</w:t>
      </w:r>
      <w:r>
        <w:rPr>
          <w:spacing w:val="54"/>
        </w:rPr>
        <w:t> </w:t>
      </w:r>
      <w:r>
        <w:rPr/>
        <w:t>accumulations</w:t>
      </w:r>
      <w:r>
        <w:rPr>
          <w:spacing w:val="61"/>
        </w:rPr>
        <w:t> </w:t>
      </w:r>
      <w:r>
        <w:rPr/>
        <w:t>than</w:t>
      </w:r>
      <w:r>
        <w:rPr>
          <w:spacing w:val="58"/>
        </w:rPr>
        <w:t> </w:t>
      </w:r>
      <w:r>
        <w:rPr/>
        <w:t>those</w:t>
      </w:r>
      <w:r>
        <w:rPr>
          <w:spacing w:val="62"/>
        </w:rPr>
        <w:t> </w:t>
      </w:r>
      <w:r>
        <w:rPr/>
        <w:t>away</w:t>
      </w:r>
      <w:r>
        <w:rPr>
          <w:spacing w:val="58"/>
        </w:rPr>
        <w:t> </w:t>
      </w:r>
      <w:r>
        <w:rPr/>
        <w:t>from</w:t>
      </w:r>
      <w:r>
        <w:rPr>
          <w:spacing w:val="54"/>
        </w:rPr>
        <w:t> </w:t>
      </w:r>
      <w:r>
        <w:rPr/>
        <w:t>the</w:t>
      </w:r>
      <w:r>
        <w:rPr>
          <w:spacing w:val="67"/>
        </w:rPr>
        <w:t> </w:t>
      </w:r>
      <w:r>
        <w:rPr/>
        <w:t>highway.</w:t>
      </w:r>
      <w:r>
        <w:rPr>
          <w:spacing w:val="76"/>
        </w:rPr>
        <w:t> </w:t>
      </w:r>
      <w:hyperlink r:id="rId30">
        <w:r>
          <w:rPr>
            <w:u w:val="single"/>
          </w:rPr>
          <w:t>Prasad</w:t>
        </w:r>
        <w:r>
          <w:rPr>
            <w:spacing w:val="64"/>
            <w:u w:val="single"/>
          </w:rPr>
          <w:t> </w:t>
        </w:r>
        <w:r>
          <w:rPr>
            <w:i/>
            <w:u w:val="single"/>
          </w:rPr>
          <w:t>et</w:t>
        </w:r>
        <w:r>
          <w:rPr>
            <w:i/>
            <w:spacing w:val="64"/>
            <w:u w:val="single"/>
          </w:rPr>
          <w:t> </w:t>
        </w:r>
        <w:r>
          <w:rPr>
            <w:i/>
            <w:u w:val="single"/>
          </w:rPr>
          <w:t>al</w:t>
        </w:r>
        <w:r>
          <w:rPr>
            <w:u w:val="single"/>
          </w:rPr>
          <w:t>.</w:t>
        </w:r>
        <w:r>
          <w:rPr>
            <w:spacing w:val="65"/>
            <w:u w:val="single"/>
          </w:rPr>
          <w:t> </w:t>
        </w:r>
        <w:r>
          <w:rPr>
            <w:spacing w:val="-2"/>
            <w:u w:val="single"/>
          </w:rPr>
          <w:t>(2005)</w:t>
        </w:r>
      </w:hyperlink>
    </w:p>
    <w:p>
      <w:pPr>
        <w:pStyle w:val="BodyText"/>
        <w:spacing w:line="480" w:lineRule="auto" w:before="1"/>
        <w:ind w:left="420" w:right="715"/>
        <w:jc w:val="both"/>
      </w:pPr>
      <w:r>
        <w:rPr/>
        <w:t>examined the micronutrient content of feeds in the adopted villages and assessed their</w:t>
      </w:r>
      <w:r>
        <w:rPr>
          <w:spacing w:val="40"/>
        </w:rPr>
        <w:t> </w:t>
      </w:r>
      <w:r>
        <w:rPr/>
        <w:t>availability to lactating cows. The fodder and paddy straw contained more silica and low in Cu content whereas in green fodders Cu, Fe and Mn was present above the critical level. The inter- relationship of soil micro-nutrient with feed stuffs was studied by </w:t>
      </w:r>
      <w:hyperlink r:id="rId48">
        <w:r>
          <w:rPr>
            <w:color w:val="0000FF"/>
            <w:u w:val="single" w:color="0000FF"/>
          </w:rPr>
          <w:t> Morrison (2011</w:t>
        </w:r>
        <w:r>
          <w:rPr>
            <w:u w:val="single" w:color="0000FF"/>
          </w:rPr>
          <w:t>)</w:t>
        </w:r>
      </w:hyperlink>
      <w:r>
        <w:rPr/>
        <w:t> in Jind district of Haryana, India. The concentration of Cu, Zn, Fe and Mn in sorghum stover samples were in the range of 4.41-41.20, 27.12-40.96, 235.80-442.25 and 27.33-62.02 respectively. Soil Cu content had significant positive correlation with Cu content of green berseem, sorghum, stover and </w:t>
      </w:r>
      <w:hyperlink r:id="rId49">
        <w:r>
          <w:rPr/>
          <w:t>wheat straw</w:t>
        </w:r>
      </w:hyperlink>
      <w:r>
        <w:rPr>
          <w:b/>
        </w:rPr>
        <w:t>. </w:t>
      </w:r>
      <w:r>
        <w:rPr/>
        <w:t>They reported that the Cu and Fe content of soil significantly affected their</w:t>
      </w:r>
      <w:r>
        <w:rPr>
          <w:spacing w:val="-2"/>
        </w:rPr>
        <w:t> </w:t>
      </w:r>
      <w:r>
        <w:rPr/>
        <w:t>respective</w:t>
      </w:r>
      <w:r>
        <w:rPr>
          <w:spacing w:val="-4"/>
        </w:rPr>
        <w:t> </w:t>
      </w:r>
      <w:r>
        <w:rPr/>
        <w:t>concentrations</w:t>
      </w:r>
      <w:r>
        <w:rPr>
          <w:spacing w:val="-1"/>
        </w:rPr>
        <w:t> </w:t>
      </w:r>
      <w:r>
        <w:rPr/>
        <w:t>in</w:t>
      </w:r>
      <w:r>
        <w:rPr>
          <w:spacing w:val="-3"/>
        </w:rPr>
        <w:t> </w:t>
      </w:r>
      <w:r>
        <w:rPr/>
        <w:t>feedstuffs. </w:t>
      </w:r>
      <w:hyperlink r:id="rId50">
        <w:r>
          <w:rPr>
            <w:u w:val="single"/>
          </w:rPr>
          <w:t>Duruibe</w:t>
        </w:r>
        <w:r>
          <w:rPr>
            <w:spacing w:val="-3"/>
            <w:u w:val="single"/>
          </w:rPr>
          <w:t> </w:t>
        </w:r>
        <w:r>
          <w:rPr>
            <w:i/>
            <w:u w:val="single"/>
          </w:rPr>
          <w:t>et</w:t>
        </w:r>
        <w:r>
          <w:rPr>
            <w:i/>
            <w:spacing w:val="-3"/>
            <w:u w:val="single"/>
          </w:rPr>
          <w:t> </w:t>
        </w:r>
        <w:r>
          <w:rPr>
            <w:i/>
            <w:u w:val="single"/>
          </w:rPr>
          <w:t>al</w:t>
        </w:r>
        <w:r>
          <w:rPr>
            <w:u w:val="single"/>
          </w:rPr>
          <w:t>.</w:t>
        </w:r>
        <w:r>
          <w:rPr>
            <w:spacing w:val="-1"/>
            <w:u w:val="single"/>
          </w:rPr>
          <w:t> </w:t>
        </w:r>
        <w:r>
          <w:rPr>
            <w:u w:val="single"/>
          </w:rPr>
          <w:t>(2007)</w:t>
        </w:r>
      </w:hyperlink>
      <w:r>
        <w:rPr/>
        <w:t> assessed</w:t>
      </w:r>
      <w:r>
        <w:rPr>
          <w:spacing w:val="-3"/>
        </w:rPr>
        <w:t> </w:t>
      </w:r>
      <w:r>
        <w:rPr/>
        <w:t>the</w:t>
      </w:r>
      <w:r>
        <w:rPr>
          <w:spacing w:val="-4"/>
        </w:rPr>
        <w:t> </w:t>
      </w:r>
      <w:r>
        <w:rPr/>
        <w:t>effect of</w:t>
      </w:r>
      <w:r>
        <w:rPr>
          <w:spacing w:val="-11"/>
        </w:rPr>
        <w:t> </w:t>
      </w:r>
      <w:r>
        <w:rPr/>
        <w:t>pollution from Cu industry on heavy metals concentration in green forage used in dairy cattle of Poland. Green forage from different farms within the copper mining area of Legnica-Glogow had twice the content of Cu, Pb and Cd than samples from another area. The influence of Pb, Cd, Cu and</w:t>
      </w:r>
      <w:r>
        <w:rPr>
          <w:spacing w:val="40"/>
        </w:rPr>
        <w:t> </w:t>
      </w:r>
      <w:r>
        <w:rPr/>
        <w:t>Zn</w:t>
      </w:r>
      <w:r>
        <w:rPr>
          <w:spacing w:val="-5"/>
        </w:rPr>
        <w:t> </w:t>
      </w:r>
      <w:r>
        <w:rPr/>
        <w:t>pollution</w:t>
      </w:r>
      <w:r>
        <w:rPr>
          <w:spacing w:val="-3"/>
        </w:rPr>
        <w:t> </w:t>
      </w:r>
      <w:r>
        <w:rPr/>
        <w:t>of</w:t>
      </w:r>
      <w:r>
        <w:rPr>
          <w:spacing w:val="-5"/>
        </w:rPr>
        <w:t> </w:t>
      </w:r>
      <w:r>
        <w:rPr/>
        <w:t>the</w:t>
      </w:r>
      <w:r>
        <w:rPr>
          <w:spacing w:val="5"/>
        </w:rPr>
        <w:t> </w:t>
      </w:r>
      <w:r>
        <w:rPr/>
        <w:t>environment</w:t>
      </w:r>
      <w:r>
        <w:rPr>
          <w:spacing w:val="8"/>
        </w:rPr>
        <w:t> </w:t>
      </w:r>
      <w:r>
        <w:rPr/>
        <w:t>on</w:t>
      </w:r>
      <w:r>
        <w:rPr>
          <w:spacing w:val="-3"/>
        </w:rPr>
        <w:t> </w:t>
      </w:r>
      <w:r>
        <w:rPr/>
        <w:t>the</w:t>
      </w:r>
      <w:r>
        <w:rPr>
          <w:spacing w:val="6"/>
        </w:rPr>
        <w:t> </w:t>
      </w:r>
      <w:r>
        <w:rPr/>
        <w:t>health</w:t>
      </w:r>
      <w:r>
        <w:rPr>
          <w:spacing w:val="-2"/>
        </w:rPr>
        <w:t> </w:t>
      </w:r>
      <w:r>
        <w:rPr/>
        <w:t>of</w:t>
      </w:r>
      <w:r>
        <w:rPr>
          <w:spacing w:val="-6"/>
        </w:rPr>
        <w:t> </w:t>
      </w:r>
      <w:r>
        <w:rPr/>
        <w:t>sheep</w:t>
      </w:r>
      <w:r>
        <w:rPr>
          <w:spacing w:val="7"/>
        </w:rPr>
        <w:t> </w:t>
      </w:r>
      <w:r>
        <w:rPr/>
        <w:t>and</w:t>
      </w:r>
      <w:r>
        <w:rPr>
          <w:spacing w:val="2"/>
        </w:rPr>
        <w:t> </w:t>
      </w:r>
      <w:r>
        <w:rPr/>
        <w:t>goats was</w:t>
      </w:r>
      <w:r>
        <w:rPr>
          <w:spacing w:val="1"/>
        </w:rPr>
        <w:t> </w:t>
      </w:r>
      <w:r>
        <w:rPr/>
        <w:t>studied</w:t>
      </w:r>
      <w:r>
        <w:rPr>
          <w:spacing w:val="6"/>
        </w:rPr>
        <w:t> </w:t>
      </w:r>
      <w:r>
        <w:rPr/>
        <w:t>by</w:t>
      </w:r>
      <w:r>
        <w:rPr>
          <w:spacing w:val="3"/>
        </w:rPr>
        <w:t> </w:t>
      </w:r>
      <w:hyperlink r:id="rId26">
        <w:r>
          <w:rPr>
            <w:u w:val="single"/>
          </w:rPr>
          <w:t>Li-wenfan</w:t>
        </w:r>
        <w:r>
          <w:rPr>
            <w:spacing w:val="3"/>
            <w:u w:val="single"/>
          </w:rPr>
          <w:t> </w:t>
        </w:r>
        <w:r>
          <w:rPr>
            <w:i/>
            <w:u w:val="single"/>
          </w:rPr>
          <w:t>et</w:t>
        </w:r>
        <w:r>
          <w:rPr>
            <w:i/>
            <w:spacing w:val="3"/>
            <w:u w:val="single"/>
          </w:rPr>
          <w:t> </w:t>
        </w:r>
        <w:r>
          <w:rPr>
            <w:i/>
            <w:spacing w:val="-5"/>
            <w:u w:val="single"/>
          </w:rPr>
          <w:t>al</w:t>
        </w:r>
        <w:r>
          <w:rPr>
            <w:spacing w:val="-5"/>
            <w:u w:val="single"/>
          </w:rPr>
          <w:t>.</w:t>
        </w:r>
      </w:hyperlink>
    </w:p>
    <w:p>
      <w:pPr>
        <w:pStyle w:val="BodyText"/>
        <w:spacing w:line="480" w:lineRule="auto" w:before="2"/>
        <w:ind w:left="420" w:right="710"/>
        <w:jc w:val="both"/>
      </w:pPr>
      <w:hyperlink r:id="rId26">
        <w:r>
          <w:rPr>
            <w:u w:val="single"/>
          </w:rPr>
          <w:t>(1995)</w:t>
        </w:r>
      </w:hyperlink>
      <w:r>
        <w:rPr/>
        <w:t> and found that the concentration in samples of</w:t>
      </w:r>
      <w:r>
        <w:rPr>
          <w:spacing w:val="-7"/>
        </w:rPr>
        <w:t> </w:t>
      </w:r>
      <w:r>
        <w:rPr/>
        <w:t>grass from</w:t>
      </w:r>
      <w:r>
        <w:rPr>
          <w:spacing w:val="-8"/>
        </w:rPr>
        <w:t> </w:t>
      </w:r>
      <w:r>
        <w:rPr/>
        <w:t>polluted areas</w:t>
      </w:r>
      <w:r>
        <w:rPr>
          <w:spacing w:val="-1"/>
        </w:rPr>
        <w:t> </w:t>
      </w:r>
      <w:r>
        <w:rPr/>
        <w:t>was</w:t>
      </w:r>
      <w:r>
        <w:rPr>
          <w:spacing w:val="-1"/>
        </w:rPr>
        <w:t> </w:t>
      </w:r>
      <w:r>
        <w:rPr/>
        <w:t>significantly higher than</w:t>
      </w:r>
      <w:r>
        <w:rPr>
          <w:spacing w:val="-2"/>
        </w:rPr>
        <w:t> </w:t>
      </w:r>
      <w:r>
        <w:rPr/>
        <w:t>that of</w:t>
      </w:r>
      <w:r>
        <w:rPr>
          <w:spacing w:val="-4"/>
        </w:rPr>
        <w:t> </w:t>
      </w:r>
      <w:r>
        <w:rPr/>
        <w:t>unpolluted controls. </w:t>
      </w:r>
      <w:hyperlink r:id="rId51">
        <w:r>
          <w:rPr>
            <w:u w:val="single"/>
          </w:rPr>
          <w:t>Saad and Fahmy</w:t>
        </w:r>
        <w:r>
          <w:rPr>
            <w:spacing w:val="-6"/>
            <w:u w:val="single"/>
          </w:rPr>
          <w:t> </w:t>
        </w:r>
        <w:r>
          <w:rPr>
            <w:u w:val="single"/>
          </w:rPr>
          <w:t>(1996)</w:t>
        </w:r>
      </w:hyperlink>
      <w:r>
        <w:rPr/>
        <w:t> investigated</w:t>
      </w:r>
      <w:r>
        <w:rPr>
          <w:spacing w:val="-2"/>
        </w:rPr>
        <w:t> </w:t>
      </w:r>
      <w:r>
        <w:rPr/>
        <w:t>the accumulation</w:t>
      </w:r>
      <w:r>
        <w:rPr>
          <w:spacing w:val="-2"/>
        </w:rPr>
        <w:t> </w:t>
      </w:r>
      <w:r>
        <w:rPr/>
        <w:t>of Mn, Cu, Zn and Cd in the zooplanktons of Bankalah region in Saudi Arabia. The mean concentration of Cu, Zn, Mn and Cd was 195.92, 179.18, 40.72 and 3.82 mg g</w:t>
      </w:r>
      <w:r>
        <w:rPr>
          <w:vertAlign w:val="superscript"/>
        </w:rPr>
        <w:t>-1</w:t>
      </w:r>
      <w:r>
        <w:rPr>
          <w:vertAlign w:val="baseline"/>
        </w:rPr>
        <w:t> dry weight respectively. The Cd level in organic and conventional pig production systems was studied by </w:t>
      </w:r>
      <w:hyperlink r:id="rId52">
        <w:r>
          <w:rPr>
            <w:u w:val="single"/>
            <w:vertAlign w:val="baseline"/>
          </w:rPr>
          <w:t>Linden</w:t>
        </w:r>
        <w:r>
          <w:rPr>
            <w:spacing w:val="-4"/>
            <w:u w:val="single"/>
            <w:vertAlign w:val="baseline"/>
          </w:rPr>
          <w:t> </w:t>
        </w:r>
        <w:r>
          <w:rPr>
            <w:i/>
            <w:u w:val="single"/>
            <w:vertAlign w:val="baseline"/>
          </w:rPr>
          <w:t>et al</w:t>
        </w:r>
        <w:r>
          <w:rPr>
            <w:u w:val="single"/>
            <w:vertAlign w:val="baseline"/>
          </w:rPr>
          <w:t>. (2002)</w:t>
        </w:r>
      </w:hyperlink>
      <w:r>
        <w:rPr>
          <w:vertAlign w:val="baseline"/>
        </w:rPr>
        <w:t>. The</w:t>
      </w:r>
      <w:r>
        <w:rPr>
          <w:spacing w:val="-1"/>
          <w:vertAlign w:val="baseline"/>
        </w:rPr>
        <w:t> </w:t>
      </w:r>
      <w:r>
        <w:rPr>
          <w:vertAlign w:val="baseline"/>
        </w:rPr>
        <w:t>Cd levels in organic</w:t>
      </w:r>
      <w:r>
        <w:rPr>
          <w:spacing w:val="-1"/>
          <w:vertAlign w:val="baseline"/>
        </w:rPr>
        <w:t> </w:t>
      </w:r>
      <w:r>
        <w:rPr>
          <w:vertAlign w:val="baseline"/>
        </w:rPr>
        <w:t>and conventional feeds</w:t>
      </w:r>
      <w:r>
        <w:rPr>
          <w:spacing w:val="-3"/>
          <w:vertAlign w:val="baseline"/>
        </w:rPr>
        <w:t> </w:t>
      </w:r>
      <w:r>
        <w:rPr>
          <w:vertAlign w:val="baseline"/>
        </w:rPr>
        <w:t>were</w:t>
      </w:r>
      <w:r>
        <w:rPr>
          <w:spacing w:val="-1"/>
          <w:vertAlign w:val="baseline"/>
        </w:rPr>
        <w:t> </w:t>
      </w:r>
      <w:r>
        <w:rPr>
          <w:vertAlign w:val="baseline"/>
        </w:rPr>
        <w:t>39.9 and 51.8 μg kg</w:t>
      </w:r>
      <w:r>
        <w:rPr>
          <w:vertAlign w:val="superscript"/>
        </w:rPr>
        <w:t>-1</w:t>
      </w:r>
      <w:r>
        <w:rPr>
          <w:vertAlign w:val="baseline"/>
        </w:rPr>
        <w:t> respectively. Organic feed contained two per cent potato protein which contributed 17% of the Cd</w:t>
      </w:r>
      <w:r>
        <w:rPr>
          <w:spacing w:val="16"/>
          <w:vertAlign w:val="baseline"/>
        </w:rPr>
        <w:t> </w:t>
      </w:r>
      <w:r>
        <w:rPr>
          <w:vertAlign w:val="baseline"/>
        </w:rPr>
        <w:t>content</w:t>
      </w:r>
      <w:r>
        <w:rPr>
          <w:spacing w:val="24"/>
          <w:vertAlign w:val="baseline"/>
        </w:rPr>
        <w:t> </w:t>
      </w:r>
      <w:r>
        <w:rPr>
          <w:vertAlign w:val="baseline"/>
        </w:rPr>
        <w:t>and</w:t>
      </w:r>
      <w:r>
        <w:rPr>
          <w:spacing w:val="22"/>
          <w:vertAlign w:val="baseline"/>
        </w:rPr>
        <w:t> </w:t>
      </w:r>
      <w:r>
        <w:rPr>
          <w:vertAlign w:val="baseline"/>
        </w:rPr>
        <w:t>conventional</w:t>
      </w:r>
      <w:r>
        <w:rPr>
          <w:spacing w:val="19"/>
          <w:vertAlign w:val="baseline"/>
        </w:rPr>
        <w:t> </w:t>
      </w:r>
      <w:r>
        <w:rPr>
          <w:vertAlign w:val="baseline"/>
        </w:rPr>
        <w:t>feed</w:t>
      </w:r>
      <w:r>
        <w:rPr>
          <w:spacing w:val="19"/>
          <w:vertAlign w:val="baseline"/>
        </w:rPr>
        <w:t> </w:t>
      </w:r>
      <w:r>
        <w:rPr>
          <w:vertAlign w:val="baseline"/>
        </w:rPr>
        <w:t>contained</w:t>
      </w:r>
      <w:r>
        <w:rPr>
          <w:spacing w:val="23"/>
          <w:vertAlign w:val="baseline"/>
        </w:rPr>
        <w:t> </w:t>
      </w:r>
      <w:r>
        <w:rPr>
          <w:vertAlign w:val="baseline"/>
        </w:rPr>
        <w:t>5%</w:t>
      </w:r>
      <w:r>
        <w:rPr>
          <w:spacing w:val="24"/>
          <w:vertAlign w:val="baseline"/>
        </w:rPr>
        <w:t> </w:t>
      </w:r>
      <w:r>
        <w:rPr>
          <w:vertAlign w:val="baseline"/>
        </w:rPr>
        <w:t>beet</w:t>
      </w:r>
      <w:r>
        <w:rPr>
          <w:spacing w:val="29"/>
          <w:vertAlign w:val="baseline"/>
        </w:rPr>
        <w:t> </w:t>
      </w:r>
      <w:r>
        <w:rPr>
          <w:vertAlign w:val="baseline"/>
        </w:rPr>
        <w:t>fibre,</w:t>
      </w:r>
      <w:r>
        <w:rPr>
          <w:spacing w:val="20"/>
          <w:vertAlign w:val="baseline"/>
        </w:rPr>
        <w:t> </w:t>
      </w:r>
      <w:r>
        <w:rPr>
          <w:vertAlign w:val="baseline"/>
        </w:rPr>
        <w:t>which</w:t>
      </w:r>
      <w:r>
        <w:rPr>
          <w:spacing w:val="19"/>
          <w:vertAlign w:val="baseline"/>
        </w:rPr>
        <w:t> </w:t>
      </w:r>
      <w:r>
        <w:rPr>
          <w:vertAlign w:val="baseline"/>
        </w:rPr>
        <w:t>contributed</w:t>
      </w:r>
      <w:r>
        <w:rPr>
          <w:spacing w:val="19"/>
          <w:vertAlign w:val="baseline"/>
        </w:rPr>
        <w:t> </w:t>
      </w:r>
      <w:r>
        <w:rPr>
          <w:vertAlign w:val="baseline"/>
        </w:rPr>
        <w:t>38%</w:t>
      </w:r>
      <w:r>
        <w:rPr>
          <w:spacing w:val="19"/>
          <w:vertAlign w:val="baseline"/>
        </w:rPr>
        <w:t> </w:t>
      </w:r>
      <w:r>
        <w:rPr>
          <w:vertAlign w:val="baseline"/>
        </w:rPr>
        <w:t>of</w:t>
      </w:r>
      <w:r>
        <w:rPr>
          <w:spacing w:val="16"/>
          <w:vertAlign w:val="baseline"/>
        </w:rPr>
        <w:t> </w:t>
      </w:r>
      <w:r>
        <w:rPr>
          <w:vertAlign w:val="baseline"/>
        </w:rPr>
        <w:t>the</w:t>
      </w:r>
      <w:r>
        <w:rPr>
          <w:spacing w:val="32"/>
          <w:vertAlign w:val="baseline"/>
        </w:rPr>
        <w:t> </w:t>
      </w:r>
      <w:r>
        <w:rPr>
          <w:spacing w:val="-2"/>
          <w:vertAlign w:val="baseline"/>
        </w:rPr>
        <w:t>total</w:t>
      </w:r>
    </w:p>
    <w:p>
      <w:pPr>
        <w:spacing w:after="0" w:line="480" w:lineRule="auto"/>
        <w:jc w:val="both"/>
        <w:sectPr>
          <w:pgSz w:w="12240" w:h="15840"/>
          <w:pgMar w:header="0" w:footer="1012" w:top="1360" w:bottom="1200" w:left="1020" w:right="720"/>
        </w:sectPr>
      </w:pPr>
    </w:p>
    <w:p>
      <w:pPr>
        <w:pStyle w:val="BodyText"/>
        <w:spacing w:line="480" w:lineRule="auto" w:before="72"/>
        <w:ind w:left="420" w:right="717"/>
        <w:jc w:val="both"/>
      </w:pPr>
      <w:r>
        <w:rPr/>
        <w:t>Cd content. </w:t>
      </w:r>
      <w:hyperlink r:id="rId53">
        <w:r>
          <w:rPr>
            <w:u w:val="single"/>
          </w:rPr>
          <w:t>Bansal </w:t>
        </w:r>
        <w:r>
          <w:rPr>
            <w:i/>
            <w:u w:val="single"/>
          </w:rPr>
          <w:t>et al</w:t>
        </w:r>
        <w:r>
          <w:rPr>
            <w:u w:val="single"/>
          </w:rPr>
          <w:t>. (2004)</w:t>
        </w:r>
      </w:hyperlink>
      <w:r>
        <w:rPr/>
        <w:t> reported Pb poisoning of horses in the vicinity of a battery recycling plant based on clinical signs and as well as on laboratory findings. Pb levels in the aerial part of herbage samples ranged from 113 to 4741 mg kg</w:t>
      </w:r>
      <w:r>
        <w:rPr>
          <w:vertAlign w:val="superscript"/>
        </w:rPr>
        <w:t>-1</w:t>
      </w:r>
      <w:r>
        <w:rPr>
          <w:vertAlign w:val="baseline"/>
        </w:rPr>
        <w:t>. </w:t>
      </w:r>
      <w:hyperlink r:id="rId54">
        <w:r>
          <w:rPr>
            <w:u w:val="single"/>
            <w:vertAlign w:val="baseline"/>
          </w:rPr>
          <w:t>Bansal </w:t>
        </w:r>
        <w:r>
          <w:rPr>
            <w:i/>
            <w:u w:val="single"/>
            <w:vertAlign w:val="baseline"/>
          </w:rPr>
          <w:t>et al</w:t>
        </w:r>
        <w:r>
          <w:rPr>
            <w:u w:val="single"/>
            <w:vertAlign w:val="baseline"/>
          </w:rPr>
          <w:t>. (2004)</w:t>
        </w:r>
      </w:hyperlink>
      <w:r>
        <w:rPr>
          <w:vertAlign w:val="baseline"/>
        </w:rPr>
        <w:t> measured the Cd, Pb and Zn concentrations in hay, green Lucerne and feed grains fed to horses in Copsa Mica, Romania near a ferrous metal processing plant. It was detected that there were very high Pb and Cd levels in the hay, Lucerne, feed grains and maize stalks. </w:t>
      </w:r>
      <w:hyperlink r:id="rId55">
        <w:r>
          <w:rPr>
            <w:u w:val="single"/>
            <w:vertAlign w:val="baseline"/>
          </w:rPr>
          <w:t>Moore (2007)</w:t>
        </w:r>
      </w:hyperlink>
      <w:r>
        <w:rPr>
          <w:vertAlign w:val="baseline"/>
        </w:rPr>
        <w:t> examined the Pb content in livestock feed taken from four agricultural areas of</w:t>
      </w:r>
      <w:r>
        <w:rPr>
          <w:spacing w:val="-3"/>
          <w:vertAlign w:val="baseline"/>
        </w:rPr>
        <w:t> </w:t>
      </w:r>
      <w:r>
        <w:rPr>
          <w:vertAlign w:val="baseline"/>
        </w:rPr>
        <w:t>Bursa, Turkey. Among the live stock feed used, green grass was found to have higher level of Pb than straw. The concentration of heavy metals in forage fed to animals in the vicinity of the Baiyin mining area in China was analyzed by </w:t>
      </w:r>
      <w:hyperlink r:id="rId28">
        <w:r>
          <w:rPr>
            <w:u w:val="single"/>
            <w:vertAlign w:val="baseline"/>
          </w:rPr>
          <w:t>Ping (2005)</w:t>
        </w:r>
        <w:r>
          <w:rPr>
            <w:vertAlign w:val="baseline"/>
          </w:rPr>
          <w:t>.</w:t>
        </w:r>
      </w:hyperlink>
      <w:r>
        <w:rPr>
          <w:vertAlign w:val="baseline"/>
        </w:rPr>
        <w:t> The contents of</w:t>
      </w:r>
      <w:r>
        <w:rPr>
          <w:spacing w:val="-3"/>
          <w:vertAlign w:val="baseline"/>
        </w:rPr>
        <w:t> </w:t>
      </w:r>
      <w:r>
        <w:rPr>
          <w:vertAlign w:val="baseline"/>
        </w:rPr>
        <w:t>Pb and Cd were 9 and 680 times higher in forages and 10 and 35 times higher in grain, respectively, as compared with the control area.</w:t>
      </w:r>
    </w:p>
    <w:p>
      <w:pPr>
        <w:pStyle w:val="BodyText"/>
        <w:spacing w:before="10"/>
      </w:pPr>
    </w:p>
    <w:p>
      <w:pPr>
        <w:pStyle w:val="ListParagraph"/>
        <w:numPr>
          <w:ilvl w:val="2"/>
          <w:numId w:val="17"/>
        </w:numPr>
        <w:tabs>
          <w:tab w:pos="961" w:val="left" w:leader="none"/>
        </w:tabs>
        <w:spacing w:line="240" w:lineRule="auto" w:before="0" w:after="0"/>
        <w:ind w:left="961" w:right="0" w:hanging="541"/>
        <w:jc w:val="left"/>
        <w:rPr>
          <w:sz w:val="24"/>
        </w:rPr>
      </w:pPr>
      <w:r>
        <w:rPr>
          <w:sz w:val="24"/>
        </w:rPr>
        <w:t>Heavy</w:t>
      </w:r>
      <w:r>
        <w:rPr>
          <w:spacing w:val="-5"/>
          <w:sz w:val="24"/>
        </w:rPr>
        <w:t> </w:t>
      </w:r>
      <w:r>
        <w:rPr>
          <w:sz w:val="24"/>
        </w:rPr>
        <w:t>metal</w:t>
      </w:r>
      <w:r>
        <w:rPr>
          <w:spacing w:val="-4"/>
          <w:sz w:val="24"/>
        </w:rPr>
        <w:t> </w:t>
      </w:r>
      <w:r>
        <w:rPr>
          <w:sz w:val="24"/>
        </w:rPr>
        <w:t>in</w:t>
      </w:r>
      <w:r>
        <w:rPr>
          <w:spacing w:val="-5"/>
          <w:sz w:val="24"/>
        </w:rPr>
        <w:t> </w:t>
      </w:r>
      <w:r>
        <w:rPr>
          <w:sz w:val="24"/>
        </w:rPr>
        <w:t>the </w:t>
      </w:r>
      <w:r>
        <w:rPr>
          <w:spacing w:val="-5"/>
          <w:sz w:val="24"/>
        </w:rPr>
        <w:t>air</w:t>
      </w:r>
    </w:p>
    <w:p>
      <w:pPr>
        <w:pStyle w:val="BodyText"/>
      </w:pPr>
    </w:p>
    <w:p>
      <w:pPr>
        <w:pStyle w:val="BodyText"/>
        <w:spacing w:before="2"/>
      </w:pPr>
    </w:p>
    <w:p>
      <w:pPr>
        <w:pStyle w:val="BodyText"/>
        <w:spacing w:line="480" w:lineRule="auto"/>
        <w:ind w:left="420" w:right="721"/>
        <w:jc w:val="both"/>
      </w:pPr>
      <w:r>
        <w:rPr/>
        <w:t>Vegetables can absorb metals from soil as well as from deposits on the parts of the vegetables exposed to the</w:t>
      </w:r>
      <w:r>
        <w:rPr>
          <w:spacing w:val="-1"/>
        </w:rPr>
        <w:t> </w:t>
      </w:r>
      <w:r>
        <w:rPr/>
        <w:t>air from</w:t>
      </w:r>
      <w:r>
        <w:rPr>
          <w:spacing w:val="-9"/>
        </w:rPr>
        <w:t> </w:t>
      </w:r>
      <w:r>
        <w:rPr/>
        <w:t>polluted environments</w:t>
      </w:r>
      <w:r>
        <w:rPr>
          <w:spacing w:val="-2"/>
        </w:rPr>
        <w:t> </w:t>
      </w:r>
      <w:r>
        <w:rPr/>
        <w:t>(Caggiano </w:t>
      </w:r>
      <w:r>
        <w:rPr>
          <w:i/>
        </w:rPr>
        <w:t>et al., </w:t>
      </w:r>
      <w:r>
        <w:rPr/>
        <w:t>2004). Emission</w:t>
      </w:r>
      <w:r>
        <w:rPr>
          <w:spacing w:val="-5"/>
        </w:rPr>
        <w:t> </w:t>
      </w:r>
      <w:r>
        <w:rPr/>
        <w:t>of</w:t>
      </w:r>
      <w:r>
        <w:rPr>
          <w:spacing w:val="-3"/>
        </w:rPr>
        <w:t> </w:t>
      </w:r>
      <w:r>
        <w:rPr/>
        <w:t>heavy metals from the industries and vehicles may be deposited on the vegetable surfaces during their production, transport and marketing. Raji </w:t>
      </w:r>
      <w:r>
        <w:rPr>
          <w:i/>
        </w:rPr>
        <w:t>et al</w:t>
      </w:r>
      <w:r>
        <w:rPr/>
        <w:t>. (2010) have reported elevated levels of heavy metals in vegetables sold in the market of Riyadh city in Saudi Arabia due to atmospheric deposition. Similarly, Sinha</w:t>
      </w:r>
      <w:r>
        <w:rPr>
          <w:spacing w:val="-3"/>
        </w:rPr>
        <w:t> </w:t>
      </w:r>
      <w:r>
        <w:rPr/>
        <w:t>(2004)</w:t>
      </w:r>
      <w:r>
        <w:rPr>
          <w:spacing w:val="-1"/>
        </w:rPr>
        <w:t> </w:t>
      </w:r>
      <w:r>
        <w:rPr/>
        <w:t>reported</w:t>
      </w:r>
      <w:r>
        <w:rPr>
          <w:spacing w:val="-7"/>
        </w:rPr>
        <w:t> </w:t>
      </w:r>
      <w:r>
        <w:rPr/>
        <w:t>that atmospheric</w:t>
      </w:r>
      <w:r>
        <w:rPr>
          <w:spacing w:val="-3"/>
        </w:rPr>
        <w:t> </w:t>
      </w:r>
      <w:r>
        <w:rPr/>
        <w:t>deposition</w:t>
      </w:r>
      <w:r>
        <w:rPr>
          <w:spacing w:val="-7"/>
        </w:rPr>
        <w:t> </w:t>
      </w:r>
      <w:r>
        <w:rPr/>
        <w:t>can</w:t>
      </w:r>
      <w:r>
        <w:rPr>
          <w:spacing w:val="-7"/>
        </w:rPr>
        <w:t> </w:t>
      </w:r>
      <w:r>
        <w:rPr/>
        <w:t>significantly</w:t>
      </w:r>
      <w:r>
        <w:rPr>
          <w:spacing w:val="-7"/>
        </w:rPr>
        <w:t> </w:t>
      </w:r>
      <w:r>
        <w:rPr/>
        <w:t>elevate the levels of heavy metals</w:t>
      </w:r>
    </w:p>
    <w:p>
      <w:pPr>
        <w:pStyle w:val="BodyText"/>
      </w:pPr>
    </w:p>
    <w:p>
      <w:pPr>
        <w:pStyle w:val="BodyText"/>
      </w:pPr>
    </w:p>
    <w:p>
      <w:pPr>
        <w:pStyle w:val="BodyText"/>
        <w:spacing w:before="206"/>
      </w:pPr>
    </w:p>
    <w:p>
      <w:pPr>
        <w:pStyle w:val="ListParagraph"/>
        <w:numPr>
          <w:ilvl w:val="2"/>
          <w:numId w:val="17"/>
        </w:numPr>
        <w:tabs>
          <w:tab w:pos="1143" w:val="left" w:leader="none"/>
        </w:tabs>
        <w:spacing w:line="240" w:lineRule="auto" w:before="0" w:after="0"/>
        <w:ind w:left="1143" w:right="0" w:hanging="723"/>
        <w:jc w:val="left"/>
        <w:rPr>
          <w:sz w:val="24"/>
        </w:rPr>
      </w:pPr>
      <w:r>
        <w:rPr>
          <w:sz w:val="24"/>
        </w:rPr>
        <w:t>Animal</w:t>
      </w:r>
      <w:r>
        <w:rPr>
          <w:spacing w:val="-10"/>
          <w:sz w:val="24"/>
        </w:rPr>
        <w:t> </w:t>
      </w:r>
      <w:r>
        <w:rPr>
          <w:spacing w:val="-2"/>
          <w:sz w:val="24"/>
        </w:rPr>
        <w:t>manure</w:t>
      </w:r>
    </w:p>
    <w:p>
      <w:pPr>
        <w:spacing w:after="0" w:line="240" w:lineRule="auto"/>
        <w:jc w:val="left"/>
        <w:rPr>
          <w:sz w:val="24"/>
        </w:rPr>
        <w:sectPr>
          <w:pgSz w:w="12240" w:h="15840"/>
          <w:pgMar w:header="0" w:footer="1012" w:top="1360" w:bottom="1200" w:left="1020" w:right="720"/>
        </w:sectPr>
      </w:pPr>
    </w:p>
    <w:p>
      <w:pPr>
        <w:pStyle w:val="BodyText"/>
        <w:spacing w:line="480" w:lineRule="auto" w:before="72"/>
        <w:ind w:left="420" w:right="720" w:firstLine="57"/>
        <w:jc w:val="both"/>
        <w:rPr>
          <w:i/>
        </w:rPr>
      </w:pPr>
      <w:r>
        <w:rPr/>
        <w:t>The</w:t>
      </w:r>
      <w:r>
        <w:rPr>
          <w:spacing w:val="-1"/>
        </w:rPr>
        <w:t> </w:t>
      </w:r>
      <w:r>
        <w:rPr/>
        <w:t>crude</w:t>
      </w:r>
      <w:r>
        <w:rPr>
          <w:spacing w:val="-1"/>
        </w:rPr>
        <w:t> </w:t>
      </w:r>
      <w:r>
        <w:rPr/>
        <w:t>protein</w:t>
      </w:r>
      <w:r>
        <w:rPr>
          <w:spacing w:val="-5"/>
        </w:rPr>
        <w:t> </w:t>
      </w:r>
      <w:r>
        <w:rPr/>
        <w:t>content of</w:t>
      </w:r>
      <w:r>
        <w:rPr>
          <w:spacing w:val="-8"/>
        </w:rPr>
        <w:t> </w:t>
      </w:r>
      <w:r>
        <w:rPr/>
        <w:t>animal manure</w:t>
      </w:r>
      <w:r>
        <w:rPr>
          <w:spacing w:val="-1"/>
        </w:rPr>
        <w:t> </w:t>
      </w:r>
      <w:r>
        <w:rPr/>
        <w:t>can be more</w:t>
      </w:r>
      <w:r>
        <w:rPr>
          <w:spacing w:val="-1"/>
        </w:rPr>
        <w:t> </w:t>
      </w:r>
      <w:r>
        <w:rPr/>
        <w:t>than</w:t>
      </w:r>
      <w:r>
        <w:rPr>
          <w:spacing w:val="-5"/>
        </w:rPr>
        <w:t> </w:t>
      </w:r>
      <w:r>
        <w:rPr/>
        <w:t>20% and this makes it appropriate for use in farming. In addition the energy content of animal manure is in the range of 110-1400 kcal</w:t>
      </w:r>
      <w:r>
        <w:rPr>
          <w:spacing w:val="-6"/>
        </w:rPr>
        <w:t> </w:t>
      </w:r>
      <w:r>
        <w:rPr/>
        <w:t>kg</w:t>
      </w:r>
      <w:r>
        <w:rPr>
          <w:vertAlign w:val="superscript"/>
        </w:rPr>
        <w:t>-1</w:t>
      </w:r>
      <w:r>
        <w:rPr>
          <w:spacing w:val="10"/>
          <w:vertAlign w:val="baseline"/>
        </w:rPr>
        <w:t> </w:t>
      </w:r>
      <w:r>
        <w:rPr>
          <w:vertAlign w:val="baseline"/>
        </w:rPr>
        <w:t>manure</w:t>
      </w:r>
      <w:r>
        <w:rPr>
          <w:spacing w:val="3"/>
          <w:vertAlign w:val="baseline"/>
        </w:rPr>
        <w:t> </w:t>
      </w:r>
      <w:r>
        <w:rPr>
          <w:vertAlign w:val="baseline"/>
        </w:rPr>
        <w:t>and</w:t>
      </w:r>
      <w:r>
        <w:rPr>
          <w:spacing w:val="8"/>
          <w:vertAlign w:val="baseline"/>
        </w:rPr>
        <w:t> </w:t>
      </w:r>
      <w:r>
        <w:rPr>
          <w:vertAlign w:val="baseline"/>
        </w:rPr>
        <w:t>it</w:t>
      </w:r>
      <w:r>
        <w:rPr>
          <w:spacing w:val="9"/>
          <w:vertAlign w:val="baseline"/>
        </w:rPr>
        <w:t> </w:t>
      </w:r>
      <w:r>
        <w:rPr>
          <w:vertAlign w:val="baseline"/>
        </w:rPr>
        <w:t>contains</w:t>
      </w:r>
      <w:r>
        <w:rPr>
          <w:spacing w:val="1"/>
          <w:vertAlign w:val="baseline"/>
        </w:rPr>
        <w:t> </w:t>
      </w:r>
      <w:r>
        <w:rPr>
          <w:vertAlign w:val="baseline"/>
        </w:rPr>
        <w:t>a</w:t>
      </w:r>
      <w:r>
        <w:rPr>
          <w:spacing w:val="7"/>
          <w:vertAlign w:val="baseline"/>
        </w:rPr>
        <w:t> </w:t>
      </w:r>
      <w:r>
        <w:rPr>
          <w:vertAlign w:val="baseline"/>
        </w:rPr>
        <w:t>high</w:t>
      </w:r>
      <w:r>
        <w:rPr>
          <w:spacing w:val="-1"/>
          <w:vertAlign w:val="baseline"/>
        </w:rPr>
        <w:t> </w:t>
      </w:r>
      <w:r>
        <w:rPr>
          <w:vertAlign w:val="baseline"/>
        </w:rPr>
        <w:t>concentration</w:t>
      </w:r>
      <w:r>
        <w:rPr>
          <w:spacing w:val="-1"/>
          <w:vertAlign w:val="baseline"/>
        </w:rPr>
        <w:t> </w:t>
      </w:r>
      <w:r>
        <w:rPr>
          <w:vertAlign w:val="baseline"/>
        </w:rPr>
        <w:t>of</w:t>
      </w:r>
      <w:r>
        <w:rPr>
          <w:spacing w:val="-4"/>
          <w:vertAlign w:val="baseline"/>
        </w:rPr>
        <w:t> </w:t>
      </w:r>
      <w:r>
        <w:rPr>
          <w:vertAlign w:val="baseline"/>
        </w:rPr>
        <w:t>synthesized</w:t>
      </w:r>
      <w:r>
        <w:rPr>
          <w:spacing w:val="8"/>
          <w:vertAlign w:val="baseline"/>
        </w:rPr>
        <w:t> </w:t>
      </w:r>
      <w:r>
        <w:rPr>
          <w:vertAlign w:val="baseline"/>
        </w:rPr>
        <w:t>soluble</w:t>
      </w:r>
      <w:r>
        <w:rPr>
          <w:spacing w:val="7"/>
          <w:vertAlign w:val="baseline"/>
        </w:rPr>
        <w:t> </w:t>
      </w:r>
      <w:r>
        <w:rPr>
          <w:vertAlign w:val="baseline"/>
        </w:rPr>
        <w:t>vitamins</w:t>
      </w:r>
      <w:r>
        <w:rPr>
          <w:spacing w:val="1"/>
          <w:vertAlign w:val="baseline"/>
        </w:rPr>
        <w:t> </w:t>
      </w:r>
      <w:r>
        <w:rPr>
          <w:vertAlign w:val="baseline"/>
        </w:rPr>
        <w:t>(</w:t>
      </w:r>
      <w:hyperlink r:id="rId56">
        <w:r>
          <w:rPr>
            <w:u w:val="single"/>
            <w:vertAlign w:val="baseline"/>
          </w:rPr>
          <w:t>Teressa</w:t>
        </w:r>
        <w:r>
          <w:rPr>
            <w:spacing w:val="3"/>
            <w:u w:val="single"/>
            <w:vertAlign w:val="baseline"/>
          </w:rPr>
          <w:t> </w:t>
        </w:r>
        <w:r>
          <w:rPr>
            <w:i/>
            <w:spacing w:val="-5"/>
            <w:u w:val="single"/>
            <w:vertAlign w:val="baseline"/>
          </w:rPr>
          <w:t>et</w:t>
        </w:r>
      </w:hyperlink>
    </w:p>
    <w:p>
      <w:pPr>
        <w:pStyle w:val="BodyText"/>
        <w:spacing w:line="480" w:lineRule="auto" w:before="1"/>
        <w:ind w:left="420" w:right="600"/>
      </w:pPr>
      <w:hyperlink r:id="rId56">
        <w:r>
          <w:rPr>
            <w:i/>
            <w:u w:val="single"/>
          </w:rPr>
          <w:t>al.,</w:t>
        </w:r>
        <w:r>
          <w:rPr>
            <w:u w:val="single"/>
          </w:rPr>
          <w:t>, 1992</w:t>
        </w:r>
      </w:hyperlink>
      <w:r>
        <w:rPr/>
        <w:t>). Animal manure seem to lead to faster plant growth since the plants feed directly on</w:t>
      </w:r>
      <w:r>
        <w:rPr>
          <w:spacing w:val="40"/>
        </w:rPr>
        <w:t> </w:t>
      </w:r>
      <w:r>
        <w:rPr/>
        <w:t>manure</w:t>
      </w:r>
      <w:r>
        <w:rPr>
          <w:spacing w:val="4"/>
        </w:rPr>
        <w:t> </w:t>
      </w:r>
      <w:r>
        <w:rPr/>
        <w:t>detritus</w:t>
      </w:r>
      <w:r>
        <w:rPr>
          <w:spacing w:val="2"/>
        </w:rPr>
        <w:t> </w:t>
      </w:r>
      <w:r>
        <w:rPr/>
        <w:t>and</w:t>
      </w:r>
      <w:r>
        <w:rPr>
          <w:spacing w:val="4"/>
        </w:rPr>
        <w:t> </w:t>
      </w:r>
      <w:r>
        <w:rPr/>
        <w:t>also</w:t>
      </w:r>
      <w:r>
        <w:rPr>
          <w:spacing w:val="9"/>
        </w:rPr>
        <w:t> </w:t>
      </w:r>
      <w:r>
        <w:rPr/>
        <w:t>products</w:t>
      </w:r>
      <w:r>
        <w:rPr>
          <w:spacing w:val="-1"/>
        </w:rPr>
        <w:t> </w:t>
      </w:r>
      <w:r>
        <w:rPr/>
        <w:t>of</w:t>
      </w:r>
      <w:r>
        <w:rPr>
          <w:spacing w:val="-3"/>
        </w:rPr>
        <w:t> </w:t>
      </w:r>
      <w:r>
        <w:rPr/>
        <w:t>nutrient</w:t>
      </w:r>
      <w:r>
        <w:rPr>
          <w:spacing w:val="10"/>
        </w:rPr>
        <w:t> </w:t>
      </w:r>
      <w:r>
        <w:rPr/>
        <w:t>release</w:t>
      </w:r>
      <w:r>
        <w:rPr>
          <w:spacing w:val="8"/>
        </w:rPr>
        <w:t> </w:t>
      </w:r>
      <w:r>
        <w:rPr/>
        <w:t>into</w:t>
      </w:r>
      <w:r>
        <w:rPr>
          <w:spacing w:val="4"/>
        </w:rPr>
        <w:t> </w:t>
      </w:r>
      <w:r>
        <w:rPr/>
        <w:t>the</w:t>
      </w:r>
      <w:r>
        <w:rPr>
          <w:spacing w:val="5"/>
        </w:rPr>
        <w:t> </w:t>
      </w:r>
      <w:r>
        <w:rPr/>
        <w:t>system</w:t>
      </w:r>
      <w:r>
        <w:rPr>
          <w:spacing w:val="7"/>
        </w:rPr>
        <w:t> </w:t>
      </w:r>
      <w:r>
        <w:rPr/>
        <w:t>(</w:t>
      </w:r>
      <w:hyperlink r:id="rId57">
        <w:r>
          <w:rPr>
            <w:u w:val="single"/>
          </w:rPr>
          <w:t>FAO,</w:t>
        </w:r>
        <w:r>
          <w:rPr>
            <w:spacing w:val="6"/>
            <w:u w:val="single"/>
          </w:rPr>
          <w:t> </w:t>
        </w:r>
        <w:r>
          <w:rPr>
            <w:u w:val="single"/>
          </w:rPr>
          <w:t>2003</w:t>
        </w:r>
      </w:hyperlink>
      <w:r>
        <w:rPr/>
        <w:t>;</w:t>
      </w:r>
      <w:r>
        <w:rPr>
          <w:spacing w:val="5"/>
        </w:rPr>
        <w:t> </w:t>
      </w:r>
      <w:hyperlink r:id="rId58">
        <w:r>
          <w:rPr>
            <w:u w:val="single"/>
          </w:rPr>
          <w:t>Wobber</w:t>
        </w:r>
        <w:r>
          <w:rPr>
            <w:spacing w:val="7"/>
            <w:u w:val="single"/>
          </w:rPr>
          <w:t> </w:t>
        </w:r>
        <w:r>
          <w:rPr>
            <w:i/>
            <w:u w:val="single"/>
          </w:rPr>
          <w:t>et</w:t>
        </w:r>
        <w:r>
          <w:rPr>
            <w:i/>
            <w:spacing w:val="6"/>
            <w:u w:val="single"/>
          </w:rPr>
          <w:t> </w:t>
        </w:r>
        <w:r>
          <w:rPr>
            <w:i/>
            <w:spacing w:val="-4"/>
            <w:u w:val="single"/>
          </w:rPr>
          <w:t>al</w:t>
        </w:r>
        <w:r>
          <w:rPr>
            <w:spacing w:val="-4"/>
            <w:u w:val="single"/>
          </w:rPr>
          <w:t>.,</w:t>
        </w:r>
      </w:hyperlink>
    </w:p>
    <w:p>
      <w:pPr>
        <w:pStyle w:val="BodyText"/>
        <w:spacing w:line="480" w:lineRule="auto"/>
        <w:ind w:left="420" w:right="725"/>
        <w:jc w:val="both"/>
      </w:pPr>
      <w:r>
        <w:rPr/>
        <w:t>2004). Animal manure when added into soil, undergo microbial decomposition releasing nutrients for the growth of green plants which is the base of the trophic level (food chain) in terrestrial systems. Green plants are eaten by herbivorous animals. These are in turn consumed</w:t>
      </w:r>
      <w:r>
        <w:rPr>
          <w:spacing w:val="40"/>
        </w:rPr>
        <w:t> </w:t>
      </w:r>
      <w:r>
        <w:rPr/>
        <w:t>by the carnivores and thus, addition of manure and other fertilizers stimulates the production of the</w:t>
      </w:r>
      <w:r>
        <w:rPr>
          <w:spacing w:val="-1"/>
        </w:rPr>
        <w:t> </w:t>
      </w:r>
      <w:r>
        <w:rPr/>
        <w:t>primary</w:t>
      </w:r>
      <w:r>
        <w:rPr>
          <w:spacing w:val="-5"/>
        </w:rPr>
        <w:t> </w:t>
      </w:r>
      <w:r>
        <w:rPr/>
        <w:t>producers. The</w:t>
      </w:r>
      <w:r>
        <w:rPr>
          <w:spacing w:val="-1"/>
        </w:rPr>
        <w:t> </w:t>
      </w:r>
      <w:r>
        <w:rPr/>
        <w:t>primary nutrients</w:t>
      </w:r>
      <w:r>
        <w:rPr>
          <w:spacing w:val="-2"/>
        </w:rPr>
        <w:t> </w:t>
      </w:r>
      <w:r>
        <w:rPr/>
        <w:t>released by microbial</w:t>
      </w:r>
      <w:r>
        <w:rPr>
          <w:spacing w:val="-5"/>
        </w:rPr>
        <w:t> </w:t>
      </w:r>
      <w:r>
        <w:rPr/>
        <w:t>decomposition</w:t>
      </w:r>
      <w:r>
        <w:rPr>
          <w:spacing w:val="-5"/>
        </w:rPr>
        <w:t> </w:t>
      </w:r>
      <w:r>
        <w:rPr/>
        <w:t>of</w:t>
      </w:r>
      <w:r>
        <w:rPr>
          <w:spacing w:val="-3"/>
        </w:rPr>
        <w:t> </w:t>
      </w:r>
      <w:r>
        <w:rPr/>
        <w:t>manure</w:t>
      </w:r>
      <w:r>
        <w:rPr>
          <w:spacing w:val="-1"/>
        </w:rPr>
        <w:t> </w:t>
      </w:r>
      <w:r>
        <w:rPr/>
        <w:t>are N, P and K (</w:t>
      </w:r>
      <w:hyperlink r:id="rId59">
        <w:r>
          <w:rPr>
            <w:u w:val="single"/>
          </w:rPr>
          <w:t>Bansal </w:t>
        </w:r>
        <w:r>
          <w:rPr>
            <w:i/>
            <w:u w:val="single"/>
          </w:rPr>
          <w:t>et al.,</w:t>
        </w:r>
      </w:hyperlink>
      <w:r>
        <w:rPr>
          <w:i/>
          <w:u w:val="single"/>
        </w:rPr>
        <w:t> </w:t>
      </w:r>
      <w:r>
        <w:rPr/>
        <w:t>2004). Secondary nutrients are calcium (Ca), magnesium (Mg) and sulphur (S) while minor nutrients include heavy</w:t>
      </w:r>
      <w:r>
        <w:rPr>
          <w:spacing w:val="-1"/>
        </w:rPr>
        <w:t> </w:t>
      </w:r>
      <w:r>
        <w:rPr/>
        <w:t>metals like</w:t>
      </w:r>
      <w:r>
        <w:rPr>
          <w:spacing w:val="-2"/>
        </w:rPr>
        <w:t> </w:t>
      </w:r>
      <w:r>
        <w:rPr/>
        <w:t>copper (Cu), zinc (Zn), iron</w:t>
      </w:r>
      <w:r>
        <w:rPr>
          <w:spacing w:val="-6"/>
        </w:rPr>
        <w:t> </w:t>
      </w:r>
      <w:r>
        <w:rPr/>
        <w:t>(Fe) and so on. Nitrogen and phosphorus are the nutrients most likely to be limiting for plants growth. Uptake of contaminated nutrients by plants as primary producers especially of heavy metals affects the eco system entirely.</w:t>
      </w:r>
    </w:p>
    <w:p>
      <w:pPr>
        <w:pStyle w:val="BodyText"/>
        <w:spacing w:before="4"/>
      </w:pPr>
    </w:p>
    <w:p>
      <w:pPr>
        <w:pStyle w:val="Heading2"/>
        <w:numPr>
          <w:ilvl w:val="1"/>
          <w:numId w:val="17"/>
        </w:numPr>
        <w:tabs>
          <w:tab w:pos="779" w:val="left" w:leader="none"/>
        </w:tabs>
        <w:spacing w:line="240" w:lineRule="auto" w:before="1" w:after="0"/>
        <w:ind w:left="779" w:right="0" w:hanging="359"/>
        <w:jc w:val="both"/>
      </w:pPr>
      <w:bookmarkStart w:name="_TOC_250011" w:id="18"/>
      <w:r>
        <w:rPr/>
        <w:t>Mechanism</w:t>
      </w:r>
      <w:r>
        <w:rPr>
          <w:spacing w:val="-2"/>
        </w:rPr>
        <w:t> </w:t>
      </w:r>
      <w:r>
        <w:rPr/>
        <w:t>of</w:t>
      </w:r>
      <w:r>
        <w:rPr>
          <w:spacing w:val="-1"/>
        </w:rPr>
        <w:t> </w:t>
      </w:r>
      <w:r>
        <w:rPr/>
        <w:t>Action</w:t>
      </w:r>
      <w:r>
        <w:rPr>
          <w:spacing w:val="2"/>
        </w:rPr>
        <w:t> </w:t>
      </w:r>
      <w:r>
        <w:rPr/>
        <w:t>of</w:t>
      </w:r>
      <w:r>
        <w:rPr>
          <w:spacing w:val="-1"/>
        </w:rPr>
        <w:t> </w:t>
      </w:r>
      <w:r>
        <w:rPr/>
        <w:t>Heavy</w:t>
      </w:r>
      <w:r>
        <w:rPr>
          <w:spacing w:val="-3"/>
        </w:rPr>
        <w:t> </w:t>
      </w:r>
      <w:bookmarkEnd w:id="18"/>
      <w:r>
        <w:rPr>
          <w:spacing w:val="-2"/>
        </w:rPr>
        <w:t>Metals</w:t>
      </w:r>
    </w:p>
    <w:p>
      <w:pPr>
        <w:pStyle w:val="BodyText"/>
        <w:spacing w:line="480" w:lineRule="auto" w:before="242"/>
        <w:ind w:left="420" w:right="716"/>
        <w:jc w:val="both"/>
      </w:pPr>
      <w:r>
        <w:rPr/>
        <w:t>The heavy metal ions form complexes with proteins, in which carboxylic acid (–COOH), amine (–NH2), and thiol (–SH) groups are involved. These modified biological molecules lose their ability to function properly and result in the malfunction or death of</w:t>
      </w:r>
      <w:r>
        <w:rPr>
          <w:spacing w:val="-2"/>
        </w:rPr>
        <w:t> </w:t>
      </w:r>
      <w:r>
        <w:rPr/>
        <w:t>the cells. When metals bind to these groups, they inactivate important enzyme systems, or affect protein structure, which is linked to the catalytic properties of</w:t>
      </w:r>
      <w:r>
        <w:rPr>
          <w:spacing w:val="-2"/>
        </w:rPr>
        <w:t> </w:t>
      </w:r>
      <w:r>
        <w:rPr/>
        <w:t>enzymes. This type of toxin may also cause the formation of radicals, dangerous chemicals that cause the oxidation of biological molecules (Garcia </w:t>
      </w:r>
      <w:r>
        <w:rPr>
          <w:i/>
        </w:rPr>
        <w:t>et al.</w:t>
      </w:r>
      <w:r>
        <w:rPr/>
        <w:t>, </w:t>
      </w:r>
      <w:r>
        <w:rPr>
          <w:spacing w:val="-2"/>
        </w:rPr>
        <w:t>2002).</w:t>
      </w:r>
    </w:p>
    <w:p>
      <w:pPr>
        <w:spacing w:after="0" w:line="480" w:lineRule="auto"/>
        <w:jc w:val="both"/>
        <w:sectPr>
          <w:pgSz w:w="12240" w:h="15840"/>
          <w:pgMar w:header="0" w:footer="1012" w:top="1360" w:bottom="1200" w:left="1020" w:right="720"/>
        </w:sectPr>
      </w:pPr>
    </w:p>
    <w:p>
      <w:pPr>
        <w:pStyle w:val="Heading2"/>
        <w:numPr>
          <w:ilvl w:val="1"/>
          <w:numId w:val="17"/>
        </w:numPr>
        <w:tabs>
          <w:tab w:pos="779" w:val="left" w:leader="none"/>
        </w:tabs>
        <w:spacing w:line="240" w:lineRule="auto" w:before="72" w:after="0"/>
        <w:ind w:left="779" w:right="0" w:hanging="359"/>
        <w:jc w:val="both"/>
      </w:pPr>
      <w:bookmarkStart w:name="_TOC_250010" w:id="19"/>
      <w:r>
        <w:rPr/>
        <w:t>Management</w:t>
      </w:r>
      <w:r>
        <w:rPr>
          <w:spacing w:val="3"/>
        </w:rPr>
        <w:t> </w:t>
      </w:r>
      <w:r>
        <w:rPr/>
        <w:t>of</w:t>
      </w:r>
      <w:r>
        <w:rPr>
          <w:spacing w:val="-1"/>
        </w:rPr>
        <w:t> </w:t>
      </w:r>
      <w:r>
        <w:rPr/>
        <w:t>Heavy</w:t>
      </w:r>
      <w:r>
        <w:rPr>
          <w:spacing w:val="-3"/>
        </w:rPr>
        <w:t> </w:t>
      </w:r>
      <w:r>
        <w:rPr/>
        <w:t>Metal</w:t>
      </w:r>
      <w:r>
        <w:rPr>
          <w:spacing w:val="-3"/>
        </w:rPr>
        <w:t> </w:t>
      </w:r>
      <w:bookmarkEnd w:id="19"/>
      <w:r>
        <w:rPr>
          <w:spacing w:val="-2"/>
        </w:rPr>
        <w:t>Poisoning</w:t>
      </w:r>
    </w:p>
    <w:p>
      <w:pPr>
        <w:pStyle w:val="BodyText"/>
        <w:spacing w:line="480" w:lineRule="auto" w:before="242"/>
        <w:ind w:left="420" w:right="713"/>
        <w:jc w:val="both"/>
      </w:pPr>
      <w:r>
        <w:rPr/>
        <w:t>Metal toxicity is unique in that the toxic agent may not be metabolized. Compounds containing metals may certainly be metabolized to hasten their excretion and the properties of metals may change, but the body</w:t>
      </w:r>
      <w:r>
        <w:rPr>
          <w:spacing w:val="-5"/>
        </w:rPr>
        <w:t> </w:t>
      </w:r>
      <w:r>
        <w:rPr/>
        <w:t>cannot reduce a</w:t>
      </w:r>
      <w:r>
        <w:rPr>
          <w:spacing w:val="-2"/>
        </w:rPr>
        <w:t> </w:t>
      </w:r>
      <w:r>
        <w:rPr/>
        <w:t>toxic metal</w:t>
      </w:r>
      <w:r>
        <w:rPr>
          <w:spacing w:val="-5"/>
        </w:rPr>
        <w:t> </w:t>
      </w:r>
      <w:r>
        <w:rPr/>
        <w:t>to a non-toxic metal. One mechanism</w:t>
      </w:r>
      <w:r>
        <w:rPr>
          <w:spacing w:val="-1"/>
        </w:rPr>
        <w:t> </w:t>
      </w:r>
      <w:r>
        <w:rPr/>
        <w:t>that may reduce the toxicity</w:t>
      </w:r>
      <w:r>
        <w:rPr>
          <w:spacing w:val="-9"/>
        </w:rPr>
        <w:t> </w:t>
      </w:r>
      <w:r>
        <w:rPr/>
        <w:t>of</w:t>
      </w:r>
      <w:r>
        <w:rPr>
          <w:spacing w:val="-2"/>
        </w:rPr>
        <w:t> </w:t>
      </w:r>
      <w:r>
        <w:rPr/>
        <w:t>metals is a metal</w:t>
      </w:r>
      <w:r>
        <w:rPr>
          <w:spacing w:val="-8"/>
        </w:rPr>
        <w:t> </w:t>
      </w:r>
      <w:r>
        <w:rPr/>
        <w:t>carrier protein, metallothionein, which may complex</w:t>
      </w:r>
      <w:r>
        <w:rPr>
          <w:spacing w:val="-4"/>
        </w:rPr>
        <w:t> </w:t>
      </w:r>
      <w:r>
        <w:rPr/>
        <w:t>with the metal, preventing it from exerting a toxic effect, and transport it to the kidney where it</w:t>
      </w:r>
      <w:r>
        <w:rPr>
          <w:spacing w:val="21"/>
        </w:rPr>
        <w:t> </w:t>
      </w:r>
      <w:r>
        <w:rPr/>
        <w:t>may be filtered and excreted (Gabriel </w:t>
      </w:r>
      <w:r>
        <w:rPr>
          <w:i/>
        </w:rPr>
        <w:t>et al., </w:t>
      </w:r>
      <w:r>
        <w:rPr/>
        <w:t>2007). A common treatment for metal intoxication is the use of chelators. A chelator is a flexible molecule with two or more electronegative groups that can form stable complexes with cationic metal atoms. The complexes are then eliminated from the body. The most widely used chelator is ethylenediaminetetraacetic acid (EDTA). It has four binding positions (two nitrogen atoms and two oxygen atoms) that focus on the metal ion. It works very well on many metals, the most notable being calcium, magnesium, and lead (Garcia </w:t>
      </w:r>
      <w:r>
        <w:rPr>
          <w:i/>
        </w:rPr>
        <w:t>et al., </w:t>
      </w:r>
      <w:r>
        <w:rPr/>
        <w:t>2000) Chelating with drugs is indicated primarily for acute poisonings by some metals, especially lead, arsenic, mercury, and iron. Though the drugs may have dangerous side effects, the risks are considered worthwhile in the face of toxicity which may be fatal or cause serious, even permanent injury (Aluko </w:t>
      </w:r>
      <w:r>
        <w:rPr>
          <w:i/>
        </w:rPr>
        <w:t>et al., </w:t>
      </w:r>
      <w:r>
        <w:rPr/>
        <w:t>2003). Approved chelating drugs include succimer, dimercaprol (BAL), edetate calcium disodium, deferoxamine, and penicillamine. They are given only for diagnosed metal toxicity because they may have serious side effects, even when their</w:t>
      </w:r>
      <w:r>
        <w:rPr>
          <w:spacing w:val="40"/>
        </w:rPr>
        <w:t> </w:t>
      </w:r>
      <w:r>
        <w:rPr/>
        <w:t>use is needed; and they are non-specific and can bind even essential “trace” metals in the body, for example copper and zinc. They can sometimes bind calcium, too. Chelation of these substances can cause symptoms related to their deficiency (Ibeto </w:t>
      </w:r>
      <w:r>
        <w:rPr>
          <w:i/>
        </w:rPr>
        <w:t>et al</w:t>
      </w:r>
      <w:r>
        <w:rPr/>
        <w:t>., 2010)</w:t>
      </w:r>
    </w:p>
    <w:p>
      <w:pPr>
        <w:spacing w:after="0" w:line="480" w:lineRule="auto"/>
        <w:jc w:val="both"/>
        <w:sectPr>
          <w:pgSz w:w="12240" w:h="15840"/>
          <w:pgMar w:header="0" w:footer="1012" w:top="1360" w:bottom="1200" w:left="1020" w:right="7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6"/>
      </w:pPr>
    </w:p>
    <w:p>
      <w:pPr>
        <w:pStyle w:val="Heading1"/>
        <w:spacing w:line="446" w:lineRule="auto"/>
        <w:ind w:left="2523" w:right="4485" w:firstLine="777"/>
      </w:pPr>
      <w:r>
        <w:rPr/>
        <w:t>CHAPTER THREE MATERIALS</w:t>
      </w:r>
      <w:r>
        <w:rPr>
          <w:spacing w:val="-15"/>
        </w:rPr>
        <w:t> </w:t>
      </w:r>
      <w:r>
        <w:rPr/>
        <w:t>AND</w:t>
      </w:r>
      <w:r>
        <w:rPr>
          <w:spacing w:val="-15"/>
        </w:rPr>
        <w:t> </w:t>
      </w:r>
      <w:r>
        <w:rPr/>
        <w:t>METHODS</w:t>
      </w:r>
    </w:p>
    <w:p>
      <w:pPr>
        <w:pStyle w:val="Heading2"/>
        <w:numPr>
          <w:ilvl w:val="1"/>
          <w:numId w:val="18"/>
        </w:numPr>
        <w:tabs>
          <w:tab w:pos="3421" w:val="left" w:leader="none"/>
        </w:tabs>
        <w:spacing w:line="240" w:lineRule="auto" w:before="5" w:after="0"/>
        <w:ind w:left="3421" w:right="0" w:hanging="3001"/>
        <w:jc w:val="both"/>
      </w:pPr>
      <w:bookmarkStart w:name="_TOC_250009" w:id="20"/>
      <w:bookmarkEnd w:id="20"/>
      <w:r>
        <w:rPr>
          <w:spacing w:val="-2"/>
        </w:rPr>
        <w:t>Materials</w:t>
      </w:r>
    </w:p>
    <w:p>
      <w:pPr>
        <w:pStyle w:val="BodyText"/>
        <w:spacing w:line="480" w:lineRule="auto" w:before="243"/>
        <w:ind w:left="420" w:right="719" w:firstLine="57"/>
        <w:jc w:val="both"/>
      </w:pPr>
      <w:r>
        <w:rPr/>
        <w:t>Compound fish feeds sampled composed of crayfish, rice mill/ corn flour/ wheat flour,</w:t>
      </w:r>
      <w:r>
        <w:rPr>
          <w:spacing w:val="40"/>
        </w:rPr>
        <w:t> </w:t>
      </w:r>
      <w:r>
        <w:rPr/>
        <w:t>vegetable oil, soya beans, gum arabic/seaweed, butylated hydroxyanisole (BHA) and condensed fish soluble.</w:t>
      </w:r>
    </w:p>
    <w:p>
      <w:pPr>
        <w:pStyle w:val="BodyText"/>
        <w:spacing w:before="203"/>
        <w:ind w:left="492"/>
        <w:jc w:val="both"/>
      </w:pPr>
      <w:r>
        <w:rPr/>
        <w:t>Compound fish</w:t>
      </w:r>
      <w:r>
        <w:rPr>
          <w:spacing w:val="-3"/>
        </w:rPr>
        <w:t> </w:t>
      </w:r>
      <w:r>
        <w:rPr/>
        <w:t>feeds</w:t>
      </w:r>
      <w:r>
        <w:rPr>
          <w:spacing w:val="-5"/>
        </w:rPr>
        <w:t> </w:t>
      </w:r>
      <w:r>
        <w:rPr/>
        <w:t>sampled</w:t>
      </w:r>
      <w:r>
        <w:rPr>
          <w:spacing w:val="-3"/>
        </w:rPr>
        <w:t> </w:t>
      </w:r>
      <w:r>
        <w:rPr/>
        <w:t>were</w:t>
      </w:r>
      <w:r>
        <w:rPr>
          <w:spacing w:val="-1"/>
        </w:rPr>
        <w:t> </w:t>
      </w:r>
      <w:r>
        <w:rPr/>
        <w:t>FA,</w:t>
      </w:r>
      <w:r>
        <w:rPr>
          <w:spacing w:val="-1"/>
        </w:rPr>
        <w:t> </w:t>
      </w:r>
      <w:r>
        <w:rPr/>
        <w:t>FB,</w:t>
      </w:r>
      <w:r>
        <w:rPr>
          <w:spacing w:val="-1"/>
        </w:rPr>
        <w:t> </w:t>
      </w:r>
      <w:r>
        <w:rPr/>
        <w:t>FC</w:t>
      </w:r>
      <w:r>
        <w:rPr>
          <w:spacing w:val="-5"/>
        </w:rPr>
        <w:t> </w:t>
      </w:r>
      <w:r>
        <w:rPr/>
        <w:t>and</w:t>
      </w:r>
      <w:r>
        <w:rPr>
          <w:spacing w:val="-3"/>
        </w:rPr>
        <w:t> </w:t>
      </w:r>
      <w:r>
        <w:rPr>
          <w:spacing w:val="-5"/>
        </w:rPr>
        <w:t>FD</w:t>
      </w:r>
    </w:p>
    <w:p>
      <w:pPr>
        <w:pStyle w:val="BodyText"/>
        <w:spacing w:line="480" w:lineRule="auto" w:before="276"/>
        <w:ind w:left="420" w:right="731" w:firstLine="57"/>
        <w:jc w:val="both"/>
      </w:pPr>
      <w:r>
        <w:rPr/>
        <w:t>Compound poultry feeds sampled composed of cereal grains from Wheat/ Sorghum/ Barley/ Oats, oil seed/ cotton seed, peas/ lupins meat mill/fish mill/blood mill/feather mill, groundnut </w:t>
      </w:r>
      <w:r>
        <w:rPr>
          <w:spacing w:val="-2"/>
        </w:rPr>
        <w:t>cake.</w:t>
      </w:r>
    </w:p>
    <w:p>
      <w:pPr>
        <w:pStyle w:val="BodyText"/>
        <w:ind w:left="482"/>
        <w:jc w:val="both"/>
      </w:pPr>
      <w:r>
        <w:rPr/>
        <w:t>Compound</w:t>
      </w:r>
      <w:r>
        <w:rPr>
          <w:spacing w:val="-3"/>
        </w:rPr>
        <w:t> </w:t>
      </w:r>
      <w:r>
        <w:rPr/>
        <w:t>Poultry</w:t>
      </w:r>
      <w:r>
        <w:rPr>
          <w:spacing w:val="-6"/>
        </w:rPr>
        <w:t> </w:t>
      </w:r>
      <w:r>
        <w:rPr/>
        <w:t>feeds</w:t>
      </w:r>
      <w:r>
        <w:rPr>
          <w:spacing w:val="-4"/>
        </w:rPr>
        <w:t> </w:t>
      </w:r>
      <w:r>
        <w:rPr/>
        <w:t>sampled</w:t>
      </w:r>
      <w:r>
        <w:rPr>
          <w:spacing w:val="-2"/>
        </w:rPr>
        <w:t> </w:t>
      </w:r>
      <w:r>
        <w:rPr/>
        <w:t>were</w:t>
      </w:r>
      <w:r>
        <w:rPr>
          <w:spacing w:val="1"/>
        </w:rPr>
        <w:t> </w:t>
      </w:r>
      <w:r>
        <w:rPr/>
        <w:t>PA, PB,</w:t>
      </w:r>
      <w:r>
        <w:rPr>
          <w:spacing w:val="-5"/>
        </w:rPr>
        <w:t> </w:t>
      </w:r>
      <w:r>
        <w:rPr/>
        <w:t>PC</w:t>
      </w:r>
      <w:r>
        <w:rPr>
          <w:spacing w:val="-3"/>
        </w:rPr>
        <w:t> </w:t>
      </w:r>
      <w:r>
        <w:rPr/>
        <w:t>and</w:t>
      </w:r>
      <w:r>
        <w:rPr>
          <w:spacing w:val="-2"/>
        </w:rPr>
        <w:t> </w:t>
      </w:r>
      <w:r>
        <w:rPr>
          <w:spacing w:val="-5"/>
        </w:rPr>
        <w:t>PD</w:t>
      </w:r>
    </w:p>
    <w:p>
      <w:pPr>
        <w:pStyle w:val="BodyText"/>
      </w:pPr>
    </w:p>
    <w:p>
      <w:pPr>
        <w:pStyle w:val="BodyText"/>
      </w:pPr>
    </w:p>
    <w:p>
      <w:pPr>
        <w:pStyle w:val="BodyText"/>
        <w:spacing w:before="5"/>
      </w:pPr>
    </w:p>
    <w:p>
      <w:pPr>
        <w:pStyle w:val="Heading2"/>
        <w:numPr>
          <w:ilvl w:val="2"/>
          <w:numId w:val="18"/>
        </w:numPr>
        <w:tabs>
          <w:tab w:pos="1143" w:val="left" w:leader="none"/>
        </w:tabs>
        <w:spacing w:line="240" w:lineRule="auto" w:before="1" w:after="0"/>
        <w:ind w:left="1143" w:right="0" w:hanging="723"/>
        <w:jc w:val="left"/>
      </w:pPr>
      <w:r>
        <w:rPr>
          <w:spacing w:val="-2"/>
        </w:rPr>
        <w:t>Reagents</w:t>
      </w:r>
    </w:p>
    <w:p>
      <w:pPr>
        <w:pStyle w:val="BodyText"/>
        <w:spacing w:line="480" w:lineRule="auto" w:before="271"/>
        <w:ind w:left="420" w:right="765" w:firstLine="720"/>
      </w:pPr>
      <w:r>
        <w:rPr/>
        <w:t>The</w:t>
      </w:r>
      <w:r>
        <w:rPr>
          <w:spacing w:val="-3"/>
        </w:rPr>
        <w:t> </w:t>
      </w:r>
      <w:r>
        <w:rPr/>
        <w:t>reagents</w:t>
      </w:r>
      <w:r>
        <w:rPr>
          <w:spacing w:val="-3"/>
        </w:rPr>
        <w:t> </w:t>
      </w:r>
      <w:r>
        <w:rPr/>
        <w:t>used</w:t>
      </w:r>
      <w:r>
        <w:rPr>
          <w:spacing w:val="-2"/>
        </w:rPr>
        <w:t> </w:t>
      </w:r>
      <w:r>
        <w:rPr/>
        <w:t>were</w:t>
      </w:r>
      <w:r>
        <w:rPr>
          <w:spacing w:val="-3"/>
        </w:rPr>
        <w:t> </w:t>
      </w:r>
      <w:r>
        <w:rPr/>
        <w:t>concentrated</w:t>
      </w:r>
      <w:r>
        <w:rPr>
          <w:spacing w:val="-2"/>
        </w:rPr>
        <w:t> </w:t>
      </w:r>
      <w:r>
        <w:rPr/>
        <w:t>Nitric acid,</w:t>
      </w:r>
      <w:r>
        <w:rPr>
          <w:spacing w:val="40"/>
        </w:rPr>
        <w:t> </w:t>
      </w:r>
      <w:r>
        <w:rPr/>
        <w:t>concentrated</w:t>
      </w:r>
      <w:r>
        <w:rPr>
          <w:spacing w:val="-2"/>
        </w:rPr>
        <w:t> </w:t>
      </w:r>
      <w:r>
        <w:rPr/>
        <w:t>Sulphuric acid, Perchloric acid and deionized water, all were Analar grade.</w:t>
      </w:r>
    </w:p>
    <w:p>
      <w:pPr>
        <w:pStyle w:val="Heading2"/>
        <w:numPr>
          <w:ilvl w:val="2"/>
          <w:numId w:val="18"/>
        </w:numPr>
        <w:tabs>
          <w:tab w:pos="1143" w:val="left" w:leader="none"/>
        </w:tabs>
        <w:spacing w:line="240" w:lineRule="auto" w:before="5" w:after="0"/>
        <w:ind w:left="1143" w:right="0" w:hanging="723"/>
        <w:jc w:val="left"/>
      </w:pPr>
      <w:r>
        <w:rPr>
          <w:spacing w:val="-2"/>
        </w:rPr>
        <w:t>Equipment</w:t>
      </w:r>
    </w:p>
    <w:p>
      <w:pPr>
        <w:pStyle w:val="BodyText"/>
        <w:tabs>
          <w:tab w:pos="6308" w:val="left" w:leader="none"/>
        </w:tabs>
        <w:spacing w:line="480" w:lineRule="auto" w:before="271"/>
        <w:ind w:left="420" w:right="715" w:firstLine="62"/>
      </w:pPr>
      <w:r>
        <w:rPr/>
        <w:t>Atomic</w:t>
      </w:r>
      <w:r>
        <w:rPr>
          <w:spacing w:val="40"/>
        </w:rPr>
        <w:t> </w:t>
      </w:r>
      <w:r>
        <w:rPr/>
        <w:t>absorption</w:t>
      </w:r>
      <w:r>
        <w:rPr>
          <w:spacing w:val="40"/>
        </w:rPr>
        <w:t> </w:t>
      </w:r>
      <w:r>
        <w:rPr/>
        <w:t>spectrometry</w:t>
      </w:r>
      <w:r>
        <w:rPr>
          <w:spacing w:val="40"/>
        </w:rPr>
        <w:t> </w:t>
      </w:r>
      <w:r>
        <w:rPr/>
        <w:t>(AAS)</w:t>
      </w:r>
      <w:r>
        <w:rPr>
          <w:spacing w:val="40"/>
        </w:rPr>
        <w:t> </w:t>
      </w:r>
      <w:r>
        <w:rPr/>
        <w:t>model</w:t>
      </w:r>
      <w:r>
        <w:rPr>
          <w:spacing w:val="40"/>
        </w:rPr>
        <w:t> </w:t>
      </w:r>
      <w:r>
        <w:rPr/>
        <w:t>ICE3000</w:t>
        <w:tab/>
        <w:t>Jena,</w:t>
      </w:r>
      <w:r>
        <w:rPr>
          <w:spacing w:val="37"/>
        </w:rPr>
        <w:t> </w:t>
      </w:r>
      <w:r>
        <w:rPr/>
        <w:t>Germany,</w:t>
      </w:r>
      <w:r>
        <w:rPr>
          <w:spacing w:val="40"/>
        </w:rPr>
        <w:t> </w:t>
      </w:r>
      <w:r>
        <w:rPr/>
        <w:t>Kjeldahl</w:t>
      </w:r>
      <w:r>
        <w:rPr>
          <w:spacing w:val="31"/>
        </w:rPr>
        <w:t> </w:t>
      </w:r>
      <w:r>
        <w:rPr/>
        <w:t>digestion flask,</w:t>
      </w:r>
      <w:r>
        <w:rPr>
          <w:spacing w:val="61"/>
        </w:rPr>
        <w:t> </w:t>
      </w:r>
      <w:r>
        <w:rPr/>
        <w:t>pH</w:t>
      </w:r>
      <w:r>
        <w:rPr>
          <w:spacing w:val="63"/>
        </w:rPr>
        <w:t> </w:t>
      </w:r>
      <w:r>
        <w:rPr/>
        <w:t>meter(</w:t>
      </w:r>
      <w:r>
        <w:rPr>
          <w:spacing w:val="61"/>
        </w:rPr>
        <w:t> </w:t>
      </w:r>
      <w:r>
        <w:rPr/>
        <w:t>Millipore</w:t>
      </w:r>
      <w:r>
        <w:rPr>
          <w:spacing w:val="40"/>
        </w:rPr>
        <w:t> </w:t>
      </w:r>
      <w:r>
        <w:rPr/>
        <w:t>S.A.</w:t>
      </w:r>
      <w:r>
        <w:rPr>
          <w:spacing w:val="61"/>
        </w:rPr>
        <w:t> </w:t>
      </w:r>
      <w:r>
        <w:rPr/>
        <w:t>67120</w:t>
      </w:r>
      <w:r>
        <w:rPr>
          <w:spacing w:val="64"/>
        </w:rPr>
        <w:t> </w:t>
      </w:r>
      <w:r>
        <w:rPr/>
        <w:t>molsheim,</w:t>
      </w:r>
      <w:r>
        <w:rPr>
          <w:spacing w:val="66"/>
        </w:rPr>
        <w:t> </w:t>
      </w:r>
      <w:r>
        <w:rPr/>
        <w:t>France),</w:t>
      </w:r>
      <w:r>
        <w:rPr>
          <w:spacing w:val="61"/>
        </w:rPr>
        <w:t> </w:t>
      </w:r>
      <w:r>
        <w:rPr/>
        <w:t>Polythene</w:t>
      </w:r>
      <w:r>
        <w:rPr>
          <w:spacing w:val="63"/>
        </w:rPr>
        <w:t> </w:t>
      </w:r>
      <w:r>
        <w:rPr/>
        <w:t>bags,</w:t>
      </w:r>
      <w:r>
        <w:rPr>
          <w:spacing w:val="61"/>
        </w:rPr>
        <w:t> </w:t>
      </w:r>
      <w:r>
        <w:rPr/>
        <w:t>Plastic</w:t>
      </w:r>
      <w:r>
        <w:rPr>
          <w:spacing w:val="63"/>
        </w:rPr>
        <w:t> </w:t>
      </w:r>
      <w:r>
        <w:rPr/>
        <w:t>bottles,</w:t>
      </w:r>
    </w:p>
    <w:p>
      <w:pPr>
        <w:spacing w:after="0" w:line="480" w:lineRule="auto"/>
        <w:sectPr>
          <w:pgSz w:w="12240" w:h="15840"/>
          <w:pgMar w:header="0" w:footer="1012" w:top="1820" w:bottom="1200" w:left="1020" w:right="720"/>
        </w:sectPr>
      </w:pPr>
    </w:p>
    <w:p>
      <w:pPr>
        <w:pStyle w:val="BodyText"/>
        <w:spacing w:line="480" w:lineRule="auto" w:before="72"/>
        <w:ind w:left="420" w:right="733"/>
        <w:jc w:val="both"/>
      </w:pPr>
      <w:r>
        <w:rPr/>
        <w:t>Funnel, Beakers, Volumetric flasks, Glass rods from Pyrex company and Electronic Balance model UX3200 G of Shinadzu Corporation, Japan.</w:t>
      </w: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1"/>
          <w:numId w:val="18"/>
        </w:numPr>
        <w:tabs>
          <w:tab w:pos="4021" w:val="left" w:leader="none"/>
        </w:tabs>
        <w:spacing w:line="240" w:lineRule="auto" w:before="0" w:after="0"/>
        <w:ind w:left="4021" w:right="0" w:hanging="3601"/>
        <w:jc w:val="both"/>
      </w:pPr>
      <w:r>
        <w:rPr>
          <w:spacing w:val="-2"/>
        </w:rPr>
        <w:t>Methods</w:t>
      </w:r>
    </w:p>
    <w:p>
      <w:pPr>
        <w:pStyle w:val="BodyText"/>
        <w:rPr>
          <w:b/>
        </w:rPr>
      </w:pPr>
    </w:p>
    <w:p>
      <w:pPr>
        <w:pStyle w:val="ListParagraph"/>
        <w:numPr>
          <w:ilvl w:val="2"/>
          <w:numId w:val="18"/>
        </w:numPr>
        <w:tabs>
          <w:tab w:pos="1143" w:val="left" w:leader="none"/>
        </w:tabs>
        <w:spacing w:line="240" w:lineRule="auto" w:before="0" w:after="0"/>
        <w:ind w:left="1143" w:right="0" w:hanging="723"/>
        <w:jc w:val="both"/>
        <w:rPr>
          <w:b/>
          <w:sz w:val="24"/>
        </w:rPr>
      </w:pPr>
      <w:r>
        <w:rPr>
          <w:b/>
          <w:sz w:val="24"/>
        </w:rPr>
        <w:t>Study</w:t>
      </w:r>
      <w:r>
        <w:rPr>
          <w:b/>
          <w:spacing w:val="-3"/>
          <w:sz w:val="24"/>
        </w:rPr>
        <w:t> </w:t>
      </w:r>
      <w:r>
        <w:rPr>
          <w:b/>
          <w:spacing w:val="-4"/>
          <w:sz w:val="24"/>
        </w:rPr>
        <w:t>area</w:t>
      </w:r>
    </w:p>
    <w:p>
      <w:pPr>
        <w:pStyle w:val="BodyText"/>
        <w:spacing w:line="480" w:lineRule="auto" w:before="271"/>
        <w:ind w:left="420" w:right="719"/>
        <w:jc w:val="both"/>
      </w:pPr>
      <w:r>
        <w:rPr/>
        <w:t>Northern Nigeria (07°47′–12°23′N, 10°43′–20°05′E) is a geographical region of Nigeria consisting of three zones: North west, North central and North east. North central and North western Nigeria have a long history of illegal mining, highly influenced by metal pollution sourced from the mining activities. The major districts implicated were Zungeru, Beji and</w:t>
      </w:r>
      <w:r>
        <w:rPr>
          <w:spacing w:val="40"/>
        </w:rPr>
        <w:t> </w:t>
      </w:r>
      <w:r>
        <w:rPr/>
        <w:t>Kagara areas in the North central shown in figure 3.1 while Anka and Bukkuyum Local Government areas in Zamfara state in North western Nigeria shown in figure 3.2.</w:t>
      </w:r>
      <w:r>
        <w:rPr>
          <w:spacing w:val="40"/>
        </w:rPr>
        <w:t> </w:t>
      </w:r>
      <w:r>
        <w:rPr/>
        <w:t>Bama</w:t>
      </w:r>
      <w:r>
        <w:rPr>
          <w:spacing w:val="40"/>
        </w:rPr>
        <w:t> </w:t>
      </w:r>
      <w:r>
        <w:rPr/>
        <w:t>and Konduga in Borno state under present study in figure 3.3 are part of North eastern Nigeria that have environmental pollution due to activities of Boko Haram insurgency. Water was sampled from rivers Sokoto, Kaduna and Ngadda during raining and dry seasons (Figures 3.5 to 3.9).</w:t>
      </w:r>
    </w:p>
    <w:p>
      <w:pPr>
        <w:pStyle w:val="BodyText"/>
      </w:pPr>
    </w:p>
    <w:p>
      <w:pPr>
        <w:pStyle w:val="BodyText"/>
        <w:spacing w:before="3"/>
      </w:pPr>
    </w:p>
    <w:p>
      <w:pPr>
        <w:spacing w:before="0"/>
        <w:ind w:left="420" w:right="0" w:firstLine="0"/>
        <w:jc w:val="left"/>
        <w:rPr>
          <w:sz w:val="24"/>
        </w:rPr>
      </w:pPr>
      <w:r>
        <w:rPr>
          <w:spacing w:val="-10"/>
          <w:sz w:val="24"/>
        </w:rPr>
        <w:t>.</w:t>
      </w:r>
    </w:p>
    <w:p>
      <w:pPr>
        <w:spacing w:after="0"/>
        <w:jc w:val="left"/>
        <w:rPr>
          <w:sz w:val="24"/>
        </w:rPr>
        <w:sectPr>
          <w:pgSz w:w="12240" w:h="15840"/>
          <w:pgMar w:header="0" w:footer="1012" w:top="1360" w:bottom="1200" w:left="1020" w:right="720"/>
        </w:sectPr>
      </w:pPr>
    </w:p>
    <w:p>
      <w:pPr>
        <w:pStyle w:val="BodyText"/>
        <w:rPr>
          <w:sz w:val="20"/>
        </w:rPr>
      </w:pPr>
    </w:p>
    <w:p>
      <w:pPr>
        <w:pStyle w:val="BodyText"/>
        <w:rPr>
          <w:sz w:val="20"/>
        </w:rPr>
      </w:pPr>
    </w:p>
    <w:p>
      <w:pPr>
        <w:pStyle w:val="BodyText"/>
        <w:spacing w:before="58"/>
        <w:rPr>
          <w:sz w:val="20"/>
        </w:rPr>
      </w:pPr>
    </w:p>
    <w:p>
      <w:pPr>
        <w:pStyle w:val="BodyText"/>
        <w:ind w:left="444"/>
        <w:rPr>
          <w:sz w:val="20"/>
        </w:rPr>
      </w:pPr>
      <w:r>
        <w:rPr>
          <w:sz w:val="20"/>
        </w:rPr>
        <mc:AlternateContent>
          <mc:Choice Requires="wps">
            <w:drawing>
              <wp:inline distT="0" distB="0" distL="0" distR="0">
                <wp:extent cx="4756785" cy="3951604"/>
                <wp:effectExtent l="0" t="0" r="0" b="1270"/>
                <wp:docPr id="3" name="Group 3"/>
                <wp:cNvGraphicFramePr>
                  <a:graphicFrameLocks/>
                </wp:cNvGraphicFramePr>
                <a:graphic>
                  <a:graphicData uri="http://schemas.microsoft.com/office/word/2010/wordprocessingGroup">
                    <wpg:wgp>
                      <wpg:cNvPr id="3" name="Group 3"/>
                      <wpg:cNvGrpSpPr/>
                      <wpg:grpSpPr>
                        <a:xfrm>
                          <a:off x="0" y="0"/>
                          <a:ext cx="4756785" cy="3951604"/>
                          <a:chExt cx="4756785" cy="3951604"/>
                        </a:xfrm>
                      </wpg:grpSpPr>
                      <pic:pic>
                        <pic:nvPicPr>
                          <pic:cNvPr id="4" name="Image 4"/>
                          <pic:cNvPicPr/>
                        </pic:nvPicPr>
                        <pic:blipFill>
                          <a:blip r:embed="rId60" cstate="print"/>
                          <a:stretch>
                            <a:fillRect/>
                          </a:stretch>
                        </pic:blipFill>
                        <pic:spPr>
                          <a:xfrm>
                            <a:off x="0" y="0"/>
                            <a:ext cx="4756625" cy="3951379"/>
                          </a:xfrm>
                          <a:prstGeom prst="rect">
                            <a:avLst/>
                          </a:prstGeom>
                        </pic:spPr>
                      </pic:pic>
                      <wps:wsp>
                        <wps:cNvPr id="5" name="Graphic 5"/>
                        <wps:cNvSpPr/>
                        <wps:spPr>
                          <a:xfrm>
                            <a:off x="1922626" y="903177"/>
                            <a:ext cx="1139190" cy="2202180"/>
                          </a:xfrm>
                          <a:custGeom>
                            <a:avLst/>
                            <a:gdLst/>
                            <a:ahLst/>
                            <a:cxnLst/>
                            <a:rect l="l" t="t" r="r" b="b"/>
                            <a:pathLst>
                              <a:path w="1139190" h="2202180">
                                <a:moveTo>
                                  <a:pt x="0" y="2201659"/>
                                </a:moveTo>
                                <a:lnTo>
                                  <a:pt x="683419" y="2201659"/>
                                </a:lnTo>
                                <a:lnTo>
                                  <a:pt x="683419" y="1947520"/>
                                </a:lnTo>
                                <a:lnTo>
                                  <a:pt x="0" y="1947520"/>
                                </a:lnTo>
                                <a:lnTo>
                                  <a:pt x="0" y="2201659"/>
                                </a:lnTo>
                                <a:close/>
                              </a:path>
                              <a:path w="1139190" h="2202180">
                                <a:moveTo>
                                  <a:pt x="555319" y="240047"/>
                                </a:moveTo>
                                <a:lnTo>
                                  <a:pt x="1139084" y="240047"/>
                                </a:lnTo>
                                <a:lnTo>
                                  <a:pt x="1139084" y="0"/>
                                </a:lnTo>
                                <a:lnTo>
                                  <a:pt x="555319" y="0"/>
                                </a:lnTo>
                                <a:lnTo>
                                  <a:pt x="555319" y="240047"/>
                                </a:lnTo>
                                <a:close/>
                              </a:path>
                            </a:pathLst>
                          </a:custGeom>
                          <a:ln w="14146">
                            <a:solidFill>
                              <a:srgbClr val="2D2C2C"/>
                            </a:solidFill>
                            <a:prstDash val="solid"/>
                          </a:ln>
                        </wps:spPr>
                        <wps:bodyPr wrap="square" lIns="0" tIns="0" rIns="0" bIns="0" rtlCol="0">
                          <a:prstTxWarp prst="textNoShape">
                            <a:avLst/>
                          </a:prstTxWarp>
                          <a:noAutofit/>
                        </wps:bodyPr>
                      </wps:wsp>
                    </wpg:wgp>
                  </a:graphicData>
                </a:graphic>
              </wp:inline>
            </w:drawing>
          </mc:Choice>
          <mc:Fallback>
            <w:pict>
              <v:group style="width:374.55pt;height:311.150pt;mso-position-horizontal-relative:char;mso-position-vertical-relative:line" id="docshapegroup3" coordorigin="0,0" coordsize="7491,6223">
                <v:shape style="position:absolute;left:0;top:0;width:7491;height:6223" type="#_x0000_t75" id="docshape4" stroked="false">
                  <v:imagedata r:id="rId60" o:title=""/>
                </v:shape>
                <v:shape style="position:absolute;left:3027;top:1422;width:1794;height:3468" id="docshape5" coordorigin="3028,1422" coordsize="1794,3468" path="m3028,4890l4104,4890,4104,4489,3028,4489,3028,4890xm3902,1800l4822,1800,4822,1422,3902,1422,3902,1800xe" filled="false" stroked="true" strokeweight="1.113907pt" strokecolor="#2d2c2c">
                  <v:path arrowok="t"/>
                  <v:stroke dashstyle="solid"/>
                </v:shape>
              </v:group>
            </w:pict>
          </mc:Fallback>
        </mc:AlternateContent>
      </w:r>
      <w:r>
        <w:rPr>
          <w:sz w:val="20"/>
        </w:rPr>
      </w:r>
    </w:p>
    <w:p>
      <w:pPr>
        <w:pStyle w:val="BodyText"/>
      </w:pPr>
    </w:p>
    <w:p>
      <w:pPr>
        <w:pStyle w:val="BodyText"/>
        <w:spacing w:before="56"/>
      </w:pPr>
    </w:p>
    <w:p>
      <w:pPr>
        <w:pStyle w:val="BodyText"/>
        <w:spacing w:line="276" w:lineRule="auto"/>
        <w:ind w:left="5462" w:right="3653"/>
      </w:pPr>
      <w:r>
        <w:rPr/>
        <mc:AlternateContent>
          <mc:Choice Requires="wps">
            <w:drawing>
              <wp:anchor distT="0" distB="0" distL="0" distR="0" allowOverlap="1" layoutInCell="1" locked="0" behindDoc="0" simplePos="0" relativeHeight="15729152">
                <wp:simplePos x="0" y="0"/>
                <wp:positionH relativeFrom="page">
                  <wp:posOffset>3676650</wp:posOffset>
                </wp:positionH>
                <wp:positionV relativeFrom="paragraph">
                  <wp:posOffset>207924</wp:posOffset>
                </wp:positionV>
                <wp:extent cx="323850" cy="2095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23850" cy="209550"/>
                        </a:xfrm>
                        <a:custGeom>
                          <a:avLst/>
                          <a:gdLst/>
                          <a:ahLst/>
                          <a:cxnLst/>
                          <a:rect l="l" t="t" r="r" b="b"/>
                          <a:pathLst>
                            <a:path w="323850" h="209550">
                              <a:moveTo>
                                <a:pt x="0" y="209550"/>
                              </a:moveTo>
                              <a:lnTo>
                                <a:pt x="323850" y="209550"/>
                              </a:lnTo>
                              <a:lnTo>
                                <a:pt x="323850" y="0"/>
                              </a:lnTo>
                              <a:lnTo>
                                <a:pt x="0" y="0"/>
                              </a:lnTo>
                              <a:lnTo>
                                <a:pt x="0" y="2095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89.5pt;margin-top:16.372002pt;width:25.5pt;height:16.5pt;mso-position-horizontal-relative:page;mso-position-vertical-relative:paragraph;z-index:15729152" id="docshape6" filled="false" stroked="true" strokeweight=".75pt" strokecolor="#000000">
                <v:stroke dashstyle="solid"/>
                <w10:wrap type="none"/>
              </v:rect>
            </w:pict>
          </mc:Fallback>
        </mc:AlternateContent>
      </w:r>
      <w:r>
        <w:rPr>
          <w:spacing w:val="-4"/>
          <w:u w:val="single"/>
        </w:rPr>
        <w:t>Keys</w:t>
      </w:r>
      <w:r>
        <w:rPr>
          <w:spacing w:val="-4"/>
        </w:rPr>
        <w:t> </w:t>
      </w:r>
      <w:r>
        <w:rPr/>
        <w:t>Sampling</w:t>
      </w:r>
      <w:r>
        <w:rPr>
          <w:spacing w:val="-15"/>
        </w:rPr>
        <w:t> </w:t>
      </w:r>
      <w:r>
        <w:rPr/>
        <w:t>area</w:t>
      </w:r>
    </w:p>
    <w:p>
      <w:pPr>
        <w:pStyle w:val="BodyText"/>
        <w:spacing w:before="40"/>
      </w:pPr>
    </w:p>
    <w:p>
      <w:pPr>
        <w:pStyle w:val="BodyText"/>
        <w:ind w:left="420"/>
      </w:pPr>
      <w:r>
        <w:rPr/>
        <w:t>Figure</w:t>
      </w:r>
      <w:r>
        <w:rPr>
          <w:spacing w:val="-5"/>
        </w:rPr>
        <w:t> </w:t>
      </w:r>
      <w:r>
        <w:rPr/>
        <w:t>3.1</w:t>
      </w:r>
      <w:r>
        <w:rPr>
          <w:spacing w:val="-1"/>
        </w:rPr>
        <w:t> </w:t>
      </w:r>
      <w:r>
        <w:rPr/>
        <w:t>Livestock</w:t>
      </w:r>
      <w:r>
        <w:rPr>
          <w:spacing w:val="-1"/>
        </w:rPr>
        <w:t> </w:t>
      </w:r>
      <w:r>
        <w:rPr/>
        <w:t>feeds</w:t>
      </w:r>
      <w:r>
        <w:rPr>
          <w:spacing w:val="-3"/>
        </w:rPr>
        <w:t> </w:t>
      </w:r>
      <w:r>
        <w:rPr/>
        <w:t>and</w:t>
      </w:r>
      <w:r>
        <w:rPr>
          <w:spacing w:val="3"/>
        </w:rPr>
        <w:t> </w:t>
      </w:r>
      <w:r>
        <w:rPr/>
        <w:t>manure</w:t>
      </w:r>
      <w:r>
        <w:rPr>
          <w:spacing w:val="-3"/>
        </w:rPr>
        <w:t> </w:t>
      </w:r>
      <w:r>
        <w:rPr/>
        <w:t>sampling</w:t>
      </w:r>
      <w:r>
        <w:rPr>
          <w:spacing w:val="-1"/>
        </w:rPr>
        <w:t> </w:t>
      </w:r>
      <w:r>
        <w:rPr/>
        <w:t>areas</w:t>
      </w:r>
      <w:r>
        <w:rPr>
          <w:spacing w:val="1"/>
        </w:rPr>
        <w:t> </w:t>
      </w:r>
      <w:r>
        <w:rPr/>
        <w:t>in</w:t>
      </w:r>
      <w:r>
        <w:rPr>
          <w:spacing w:val="-6"/>
        </w:rPr>
        <w:t> </w:t>
      </w:r>
      <w:r>
        <w:rPr/>
        <w:t>North</w:t>
      </w:r>
      <w:r>
        <w:rPr>
          <w:spacing w:val="-6"/>
        </w:rPr>
        <w:t> </w:t>
      </w:r>
      <w:r>
        <w:rPr/>
        <w:t>central</w:t>
      </w:r>
      <w:r>
        <w:rPr>
          <w:spacing w:val="-9"/>
        </w:rPr>
        <w:t> </w:t>
      </w:r>
      <w:r>
        <w:rPr>
          <w:spacing w:val="-2"/>
        </w:rPr>
        <w:t>Nigeria</w:t>
      </w:r>
    </w:p>
    <w:p>
      <w:pPr>
        <w:spacing w:after="0"/>
        <w:sectPr>
          <w:pgSz w:w="12240" w:h="15840"/>
          <w:pgMar w:header="0" w:footer="1012" w:top="1820" w:bottom="1200" w:left="1020" w:right="720"/>
        </w:sectPr>
      </w:pPr>
    </w:p>
    <w:p>
      <w:pPr>
        <w:pStyle w:val="BodyText"/>
        <w:spacing w:before="1"/>
        <w:rPr>
          <w:sz w:val="15"/>
        </w:rPr>
      </w:pPr>
    </w:p>
    <w:p>
      <w:pPr>
        <w:pStyle w:val="BodyText"/>
        <w:ind w:left="435"/>
        <w:rPr>
          <w:sz w:val="20"/>
        </w:rPr>
      </w:pPr>
      <w:r>
        <w:rPr>
          <w:sz w:val="20"/>
        </w:rPr>
        <mc:AlternateContent>
          <mc:Choice Requires="wps">
            <w:drawing>
              <wp:inline distT="0" distB="0" distL="0" distR="0">
                <wp:extent cx="5914390" cy="3385820"/>
                <wp:effectExtent l="0" t="0" r="0" b="5079"/>
                <wp:docPr id="7" name="Group 7"/>
                <wp:cNvGraphicFramePr>
                  <a:graphicFrameLocks/>
                </wp:cNvGraphicFramePr>
                <a:graphic>
                  <a:graphicData uri="http://schemas.microsoft.com/office/word/2010/wordprocessingGroup">
                    <wpg:wgp>
                      <wpg:cNvPr id="7" name="Group 7"/>
                      <wpg:cNvGrpSpPr/>
                      <wpg:grpSpPr>
                        <a:xfrm>
                          <a:off x="0" y="0"/>
                          <a:ext cx="5914390" cy="3385820"/>
                          <a:chExt cx="5914390" cy="3385820"/>
                        </a:xfrm>
                      </wpg:grpSpPr>
                      <pic:pic>
                        <pic:nvPicPr>
                          <pic:cNvPr id="8" name="Image 8"/>
                          <pic:cNvPicPr/>
                        </pic:nvPicPr>
                        <pic:blipFill>
                          <a:blip r:embed="rId61" cstate="print"/>
                          <a:stretch>
                            <a:fillRect/>
                          </a:stretch>
                        </pic:blipFill>
                        <pic:spPr>
                          <a:xfrm>
                            <a:off x="0" y="0"/>
                            <a:ext cx="5914213" cy="3385765"/>
                          </a:xfrm>
                          <a:prstGeom prst="rect">
                            <a:avLst/>
                          </a:prstGeom>
                        </pic:spPr>
                      </pic:pic>
                      <wps:wsp>
                        <wps:cNvPr id="9" name="Graphic 9"/>
                        <wps:cNvSpPr/>
                        <wps:spPr>
                          <a:xfrm>
                            <a:off x="270850" y="1091841"/>
                            <a:ext cx="5051425" cy="567690"/>
                          </a:xfrm>
                          <a:custGeom>
                            <a:avLst/>
                            <a:gdLst/>
                            <a:ahLst/>
                            <a:cxnLst/>
                            <a:rect l="l" t="t" r="r" b="b"/>
                            <a:pathLst>
                              <a:path w="5051425" h="567690">
                                <a:moveTo>
                                  <a:pt x="0" y="567201"/>
                                </a:moveTo>
                                <a:lnTo>
                                  <a:pt x="456781" y="567201"/>
                                </a:lnTo>
                                <a:lnTo>
                                  <a:pt x="456781" y="296286"/>
                                </a:lnTo>
                                <a:lnTo>
                                  <a:pt x="0" y="296286"/>
                                </a:lnTo>
                                <a:lnTo>
                                  <a:pt x="0" y="567201"/>
                                </a:lnTo>
                                <a:close/>
                              </a:path>
                              <a:path w="5051425" h="567690">
                                <a:moveTo>
                                  <a:pt x="4560381" y="237101"/>
                                </a:moveTo>
                                <a:lnTo>
                                  <a:pt x="5051172" y="237101"/>
                                </a:lnTo>
                                <a:lnTo>
                                  <a:pt x="5051172" y="0"/>
                                </a:lnTo>
                                <a:lnTo>
                                  <a:pt x="4560381" y="0"/>
                                </a:lnTo>
                                <a:lnTo>
                                  <a:pt x="4560381" y="237101"/>
                                </a:lnTo>
                                <a:close/>
                              </a:path>
                            </a:pathLst>
                          </a:custGeom>
                          <a:ln w="8459">
                            <a:solidFill>
                              <a:srgbClr val="2D2C2C"/>
                            </a:solidFill>
                            <a:prstDash val="solid"/>
                          </a:ln>
                        </wps:spPr>
                        <wps:bodyPr wrap="square" lIns="0" tIns="0" rIns="0" bIns="0" rtlCol="0">
                          <a:prstTxWarp prst="textNoShape">
                            <a:avLst/>
                          </a:prstTxWarp>
                          <a:noAutofit/>
                        </wps:bodyPr>
                      </wps:wsp>
                    </wpg:wgp>
                  </a:graphicData>
                </a:graphic>
              </wp:inline>
            </w:drawing>
          </mc:Choice>
          <mc:Fallback>
            <w:pict>
              <v:group style="width:465.7pt;height:266.6pt;mso-position-horizontal-relative:char;mso-position-vertical-relative:line" id="docshapegroup7" coordorigin="0,0" coordsize="9314,5332">
                <v:shape style="position:absolute;left:0;top:0;width:9314;height:5332" type="#_x0000_t75" id="docshape8" stroked="false">
                  <v:imagedata r:id="rId61" o:title=""/>
                </v:shape>
                <v:shape style="position:absolute;left:426;top:1719;width:7955;height:894" id="docshape9" coordorigin="427,1719" coordsize="7955,894" path="m427,2613l1146,2613,1146,2186,427,2186,427,2613xm7608,2093l8381,2093,8381,1719,7608,1719,7608,2093xe" filled="false" stroked="true" strokeweight=".666128pt" strokecolor="#2d2c2c">
                  <v:path arrowok="t"/>
                  <v:stroke dashstyle="solid"/>
                </v:shape>
              </v:group>
            </w:pict>
          </mc:Fallback>
        </mc:AlternateContent>
      </w:r>
      <w:r>
        <w:rPr>
          <w:sz w:val="20"/>
        </w:rPr>
      </w:r>
    </w:p>
    <w:p>
      <w:pPr>
        <w:spacing w:before="0"/>
        <w:ind w:left="420" w:right="0" w:firstLine="0"/>
        <w:jc w:val="left"/>
        <w:rPr>
          <w:sz w:val="22"/>
        </w:rPr>
      </w:pPr>
      <w:r>
        <w:rPr>
          <w:spacing w:val="-10"/>
          <w:sz w:val="22"/>
        </w:rPr>
        <w:t>.</w:t>
      </w:r>
    </w:p>
    <w:p>
      <w:pPr>
        <w:pStyle w:val="BodyText"/>
      </w:pPr>
    </w:p>
    <w:p>
      <w:pPr>
        <w:pStyle w:val="BodyText"/>
      </w:pPr>
    </w:p>
    <w:p>
      <w:pPr>
        <w:pStyle w:val="BodyText"/>
        <w:spacing w:before="149"/>
      </w:pPr>
    </w:p>
    <w:p>
      <w:pPr>
        <w:pStyle w:val="BodyText"/>
        <w:spacing w:before="1"/>
        <w:ind w:left="911"/>
        <w:jc w:val="center"/>
      </w:pPr>
      <w:r>
        <w:rPr/>
        <mc:AlternateContent>
          <mc:Choice Requires="wps">
            <w:drawing>
              <wp:anchor distT="0" distB="0" distL="0" distR="0" allowOverlap="1" layoutInCell="1" locked="0" behindDoc="0" simplePos="0" relativeHeight="15730176">
                <wp:simplePos x="0" y="0"/>
                <wp:positionH relativeFrom="page">
                  <wp:posOffset>4105275</wp:posOffset>
                </wp:positionH>
                <wp:positionV relativeFrom="paragraph">
                  <wp:posOffset>191540</wp:posOffset>
                </wp:positionV>
                <wp:extent cx="323850" cy="18097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23850" cy="180975"/>
                        </a:xfrm>
                        <a:custGeom>
                          <a:avLst/>
                          <a:gdLst/>
                          <a:ahLst/>
                          <a:cxnLst/>
                          <a:rect l="l" t="t" r="r" b="b"/>
                          <a:pathLst>
                            <a:path w="323850" h="180975">
                              <a:moveTo>
                                <a:pt x="0" y="180975"/>
                              </a:moveTo>
                              <a:lnTo>
                                <a:pt x="323850" y="180975"/>
                              </a:lnTo>
                              <a:lnTo>
                                <a:pt x="323850" y="0"/>
                              </a:lnTo>
                              <a:lnTo>
                                <a:pt x="0" y="0"/>
                              </a:lnTo>
                              <a:lnTo>
                                <a:pt x="0" y="1809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23.25pt;margin-top:15.081951pt;width:25.5pt;height:14.25pt;mso-position-horizontal-relative:page;mso-position-vertical-relative:paragraph;z-index:15730176" id="docshape10" filled="false" stroked="true" strokeweight=".75pt" strokecolor="#000000">
                <v:stroke dashstyle="solid"/>
                <w10:wrap type="none"/>
              </v:rect>
            </w:pict>
          </mc:Fallback>
        </mc:AlternateContent>
      </w:r>
      <w:r>
        <w:rPr>
          <w:spacing w:val="-4"/>
          <w:u w:val="single"/>
        </w:rPr>
        <w:t>Keys</w:t>
      </w:r>
    </w:p>
    <w:p>
      <w:pPr>
        <w:pStyle w:val="BodyText"/>
        <w:spacing w:before="40"/>
        <w:ind w:left="4345" w:right="1256"/>
        <w:jc w:val="center"/>
      </w:pPr>
      <w:r>
        <w:rPr/>
        <w:t>Sampling</w:t>
      </w:r>
      <w:r>
        <w:rPr>
          <w:spacing w:val="-9"/>
        </w:rPr>
        <w:t> </w:t>
      </w:r>
      <w:r>
        <w:rPr>
          <w:spacing w:val="-2"/>
        </w:rPr>
        <w:t>areas</w:t>
      </w:r>
    </w:p>
    <w:p>
      <w:pPr>
        <w:pStyle w:val="BodyText"/>
        <w:spacing w:before="82"/>
      </w:pPr>
    </w:p>
    <w:p>
      <w:pPr>
        <w:pStyle w:val="BodyText"/>
        <w:spacing w:before="1"/>
        <w:ind w:left="420"/>
      </w:pPr>
      <w:r>
        <w:rPr/>
        <w:t>Figure</w:t>
      </w:r>
      <w:r>
        <w:rPr>
          <w:spacing w:val="-4"/>
        </w:rPr>
        <w:t> </w:t>
      </w:r>
      <w:r>
        <w:rPr/>
        <w:t>3.2</w:t>
      </w:r>
      <w:r>
        <w:rPr>
          <w:spacing w:val="-1"/>
        </w:rPr>
        <w:t> </w:t>
      </w:r>
      <w:r>
        <w:rPr/>
        <w:t>Livestock</w:t>
      </w:r>
      <w:r>
        <w:rPr>
          <w:spacing w:val="-1"/>
        </w:rPr>
        <w:t> </w:t>
      </w:r>
      <w:r>
        <w:rPr/>
        <w:t>feeds</w:t>
      </w:r>
      <w:r>
        <w:rPr>
          <w:spacing w:val="-2"/>
        </w:rPr>
        <w:t> </w:t>
      </w:r>
      <w:r>
        <w:rPr/>
        <w:t>and</w:t>
      </w:r>
      <w:r>
        <w:rPr>
          <w:spacing w:val="3"/>
        </w:rPr>
        <w:t> </w:t>
      </w:r>
      <w:r>
        <w:rPr/>
        <w:t>manure</w:t>
      </w:r>
      <w:r>
        <w:rPr>
          <w:spacing w:val="-2"/>
        </w:rPr>
        <w:t> </w:t>
      </w:r>
      <w:r>
        <w:rPr/>
        <w:t>sampling areas</w:t>
      </w:r>
      <w:r>
        <w:rPr>
          <w:spacing w:val="1"/>
        </w:rPr>
        <w:t> </w:t>
      </w:r>
      <w:r>
        <w:rPr/>
        <w:t>in</w:t>
      </w:r>
      <w:r>
        <w:rPr>
          <w:spacing w:val="-6"/>
        </w:rPr>
        <w:t> </w:t>
      </w:r>
      <w:r>
        <w:rPr/>
        <w:t>North</w:t>
      </w:r>
      <w:r>
        <w:rPr>
          <w:spacing w:val="-5"/>
        </w:rPr>
        <w:t> </w:t>
      </w:r>
      <w:r>
        <w:rPr/>
        <w:t>western</w:t>
      </w:r>
      <w:r>
        <w:rPr>
          <w:spacing w:val="54"/>
        </w:rPr>
        <w:t> </w:t>
      </w:r>
      <w:r>
        <w:rPr>
          <w:spacing w:val="-2"/>
        </w:rPr>
        <w:t>Nigeria</w:t>
      </w:r>
    </w:p>
    <w:p>
      <w:pPr>
        <w:spacing w:after="0"/>
        <w:sectPr>
          <w:pgSz w:w="12240" w:h="15840"/>
          <w:pgMar w:header="0" w:footer="1012" w:top="1820" w:bottom="1200" w:left="1020" w:right="720"/>
        </w:sectPr>
      </w:pPr>
    </w:p>
    <w:p>
      <w:pPr>
        <w:pStyle w:val="BodyText"/>
        <w:rPr>
          <w:sz w:val="20"/>
        </w:rPr>
      </w:pPr>
    </w:p>
    <w:p>
      <w:pPr>
        <w:pStyle w:val="BodyText"/>
        <w:rPr>
          <w:sz w:val="20"/>
        </w:rPr>
      </w:pPr>
    </w:p>
    <w:p>
      <w:pPr>
        <w:pStyle w:val="BodyText"/>
        <w:spacing w:before="22"/>
        <w:rPr>
          <w:sz w:val="20"/>
        </w:rPr>
      </w:pPr>
    </w:p>
    <w:p>
      <w:pPr>
        <w:pStyle w:val="BodyText"/>
        <w:ind w:left="437"/>
        <w:rPr>
          <w:sz w:val="20"/>
        </w:rPr>
      </w:pPr>
      <w:r>
        <w:rPr>
          <w:sz w:val="20"/>
        </w:rPr>
        <mc:AlternateContent>
          <mc:Choice Requires="wps">
            <w:drawing>
              <wp:inline distT="0" distB="0" distL="0" distR="0">
                <wp:extent cx="5627370" cy="3500120"/>
                <wp:effectExtent l="0" t="0" r="0" b="5079"/>
                <wp:docPr id="11" name="Group 11"/>
                <wp:cNvGraphicFramePr>
                  <a:graphicFrameLocks/>
                </wp:cNvGraphicFramePr>
                <a:graphic>
                  <a:graphicData uri="http://schemas.microsoft.com/office/word/2010/wordprocessingGroup">
                    <wpg:wgp>
                      <wpg:cNvPr id="11" name="Group 11"/>
                      <wpg:cNvGrpSpPr/>
                      <wpg:grpSpPr>
                        <a:xfrm>
                          <a:off x="0" y="0"/>
                          <a:ext cx="5627370" cy="3500120"/>
                          <a:chExt cx="5627370" cy="3500120"/>
                        </a:xfrm>
                      </wpg:grpSpPr>
                      <pic:pic>
                        <pic:nvPicPr>
                          <pic:cNvPr id="12" name="Image 12"/>
                          <pic:cNvPicPr/>
                        </pic:nvPicPr>
                        <pic:blipFill>
                          <a:blip r:embed="rId62" cstate="print"/>
                          <a:stretch>
                            <a:fillRect/>
                          </a:stretch>
                        </pic:blipFill>
                        <pic:spPr>
                          <a:xfrm>
                            <a:off x="0" y="0"/>
                            <a:ext cx="5626949" cy="3499538"/>
                          </a:xfrm>
                          <a:prstGeom prst="rect">
                            <a:avLst/>
                          </a:prstGeom>
                        </pic:spPr>
                      </pic:pic>
                      <wps:wsp>
                        <wps:cNvPr id="13" name="Graphic 13"/>
                        <wps:cNvSpPr/>
                        <wps:spPr>
                          <a:xfrm>
                            <a:off x="1910776" y="1816448"/>
                            <a:ext cx="2378710" cy="1112520"/>
                          </a:xfrm>
                          <a:custGeom>
                            <a:avLst/>
                            <a:gdLst/>
                            <a:ahLst/>
                            <a:cxnLst/>
                            <a:rect l="l" t="t" r="r" b="b"/>
                            <a:pathLst>
                              <a:path w="2378710" h="1112520">
                                <a:moveTo>
                                  <a:pt x="1872320" y="1112491"/>
                                </a:moveTo>
                                <a:lnTo>
                                  <a:pt x="2378594" y="1112491"/>
                                </a:lnTo>
                                <a:lnTo>
                                  <a:pt x="2378594" y="874762"/>
                                </a:lnTo>
                                <a:lnTo>
                                  <a:pt x="1872320" y="874762"/>
                                </a:lnTo>
                                <a:lnTo>
                                  <a:pt x="1872320" y="1112491"/>
                                </a:lnTo>
                                <a:close/>
                              </a:path>
                              <a:path w="2378710" h="1112520">
                                <a:moveTo>
                                  <a:pt x="0" y="247218"/>
                                </a:moveTo>
                                <a:lnTo>
                                  <a:pt x="611339" y="247218"/>
                                </a:lnTo>
                                <a:lnTo>
                                  <a:pt x="611339" y="0"/>
                                </a:lnTo>
                                <a:lnTo>
                                  <a:pt x="0" y="0"/>
                                </a:lnTo>
                                <a:lnTo>
                                  <a:pt x="0" y="247218"/>
                                </a:lnTo>
                                <a:close/>
                              </a:path>
                            </a:pathLst>
                          </a:custGeom>
                          <a:ln w="9519">
                            <a:solidFill>
                              <a:srgbClr val="2D2C2C"/>
                            </a:solidFill>
                            <a:prstDash val="solid"/>
                          </a:ln>
                        </wps:spPr>
                        <wps:bodyPr wrap="square" lIns="0" tIns="0" rIns="0" bIns="0" rtlCol="0">
                          <a:prstTxWarp prst="textNoShape">
                            <a:avLst/>
                          </a:prstTxWarp>
                          <a:noAutofit/>
                        </wps:bodyPr>
                      </wps:wsp>
                    </wpg:wgp>
                  </a:graphicData>
                </a:graphic>
              </wp:inline>
            </w:drawing>
          </mc:Choice>
          <mc:Fallback>
            <w:pict>
              <v:group style="width:443.1pt;height:275.6pt;mso-position-horizontal-relative:char;mso-position-vertical-relative:line" id="docshapegroup11" coordorigin="0,0" coordsize="8862,5512">
                <v:shape style="position:absolute;left:0;top:0;width:8862;height:5512" type="#_x0000_t75" id="docshape12" stroked="false">
                  <v:imagedata r:id="rId62" o:title=""/>
                </v:shape>
                <v:shape style="position:absolute;left:3009;top:2860;width:3746;height:1752" id="docshape13" coordorigin="3009,2861" coordsize="3746,1752" path="m5958,4613l6755,4613,6755,4238,5958,4238,5958,4613xm3009,3250l3972,3250,3972,2861,3009,2861,3009,3250xe" filled="false" stroked="true" strokeweight=".749538pt" strokecolor="#2d2c2c">
                  <v:path arrowok="t"/>
                  <v:stroke dashstyle="solid"/>
                </v:shape>
              </v:group>
            </w:pict>
          </mc:Fallback>
        </mc:AlternateContent>
      </w:r>
      <w:r>
        <w:rPr>
          <w:sz w:val="20"/>
        </w:rPr>
      </w:r>
    </w:p>
    <w:p>
      <w:pPr>
        <w:pStyle w:val="BodyText"/>
        <w:spacing w:before="254"/>
        <w:ind w:left="911"/>
        <w:jc w:val="center"/>
      </w:pPr>
      <w:r>
        <w:rPr/>
        <mc:AlternateContent>
          <mc:Choice Requires="wps">
            <w:drawing>
              <wp:anchor distT="0" distB="0" distL="0" distR="0" allowOverlap="1" layoutInCell="1" locked="0" behindDoc="0" simplePos="0" relativeHeight="15731200">
                <wp:simplePos x="0" y="0"/>
                <wp:positionH relativeFrom="page">
                  <wp:posOffset>4105275</wp:posOffset>
                </wp:positionH>
                <wp:positionV relativeFrom="paragraph">
                  <wp:posOffset>354112</wp:posOffset>
                </wp:positionV>
                <wp:extent cx="323850" cy="18097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23850" cy="180975"/>
                        </a:xfrm>
                        <a:custGeom>
                          <a:avLst/>
                          <a:gdLst/>
                          <a:ahLst/>
                          <a:cxnLst/>
                          <a:rect l="l" t="t" r="r" b="b"/>
                          <a:pathLst>
                            <a:path w="323850" h="180975">
                              <a:moveTo>
                                <a:pt x="0" y="180975"/>
                              </a:moveTo>
                              <a:lnTo>
                                <a:pt x="323850" y="180975"/>
                              </a:lnTo>
                              <a:lnTo>
                                <a:pt x="323850" y="0"/>
                              </a:lnTo>
                              <a:lnTo>
                                <a:pt x="0" y="0"/>
                              </a:lnTo>
                              <a:lnTo>
                                <a:pt x="0" y="1809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23.25pt;margin-top:27.882864pt;width:25.5pt;height:14.25pt;mso-position-horizontal-relative:page;mso-position-vertical-relative:paragraph;z-index:15731200" id="docshape14" filled="false" stroked="true" strokeweight=".75pt" strokecolor="#000000">
                <v:stroke dashstyle="solid"/>
                <w10:wrap type="none"/>
              </v:rect>
            </w:pict>
          </mc:Fallback>
        </mc:AlternateContent>
      </w:r>
      <w:r>
        <w:rPr>
          <w:spacing w:val="-4"/>
          <w:u w:val="single"/>
        </w:rPr>
        <w:t>Keys</w:t>
      </w:r>
    </w:p>
    <w:p>
      <w:pPr>
        <w:pStyle w:val="BodyText"/>
        <w:spacing w:before="41"/>
        <w:ind w:left="4345" w:right="1256"/>
        <w:jc w:val="center"/>
      </w:pPr>
      <w:r>
        <w:rPr/>
        <w:t>Sampling</w:t>
      </w:r>
      <w:r>
        <w:rPr>
          <w:spacing w:val="-9"/>
        </w:rPr>
        <w:t> </w:t>
      </w:r>
      <w:r>
        <w:rPr>
          <w:spacing w:val="-2"/>
        </w:rPr>
        <w:t>areas</w:t>
      </w:r>
    </w:p>
    <w:p>
      <w:pPr>
        <w:pStyle w:val="BodyText"/>
        <w:spacing w:before="82"/>
      </w:pPr>
    </w:p>
    <w:p>
      <w:pPr>
        <w:pStyle w:val="BodyText"/>
        <w:ind w:left="420"/>
      </w:pPr>
      <w:r>
        <w:rPr/>
        <w:t>Figure</w:t>
      </w:r>
      <w:r>
        <w:rPr>
          <w:spacing w:val="-4"/>
        </w:rPr>
        <w:t> </w:t>
      </w:r>
      <w:r>
        <w:rPr/>
        <w:t>3.3</w:t>
      </w:r>
      <w:r>
        <w:rPr>
          <w:spacing w:val="-1"/>
        </w:rPr>
        <w:t> </w:t>
      </w:r>
      <w:r>
        <w:rPr/>
        <w:t>Livestock</w:t>
      </w:r>
      <w:r>
        <w:rPr>
          <w:spacing w:val="-1"/>
        </w:rPr>
        <w:t> </w:t>
      </w:r>
      <w:r>
        <w:rPr/>
        <w:t>feeds</w:t>
      </w:r>
      <w:r>
        <w:rPr>
          <w:spacing w:val="-3"/>
        </w:rPr>
        <w:t> </w:t>
      </w:r>
      <w:r>
        <w:rPr/>
        <w:t>and</w:t>
      </w:r>
      <w:r>
        <w:rPr>
          <w:spacing w:val="3"/>
        </w:rPr>
        <w:t> </w:t>
      </w:r>
      <w:r>
        <w:rPr/>
        <w:t>manure</w:t>
      </w:r>
      <w:r>
        <w:rPr>
          <w:spacing w:val="-2"/>
        </w:rPr>
        <w:t> </w:t>
      </w:r>
      <w:r>
        <w:rPr/>
        <w:t>sampling</w:t>
      </w:r>
      <w:r>
        <w:rPr>
          <w:spacing w:val="-1"/>
        </w:rPr>
        <w:t> </w:t>
      </w:r>
      <w:r>
        <w:rPr/>
        <w:t>areas</w:t>
      </w:r>
      <w:r>
        <w:rPr>
          <w:spacing w:val="1"/>
        </w:rPr>
        <w:t> </w:t>
      </w:r>
      <w:r>
        <w:rPr/>
        <w:t>in</w:t>
      </w:r>
      <w:r>
        <w:rPr>
          <w:spacing w:val="-6"/>
        </w:rPr>
        <w:t> </w:t>
      </w:r>
      <w:r>
        <w:rPr/>
        <w:t>North</w:t>
      </w:r>
      <w:r>
        <w:rPr>
          <w:spacing w:val="-6"/>
        </w:rPr>
        <w:t> </w:t>
      </w:r>
      <w:r>
        <w:rPr/>
        <w:t>eastern</w:t>
      </w:r>
      <w:r>
        <w:rPr>
          <w:spacing w:val="-5"/>
        </w:rPr>
        <w:t> </w:t>
      </w:r>
      <w:r>
        <w:rPr>
          <w:spacing w:val="-2"/>
        </w:rPr>
        <w:t>Nigeria</w:t>
      </w:r>
    </w:p>
    <w:p>
      <w:pPr>
        <w:spacing w:after="0"/>
        <w:sectPr>
          <w:pgSz w:w="12240" w:h="15840"/>
          <w:pgMar w:header="0" w:footer="1012" w:top="1820" w:bottom="1200" w:left="1020" w:right="720"/>
        </w:sectPr>
      </w:pPr>
    </w:p>
    <w:p>
      <w:pPr>
        <w:spacing w:before="116"/>
        <w:ind w:left="420" w:right="0" w:firstLine="0"/>
        <w:jc w:val="left"/>
        <w:rPr>
          <w:sz w:val="22"/>
        </w:rPr>
      </w:pPr>
      <w:r>
        <w:rPr>
          <w:spacing w:val="-10"/>
          <w:sz w:val="22"/>
        </w:rPr>
        <w:t>.</w:t>
      </w:r>
    </w:p>
    <w:p>
      <w:pPr>
        <w:pStyle w:val="BodyText"/>
        <w:spacing w:before="10"/>
        <w:rPr>
          <w:sz w:val="20"/>
        </w:rPr>
      </w:pPr>
      <w:r>
        <w:rPr/>
        <w:drawing>
          <wp:anchor distT="0" distB="0" distL="0" distR="0" allowOverlap="1" layoutInCell="1" locked="0" behindDoc="1" simplePos="0" relativeHeight="487590912">
            <wp:simplePos x="0" y="0"/>
            <wp:positionH relativeFrom="page">
              <wp:posOffset>914400</wp:posOffset>
            </wp:positionH>
            <wp:positionV relativeFrom="paragraph">
              <wp:posOffset>167653</wp:posOffset>
            </wp:positionV>
            <wp:extent cx="5962711" cy="297180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63" cstate="print"/>
                    <a:stretch>
                      <a:fillRect/>
                    </a:stretch>
                  </pic:blipFill>
                  <pic:spPr>
                    <a:xfrm>
                      <a:off x="0" y="0"/>
                      <a:ext cx="5962711" cy="2971800"/>
                    </a:xfrm>
                    <a:prstGeom prst="rect">
                      <a:avLst/>
                    </a:prstGeom>
                  </pic:spPr>
                </pic:pic>
              </a:graphicData>
            </a:graphic>
          </wp:anchor>
        </w:drawing>
      </w:r>
    </w:p>
    <w:p>
      <w:pPr>
        <w:pStyle w:val="BodyText"/>
      </w:pPr>
    </w:p>
    <w:p>
      <w:pPr>
        <w:pStyle w:val="BodyText"/>
        <w:spacing w:before="22"/>
      </w:pPr>
    </w:p>
    <w:p>
      <w:pPr>
        <w:spacing w:before="1"/>
        <w:ind w:left="5462" w:right="0" w:firstLine="0"/>
        <w:jc w:val="left"/>
        <w:rPr>
          <w:b/>
          <w:sz w:val="24"/>
        </w:rPr>
      </w:pPr>
      <w:r>
        <w:rPr>
          <w:b/>
          <w:spacing w:val="-4"/>
          <w:sz w:val="24"/>
          <w:u w:val="single"/>
        </w:rPr>
        <w:t>Keys</w:t>
      </w:r>
    </w:p>
    <w:p>
      <w:pPr>
        <w:pStyle w:val="ListParagraph"/>
        <w:numPr>
          <w:ilvl w:val="0"/>
          <w:numId w:val="19"/>
        </w:numPr>
        <w:tabs>
          <w:tab w:pos="5667" w:val="left" w:leader="none"/>
        </w:tabs>
        <w:spacing w:line="240" w:lineRule="auto" w:before="36" w:after="0"/>
        <w:ind w:left="5667" w:right="0" w:hanging="205"/>
        <w:jc w:val="left"/>
        <w:rPr>
          <w:sz w:val="24"/>
        </w:rPr>
      </w:pPr>
      <w:r>
        <w:rPr>
          <w:sz w:val="24"/>
        </w:rPr>
        <w:t>Sampling</w:t>
      </w:r>
      <w:r>
        <w:rPr>
          <w:spacing w:val="-11"/>
          <w:sz w:val="24"/>
        </w:rPr>
        <w:t> </w:t>
      </w:r>
      <w:r>
        <w:rPr>
          <w:spacing w:val="-2"/>
          <w:sz w:val="24"/>
        </w:rPr>
        <w:t>points</w:t>
      </w:r>
    </w:p>
    <w:p>
      <w:pPr>
        <w:pStyle w:val="BodyText"/>
      </w:pPr>
    </w:p>
    <w:p>
      <w:pPr>
        <w:pStyle w:val="BodyText"/>
        <w:spacing w:before="127"/>
      </w:pPr>
    </w:p>
    <w:p>
      <w:pPr>
        <w:pStyle w:val="BodyText"/>
        <w:ind w:left="420"/>
      </w:pPr>
      <w:r>
        <w:rPr/>
        <w:t>Figure</w:t>
      </w:r>
      <w:r>
        <w:rPr>
          <w:spacing w:val="-5"/>
        </w:rPr>
        <w:t> </w:t>
      </w:r>
      <w:r>
        <w:rPr/>
        <w:t>3.4</w:t>
      </w:r>
      <w:r>
        <w:rPr>
          <w:spacing w:val="-3"/>
        </w:rPr>
        <w:t> </w:t>
      </w:r>
      <w:r>
        <w:rPr/>
        <w:t>River</w:t>
      </w:r>
      <w:r>
        <w:rPr>
          <w:spacing w:val="1"/>
        </w:rPr>
        <w:t> </w:t>
      </w:r>
      <w:r>
        <w:rPr/>
        <w:t>Kaduna</w:t>
      </w:r>
      <w:r>
        <w:rPr>
          <w:spacing w:val="-4"/>
        </w:rPr>
        <w:t> </w:t>
      </w:r>
      <w:r>
        <w:rPr/>
        <w:t>sampling</w:t>
      </w:r>
      <w:r>
        <w:rPr>
          <w:spacing w:val="-3"/>
        </w:rPr>
        <w:t> </w:t>
      </w:r>
      <w:r>
        <w:rPr>
          <w:spacing w:val="-2"/>
        </w:rPr>
        <w:t>points</w:t>
      </w:r>
    </w:p>
    <w:p>
      <w:pPr>
        <w:spacing w:after="0"/>
        <w:sectPr>
          <w:pgSz w:w="12240" w:h="15840"/>
          <w:pgMar w:header="0" w:footer="1012" w:top="1820" w:bottom="1200" w:left="1020" w:right="720"/>
        </w:sectPr>
      </w:pPr>
    </w:p>
    <w:p>
      <w:pPr>
        <w:pStyle w:val="BodyText"/>
        <w:rPr>
          <w:sz w:val="20"/>
        </w:rPr>
      </w:pPr>
    </w:p>
    <w:p>
      <w:pPr>
        <w:pStyle w:val="BodyText"/>
        <w:spacing w:before="106"/>
        <w:rPr>
          <w:sz w:val="20"/>
        </w:rPr>
      </w:pPr>
    </w:p>
    <w:p>
      <w:pPr>
        <w:pStyle w:val="BodyText"/>
        <w:ind w:left="420"/>
        <w:rPr>
          <w:sz w:val="20"/>
        </w:rPr>
      </w:pPr>
      <w:r>
        <w:rPr>
          <w:sz w:val="20"/>
        </w:rPr>
        <w:drawing>
          <wp:inline distT="0" distB="0" distL="0" distR="0">
            <wp:extent cx="5619805" cy="3778758"/>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64" cstate="print"/>
                    <a:stretch>
                      <a:fillRect/>
                    </a:stretch>
                  </pic:blipFill>
                  <pic:spPr>
                    <a:xfrm>
                      <a:off x="0" y="0"/>
                      <a:ext cx="5619805" cy="3778758"/>
                    </a:xfrm>
                    <a:prstGeom prst="rect">
                      <a:avLst/>
                    </a:prstGeom>
                  </pic:spPr>
                </pic:pic>
              </a:graphicData>
            </a:graphic>
          </wp:inline>
        </w:drawing>
      </w:r>
      <w:r>
        <w:rPr>
          <w:sz w:val="20"/>
        </w:rPr>
      </w:r>
    </w:p>
    <w:p>
      <w:pPr>
        <w:pStyle w:val="BodyText"/>
        <w:tabs>
          <w:tab w:pos="6902" w:val="left" w:leader="none"/>
        </w:tabs>
        <w:spacing w:before="23"/>
        <w:ind w:left="2581"/>
      </w:pPr>
      <w:r>
        <w:rPr>
          <w:spacing w:val="-10"/>
        </w:rPr>
        <w:t>a</w:t>
      </w:r>
      <w:r>
        <w:rPr/>
        <w:tab/>
      </w:r>
      <w:r>
        <w:rPr>
          <w:spacing w:val="-10"/>
        </w:rPr>
        <w:t>b</w:t>
      </w:r>
    </w:p>
    <w:p>
      <w:pPr>
        <w:pStyle w:val="BodyText"/>
        <w:tabs>
          <w:tab w:pos="1767" w:val="left" w:leader="none"/>
        </w:tabs>
        <w:spacing w:before="243"/>
        <w:ind w:left="420"/>
      </w:pPr>
      <w:r>
        <w:rPr/>
        <w:t>Figure.</w:t>
      </w:r>
      <w:r>
        <w:rPr>
          <w:spacing w:val="-1"/>
        </w:rPr>
        <w:t> </w:t>
      </w:r>
      <w:r>
        <w:rPr>
          <w:spacing w:val="-5"/>
        </w:rPr>
        <w:t>3.5</w:t>
      </w:r>
      <w:r>
        <w:rPr/>
        <w:tab/>
        <w:t>Pictures</w:t>
      </w:r>
      <w:r>
        <w:rPr>
          <w:spacing w:val="-5"/>
        </w:rPr>
        <w:t> </w:t>
      </w:r>
      <w:r>
        <w:rPr/>
        <w:t>of</w:t>
      </w:r>
      <w:r>
        <w:rPr>
          <w:spacing w:val="-8"/>
        </w:rPr>
        <w:t> </w:t>
      </w:r>
      <w:r>
        <w:rPr/>
        <w:t>river Kaduna</w:t>
      </w:r>
      <w:r>
        <w:rPr>
          <w:spacing w:val="-1"/>
        </w:rPr>
        <w:t> </w:t>
      </w:r>
      <w:r>
        <w:rPr/>
        <w:t>during</w:t>
      </w:r>
      <w:r>
        <w:rPr>
          <w:spacing w:val="-1"/>
        </w:rPr>
        <w:t> </w:t>
      </w:r>
      <w:r>
        <w:rPr/>
        <w:t>(a) raining and</w:t>
      </w:r>
      <w:r>
        <w:rPr>
          <w:spacing w:val="-1"/>
        </w:rPr>
        <w:t> </w:t>
      </w:r>
      <w:r>
        <w:rPr/>
        <w:t>(b)</w:t>
      </w:r>
      <w:r>
        <w:rPr>
          <w:spacing w:val="1"/>
        </w:rPr>
        <w:t> </w:t>
      </w:r>
      <w:r>
        <w:rPr/>
        <w:t>dry</w:t>
      </w:r>
      <w:r>
        <w:rPr>
          <w:spacing w:val="-10"/>
        </w:rPr>
        <w:t> </w:t>
      </w:r>
      <w:r>
        <w:rPr>
          <w:spacing w:val="-2"/>
        </w:rPr>
        <w:t>seasons</w:t>
      </w:r>
    </w:p>
    <w:p>
      <w:pPr>
        <w:spacing w:after="0"/>
        <w:sectPr>
          <w:pgSz w:w="12240" w:h="15840"/>
          <w:pgMar w:header="0" w:footer="1012" w:top="1820" w:bottom="1200" w:left="1020" w:right="720"/>
        </w:sectPr>
      </w:pPr>
    </w:p>
    <w:p>
      <w:pPr>
        <w:pStyle w:val="BodyText"/>
        <w:ind w:left="430"/>
        <w:rPr>
          <w:sz w:val="20"/>
        </w:rPr>
      </w:pPr>
      <w:r>
        <w:rPr>
          <w:sz w:val="20"/>
        </w:rPr>
        <w:drawing>
          <wp:inline distT="0" distB="0" distL="0" distR="0">
            <wp:extent cx="6103001" cy="3446145"/>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65" cstate="print"/>
                    <a:stretch>
                      <a:fillRect/>
                    </a:stretch>
                  </pic:blipFill>
                  <pic:spPr>
                    <a:xfrm>
                      <a:off x="0" y="0"/>
                      <a:ext cx="6103001" cy="3446145"/>
                    </a:xfrm>
                    <a:prstGeom prst="rect">
                      <a:avLst/>
                    </a:prstGeom>
                  </pic:spPr>
                </pic:pic>
              </a:graphicData>
            </a:graphic>
          </wp:inline>
        </w:drawing>
      </w:r>
      <w:r>
        <w:rPr>
          <w:sz w:val="20"/>
        </w:rPr>
      </w:r>
    </w:p>
    <w:p>
      <w:pPr>
        <w:pStyle w:val="BodyText"/>
      </w:pPr>
    </w:p>
    <w:p>
      <w:pPr>
        <w:pStyle w:val="BodyText"/>
      </w:pPr>
    </w:p>
    <w:p>
      <w:pPr>
        <w:pStyle w:val="BodyText"/>
        <w:spacing w:before="165"/>
      </w:pPr>
    </w:p>
    <w:p>
      <w:pPr>
        <w:spacing w:before="1"/>
        <w:ind w:left="5462" w:right="0" w:firstLine="0"/>
        <w:jc w:val="left"/>
        <w:rPr>
          <w:b/>
          <w:sz w:val="24"/>
        </w:rPr>
      </w:pPr>
      <w:r>
        <w:rPr>
          <w:b/>
          <w:spacing w:val="-4"/>
          <w:sz w:val="24"/>
          <w:u w:val="single"/>
        </w:rPr>
        <w:t>Keys</w:t>
      </w:r>
    </w:p>
    <w:p>
      <w:pPr>
        <w:pStyle w:val="ListParagraph"/>
        <w:numPr>
          <w:ilvl w:val="0"/>
          <w:numId w:val="20"/>
        </w:numPr>
        <w:tabs>
          <w:tab w:pos="5667" w:val="left" w:leader="none"/>
        </w:tabs>
        <w:spacing w:line="240" w:lineRule="auto" w:before="36" w:after="0"/>
        <w:ind w:left="5667" w:right="0" w:hanging="205"/>
        <w:jc w:val="left"/>
        <w:rPr>
          <w:sz w:val="24"/>
        </w:rPr>
      </w:pPr>
      <w:r>
        <w:rPr>
          <w:sz w:val="24"/>
        </w:rPr>
        <w:t>Sampling</w:t>
      </w:r>
      <w:r>
        <w:rPr>
          <w:spacing w:val="-11"/>
          <w:sz w:val="24"/>
        </w:rPr>
        <w:t> </w:t>
      </w:r>
      <w:r>
        <w:rPr>
          <w:spacing w:val="-2"/>
          <w:sz w:val="24"/>
        </w:rPr>
        <w:t>points</w:t>
      </w:r>
    </w:p>
    <w:p>
      <w:pPr>
        <w:pStyle w:val="BodyText"/>
      </w:pPr>
    </w:p>
    <w:p>
      <w:pPr>
        <w:pStyle w:val="BodyText"/>
        <w:spacing w:before="127"/>
      </w:pPr>
    </w:p>
    <w:p>
      <w:pPr>
        <w:pStyle w:val="BodyText"/>
        <w:tabs>
          <w:tab w:pos="1345" w:val="left" w:leader="none"/>
        </w:tabs>
        <w:ind w:left="420"/>
      </w:pPr>
      <w:r>
        <w:rPr/>
        <w:t>Fig</w:t>
      </w:r>
      <w:r>
        <w:rPr>
          <w:spacing w:val="-3"/>
        </w:rPr>
        <w:t> </w:t>
      </w:r>
      <w:r>
        <w:rPr>
          <w:spacing w:val="-5"/>
        </w:rPr>
        <w:t>3.6</w:t>
      </w:r>
      <w:r>
        <w:rPr/>
        <w:tab/>
        <w:t>River</w:t>
      </w:r>
      <w:r>
        <w:rPr>
          <w:spacing w:val="-3"/>
        </w:rPr>
        <w:t> </w:t>
      </w:r>
      <w:r>
        <w:rPr/>
        <w:t>Sokoto</w:t>
      </w:r>
      <w:r>
        <w:rPr>
          <w:spacing w:val="-6"/>
        </w:rPr>
        <w:t> </w:t>
      </w:r>
      <w:r>
        <w:rPr/>
        <w:t>sampling</w:t>
      </w:r>
      <w:r>
        <w:rPr>
          <w:spacing w:val="-5"/>
        </w:rPr>
        <w:t> </w:t>
      </w:r>
      <w:r>
        <w:rPr>
          <w:spacing w:val="-2"/>
        </w:rPr>
        <w:t>points</w:t>
      </w:r>
    </w:p>
    <w:p>
      <w:pPr>
        <w:spacing w:after="0"/>
        <w:sectPr>
          <w:pgSz w:w="12240" w:h="15840"/>
          <w:pgMar w:header="0" w:footer="1012" w:top="1460" w:bottom="1200" w:left="1020" w:right="720"/>
        </w:sectPr>
      </w:pPr>
    </w:p>
    <w:p>
      <w:pPr>
        <w:pStyle w:val="BodyText"/>
        <w:ind w:left="420"/>
        <w:rPr>
          <w:sz w:val="20"/>
        </w:rPr>
      </w:pPr>
      <w:r>
        <w:rPr>
          <w:sz w:val="20"/>
        </w:rPr>
        <w:drawing>
          <wp:inline distT="0" distB="0" distL="0" distR="0">
            <wp:extent cx="5690334" cy="399507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66" cstate="print"/>
                    <a:stretch>
                      <a:fillRect/>
                    </a:stretch>
                  </pic:blipFill>
                  <pic:spPr>
                    <a:xfrm>
                      <a:off x="0" y="0"/>
                      <a:ext cx="5690334" cy="3995070"/>
                    </a:xfrm>
                    <a:prstGeom prst="rect">
                      <a:avLst/>
                    </a:prstGeom>
                  </pic:spPr>
                </pic:pic>
              </a:graphicData>
            </a:graphic>
          </wp:inline>
        </w:drawing>
      </w:r>
      <w:r>
        <w:rPr>
          <w:sz w:val="20"/>
        </w:rPr>
      </w:r>
    </w:p>
    <w:p>
      <w:pPr>
        <w:pStyle w:val="BodyText"/>
        <w:spacing w:before="64"/>
      </w:pPr>
    </w:p>
    <w:p>
      <w:pPr>
        <w:pStyle w:val="BodyText"/>
        <w:tabs>
          <w:tab w:pos="6902" w:val="left" w:leader="none"/>
        </w:tabs>
        <w:ind w:left="2581"/>
      </w:pPr>
      <w:r>
        <w:rPr>
          <w:spacing w:val="-10"/>
        </w:rPr>
        <w:t>a</w:t>
      </w:r>
      <w:r>
        <w:rPr/>
        <w:tab/>
      </w:r>
      <w:r>
        <w:rPr>
          <w:spacing w:val="-10"/>
        </w:rPr>
        <w:t>b</w:t>
      </w:r>
    </w:p>
    <w:p>
      <w:pPr>
        <w:pStyle w:val="BodyText"/>
        <w:tabs>
          <w:tab w:pos="1767" w:val="left" w:leader="none"/>
        </w:tabs>
        <w:spacing w:before="243"/>
        <w:ind w:left="420"/>
      </w:pPr>
      <w:r>
        <w:rPr/>
        <w:t>Figure.</w:t>
      </w:r>
      <w:r>
        <w:rPr>
          <w:spacing w:val="-1"/>
        </w:rPr>
        <w:t> </w:t>
      </w:r>
      <w:r>
        <w:rPr>
          <w:spacing w:val="-5"/>
        </w:rPr>
        <w:t>3.7</w:t>
      </w:r>
      <w:r>
        <w:rPr/>
        <w:tab/>
        <w:t>Pictures</w:t>
      </w:r>
      <w:r>
        <w:rPr>
          <w:spacing w:val="-4"/>
        </w:rPr>
        <w:t> </w:t>
      </w:r>
      <w:r>
        <w:rPr/>
        <w:t>of</w:t>
      </w:r>
      <w:r>
        <w:rPr>
          <w:spacing w:val="-9"/>
        </w:rPr>
        <w:t> </w:t>
      </w:r>
      <w:r>
        <w:rPr/>
        <w:t>river Sokoto</w:t>
      </w:r>
      <w:r>
        <w:rPr>
          <w:spacing w:val="-1"/>
        </w:rPr>
        <w:t> </w:t>
      </w:r>
      <w:r>
        <w:rPr/>
        <w:t>during</w:t>
      </w:r>
      <w:r>
        <w:rPr>
          <w:spacing w:val="-1"/>
        </w:rPr>
        <w:t> </w:t>
      </w:r>
      <w:r>
        <w:rPr/>
        <w:t>(a)</w:t>
      </w:r>
      <w:r>
        <w:rPr>
          <w:spacing w:val="-1"/>
        </w:rPr>
        <w:t> </w:t>
      </w:r>
      <w:r>
        <w:rPr/>
        <w:t>raining</w:t>
      </w:r>
      <w:r>
        <w:rPr>
          <w:spacing w:val="-1"/>
        </w:rPr>
        <w:t> </w:t>
      </w:r>
      <w:r>
        <w:rPr/>
        <w:t>and</w:t>
      </w:r>
      <w:r>
        <w:rPr>
          <w:spacing w:val="-1"/>
        </w:rPr>
        <w:t> </w:t>
      </w:r>
      <w:r>
        <w:rPr/>
        <w:t>(b)</w:t>
      </w:r>
      <w:r>
        <w:rPr>
          <w:spacing w:val="-1"/>
        </w:rPr>
        <w:t> </w:t>
      </w:r>
      <w:r>
        <w:rPr/>
        <w:t>dry</w:t>
      </w:r>
      <w:r>
        <w:rPr>
          <w:spacing w:val="-10"/>
        </w:rPr>
        <w:t> </w:t>
      </w:r>
      <w:r>
        <w:rPr>
          <w:spacing w:val="-2"/>
        </w:rPr>
        <w:t>seasons</w:t>
      </w:r>
    </w:p>
    <w:p>
      <w:pPr>
        <w:spacing w:after="0"/>
        <w:sectPr>
          <w:pgSz w:w="12240" w:h="15840"/>
          <w:pgMar w:header="0" w:footer="1012" w:top="1440" w:bottom="1200" w:left="1020" w:right="720"/>
        </w:sectPr>
      </w:pPr>
    </w:p>
    <w:p>
      <w:pPr>
        <w:pStyle w:val="BodyText"/>
        <w:spacing w:before="19"/>
        <w:rPr>
          <w:sz w:val="20"/>
        </w:rPr>
      </w:pPr>
    </w:p>
    <w:p>
      <w:pPr>
        <w:pStyle w:val="BodyText"/>
        <w:ind w:left="522"/>
        <w:rPr>
          <w:sz w:val="20"/>
        </w:rPr>
      </w:pPr>
      <w:r>
        <w:rPr>
          <w:sz w:val="20"/>
        </w:rPr>
        <w:drawing>
          <wp:inline distT="0" distB="0" distL="0" distR="0">
            <wp:extent cx="5894643" cy="4908613"/>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67" cstate="print"/>
                    <a:stretch>
                      <a:fillRect/>
                    </a:stretch>
                  </pic:blipFill>
                  <pic:spPr>
                    <a:xfrm>
                      <a:off x="0" y="0"/>
                      <a:ext cx="5894643" cy="4908613"/>
                    </a:xfrm>
                    <a:prstGeom prst="rect">
                      <a:avLst/>
                    </a:prstGeom>
                  </pic:spPr>
                </pic:pic>
              </a:graphicData>
            </a:graphic>
          </wp:inline>
        </w:drawing>
      </w:r>
      <w:r>
        <w:rPr>
          <w:sz w:val="20"/>
        </w:rPr>
      </w:r>
    </w:p>
    <w:p>
      <w:pPr>
        <w:pStyle w:val="BodyText"/>
      </w:pPr>
    </w:p>
    <w:p>
      <w:pPr>
        <w:pStyle w:val="BodyText"/>
        <w:spacing w:before="212"/>
      </w:pPr>
    </w:p>
    <w:p>
      <w:pPr>
        <w:spacing w:before="0"/>
        <w:ind w:left="5462" w:right="0" w:firstLine="0"/>
        <w:jc w:val="left"/>
        <w:rPr>
          <w:b/>
          <w:sz w:val="24"/>
        </w:rPr>
      </w:pPr>
      <w:r>
        <w:rPr>
          <w:b/>
          <w:spacing w:val="-4"/>
          <w:sz w:val="24"/>
          <w:u w:val="single"/>
        </w:rPr>
        <w:t>Keys</w:t>
      </w:r>
    </w:p>
    <w:p>
      <w:pPr>
        <w:pStyle w:val="ListParagraph"/>
        <w:numPr>
          <w:ilvl w:val="0"/>
          <w:numId w:val="21"/>
        </w:numPr>
        <w:tabs>
          <w:tab w:pos="5667" w:val="left" w:leader="none"/>
        </w:tabs>
        <w:spacing w:line="240" w:lineRule="auto" w:before="42" w:after="0"/>
        <w:ind w:left="5667" w:right="0" w:hanging="205"/>
        <w:jc w:val="left"/>
        <w:rPr>
          <w:sz w:val="24"/>
        </w:rPr>
      </w:pPr>
      <w:r>
        <w:rPr>
          <w:sz w:val="24"/>
        </w:rPr>
        <w:t>Sampling</w:t>
      </w:r>
      <w:r>
        <w:rPr>
          <w:spacing w:val="-11"/>
          <w:sz w:val="24"/>
        </w:rPr>
        <w:t> </w:t>
      </w:r>
      <w:r>
        <w:rPr>
          <w:spacing w:val="-2"/>
          <w:sz w:val="24"/>
        </w:rPr>
        <w:t>points</w:t>
      </w:r>
    </w:p>
    <w:p>
      <w:pPr>
        <w:pStyle w:val="BodyText"/>
        <w:spacing w:before="134"/>
      </w:pPr>
    </w:p>
    <w:p>
      <w:pPr>
        <w:pStyle w:val="BodyText"/>
        <w:ind w:left="420"/>
      </w:pPr>
      <w:r>
        <w:rPr/>
        <w:t>Fig. 3.8</w:t>
      </w:r>
      <w:r>
        <w:rPr>
          <w:spacing w:val="25"/>
        </w:rPr>
        <w:t>  </w:t>
      </w:r>
      <w:r>
        <w:rPr/>
        <w:t>River</w:t>
      </w:r>
      <w:r>
        <w:rPr>
          <w:spacing w:val="-1"/>
        </w:rPr>
        <w:t> </w:t>
      </w:r>
      <w:r>
        <w:rPr/>
        <w:t>Ngadda</w:t>
      </w:r>
      <w:r>
        <w:rPr>
          <w:spacing w:val="-3"/>
        </w:rPr>
        <w:t> </w:t>
      </w:r>
      <w:r>
        <w:rPr/>
        <w:t>water</w:t>
      </w:r>
      <w:r>
        <w:rPr>
          <w:spacing w:val="-1"/>
        </w:rPr>
        <w:t> </w:t>
      </w:r>
      <w:r>
        <w:rPr/>
        <w:t>sampling</w:t>
      </w:r>
      <w:r>
        <w:rPr>
          <w:spacing w:val="-1"/>
        </w:rPr>
        <w:t> </w:t>
      </w:r>
      <w:r>
        <w:rPr>
          <w:spacing w:val="-2"/>
        </w:rPr>
        <w:t>points</w:t>
      </w:r>
    </w:p>
    <w:p>
      <w:pPr>
        <w:spacing w:after="0"/>
        <w:sectPr>
          <w:pgSz w:w="12240" w:h="15840"/>
          <w:pgMar w:header="0" w:footer="1012" w:top="1820" w:bottom="1200" w:left="1020" w:right="720"/>
        </w:sectPr>
      </w:pPr>
    </w:p>
    <w:p>
      <w:pPr>
        <w:pStyle w:val="BodyText"/>
        <w:rPr>
          <w:sz w:val="20"/>
        </w:rPr>
      </w:pPr>
    </w:p>
    <w:p>
      <w:pPr>
        <w:pStyle w:val="BodyText"/>
        <w:rPr>
          <w:sz w:val="20"/>
        </w:rPr>
      </w:pPr>
    </w:p>
    <w:p>
      <w:pPr>
        <w:pStyle w:val="BodyText"/>
        <w:spacing w:before="192"/>
        <w:rPr>
          <w:sz w:val="20"/>
        </w:rPr>
      </w:pPr>
    </w:p>
    <w:p>
      <w:pPr>
        <w:pStyle w:val="BodyText"/>
        <w:ind w:left="420"/>
        <w:rPr>
          <w:sz w:val="20"/>
        </w:rPr>
      </w:pPr>
      <w:r>
        <w:rPr>
          <w:sz w:val="20"/>
        </w:rPr>
        <mc:AlternateContent>
          <mc:Choice Requires="wps">
            <w:drawing>
              <wp:inline distT="0" distB="0" distL="0" distR="0">
                <wp:extent cx="5678170" cy="4904740"/>
                <wp:effectExtent l="0" t="0" r="0" b="635"/>
                <wp:docPr id="20" name="Group 20"/>
                <wp:cNvGraphicFramePr>
                  <a:graphicFrameLocks/>
                </wp:cNvGraphicFramePr>
                <a:graphic>
                  <a:graphicData uri="http://schemas.microsoft.com/office/word/2010/wordprocessingGroup">
                    <wpg:wgp>
                      <wpg:cNvPr id="20" name="Group 20"/>
                      <wpg:cNvGrpSpPr/>
                      <wpg:grpSpPr>
                        <a:xfrm>
                          <a:off x="0" y="0"/>
                          <a:ext cx="5678170" cy="4904740"/>
                          <a:chExt cx="5678170" cy="4904740"/>
                        </a:xfrm>
                      </wpg:grpSpPr>
                      <pic:pic>
                        <pic:nvPicPr>
                          <pic:cNvPr id="21" name="Image 21"/>
                          <pic:cNvPicPr/>
                        </pic:nvPicPr>
                        <pic:blipFill>
                          <a:blip r:embed="rId68" cstate="print"/>
                          <a:stretch>
                            <a:fillRect/>
                          </a:stretch>
                        </pic:blipFill>
                        <pic:spPr>
                          <a:xfrm>
                            <a:off x="0" y="94614"/>
                            <a:ext cx="2877185" cy="4789699"/>
                          </a:xfrm>
                          <a:prstGeom prst="rect">
                            <a:avLst/>
                          </a:prstGeom>
                        </pic:spPr>
                      </pic:pic>
                      <pic:pic>
                        <pic:nvPicPr>
                          <pic:cNvPr id="22" name="Image 22"/>
                          <pic:cNvPicPr/>
                        </pic:nvPicPr>
                        <pic:blipFill>
                          <a:blip r:embed="rId69" cstate="print"/>
                          <a:stretch>
                            <a:fillRect/>
                          </a:stretch>
                        </pic:blipFill>
                        <pic:spPr>
                          <a:xfrm>
                            <a:off x="2877185" y="0"/>
                            <a:ext cx="2800985" cy="4904740"/>
                          </a:xfrm>
                          <a:prstGeom prst="rect">
                            <a:avLst/>
                          </a:prstGeom>
                        </pic:spPr>
                      </pic:pic>
                    </wpg:wgp>
                  </a:graphicData>
                </a:graphic>
              </wp:inline>
            </w:drawing>
          </mc:Choice>
          <mc:Fallback>
            <w:pict>
              <v:group style="width:447.1pt;height:386.2pt;mso-position-horizontal-relative:char;mso-position-vertical-relative:line" id="docshapegroup15" coordorigin="0,0" coordsize="8942,7724">
                <v:shape style="position:absolute;left:0;top:149;width:4531;height:7543" type="#_x0000_t75" id="docshape16" stroked="false">
                  <v:imagedata r:id="rId68" o:title=""/>
                </v:shape>
                <v:shape style="position:absolute;left:4531;top:0;width:4411;height:7724" type="#_x0000_t75" id="docshape17" stroked="false">
                  <v:imagedata r:id="rId69" o:title=""/>
                </v:shape>
              </v:group>
            </w:pict>
          </mc:Fallback>
        </mc:AlternateContent>
      </w:r>
      <w:r>
        <w:rPr>
          <w:sz w:val="20"/>
        </w:rPr>
      </w:r>
    </w:p>
    <w:p>
      <w:pPr>
        <w:pStyle w:val="BodyText"/>
        <w:tabs>
          <w:tab w:pos="6902" w:val="left" w:leader="none"/>
        </w:tabs>
        <w:spacing w:before="27"/>
        <w:ind w:left="2581"/>
      </w:pPr>
      <w:r>
        <w:rPr>
          <w:spacing w:val="-10"/>
        </w:rPr>
        <w:t>a</w:t>
      </w:r>
      <w:r>
        <w:rPr/>
        <w:tab/>
      </w:r>
      <w:r>
        <w:rPr>
          <w:spacing w:val="-10"/>
        </w:rPr>
        <w:t>b</w:t>
      </w:r>
    </w:p>
    <w:p>
      <w:pPr>
        <w:pStyle w:val="BodyText"/>
        <w:tabs>
          <w:tab w:pos="1768" w:val="left" w:leader="none"/>
        </w:tabs>
        <w:spacing w:before="243"/>
        <w:ind w:left="420"/>
      </w:pPr>
      <w:r>
        <w:rPr/>
        <w:t>Figure.</w:t>
      </w:r>
      <w:r>
        <w:rPr>
          <w:spacing w:val="-1"/>
        </w:rPr>
        <w:t> </w:t>
      </w:r>
      <w:r>
        <w:rPr>
          <w:spacing w:val="-5"/>
        </w:rPr>
        <w:t>3.9</w:t>
      </w:r>
      <w:r>
        <w:rPr/>
        <w:tab/>
        <w:t>Pictures</w:t>
      </w:r>
      <w:r>
        <w:rPr>
          <w:spacing w:val="-3"/>
        </w:rPr>
        <w:t> </w:t>
      </w:r>
      <w:r>
        <w:rPr/>
        <w:t>of</w:t>
      </w:r>
      <w:r>
        <w:rPr>
          <w:spacing w:val="-8"/>
        </w:rPr>
        <w:t> </w:t>
      </w:r>
      <w:r>
        <w:rPr/>
        <w:t>river Ngadda</w:t>
      </w:r>
      <w:r>
        <w:rPr>
          <w:spacing w:val="-1"/>
        </w:rPr>
        <w:t> </w:t>
      </w:r>
      <w:r>
        <w:rPr/>
        <w:t>during (a) raining and</w:t>
      </w:r>
      <w:r>
        <w:rPr>
          <w:spacing w:val="-1"/>
        </w:rPr>
        <w:t> </w:t>
      </w:r>
      <w:r>
        <w:rPr/>
        <w:t>(b)</w:t>
      </w:r>
      <w:r>
        <w:rPr>
          <w:spacing w:val="1"/>
        </w:rPr>
        <w:t> </w:t>
      </w:r>
      <w:r>
        <w:rPr/>
        <w:t>dry</w:t>
      </w:r>
      <w:r>
        <w:rPr>
          <w:spacing w:val="-10"/>
        </w:rPr>
        <w:t> </w:t>
      </w:r>
      <w:r>
        <w:rPr>
          <w:spacing w:val="-2"/>
        </w:rPr>
        <w:t>seasons</w:t>
      </w:r>
    </w:p>
    <w:p>
      <w:pPr>
        <w:spacing w:after="0"/>
        <w:sectPr>
          <w:pgSz w:w="12240" w:h="15840"/>
          <w:pgMar w:header="0" w:footer="1012" w:top="1820" w:bottom="1200" w:left="1020" w:right="720"/>
        </w:sectPr>
      </w:pPr>
    </w:p>
    <w:p>
      <w:pPr>
        <w:pStyle w:val="Heading2"/>
        <w:numPr>
          <w:ilvl w:val="2"/>
          <w:numId w:val="18"/>
        </w:numPr>
        <w:tabs>
          <w:tab w:pos="1081" w:val="left" w:leader="none"/>
        </w:tabs>
        <w:spacing w:line="240" w:lineRule="auto" w:before="77" w:after="0"/>
        <w:ind w:left="1081" w:right="0" w:hanging="661"/>
        <w:jc w:val="both"/>
      </w:pPr>
      <w:r>
        <w:rPr/>
        <w:t>Sample</w:t>
      </w:r>
      <w:r>
        <w:rPr>
          <w:spacing w:val="-8"/>
        </w:rPr>
        <w:t> </w:t>
      </w:r>
      <w:r>
        <w:rPr>
          <w:spacing w:val="-2"/>
        </w:rPr>
        <w:t>collection</w:t>
      </w:r>
    </w:p>
    <w:p>
      <w:pPr>
        <w:pStyle w:val="ListParagraph"/>
        <w:numPr>
          <w:ilvl w:val="3"/>
          <w:numId w:val="18"/>
        </w:numPr>
        <w:tabs>
          <w:tab w:pos="1202" w:val="left" w:leader="none"/>
        </w:tabs>
        <w:spacing w:line="240" w:lineRule="auto" w:before="271" w:after="0"/>
        <w:ind w:left="1202" w:right="0" w:hanging="782"/>
        <w:jc w:val="both"/>
        <w:rPr>
          <w:i/>
          <w:sz w:val="24"/>
        </w:rPr>
      </w:pPr>
      <w:r>
        <w:rPr>
          <w:i/>
          <w:sz w:val="24"/>
        </w:rPr>
        <w:t>Compound</w:t>
      </w:r>
      <w:r>
        <w:rPr>
          <w:i/>
          <w:spacing w:val="-5"/>
          <w:sz w:val="24"/>
        </w:rPr>
        <w:t> </w:t>
      </w:r>
      <w:r>
        <w:rPr>
          <w:i/>
          <w:spacing w:val="-2"/>
          <w:sz w:val="24"/>
        </w:rPr>
        <w:t>feeds</w:t>
      </w:r>
    </w:p>
    <w:p>
      <w:pPr>
        <w:pStyle w:val="BodyText"/>
        <w:spacing w:before="1"/>
        <w:rPr>
          <w:i/>
        </w:rPr>
      </w:pPr>
    </w:p>
    <w:p>
      <w:pPr>
        <w:pStyle w:val="BodyText"/>
        <w:spacing w:line="480" w:lineRule="auto"/>
        <w:ind w:left="420" w:right="720"/>
        <w:jc w:val="both"/>
      </w:pPr>
      <w:r>
        <w:rPr/>
        <w:t>Four types of compound mill-mixed fish feeds[FA, FB, FC and FD] Poultry feeds [PA, PB, PC and</w:t>
      </w:r>
      <w:r>
        <w:rPr>
          <w:spacing w:val="-1"/>
        </w:rPr>
        <w:t> </w:t>
      </w:r>
      <w:r>
        <w:rPr/>
        <w:t>PD] sold commercially</w:t>
      </w:r>
      <w:r>
        <w:rPr>
          <w:spacing w:val="-1"/>
        </w:rPr>
        <w:t> </w:t>
      </w:r>
      <w:r>
        <w:rPr/>
        <w:t>were</w:t>
      </w:r>
      <w:r>
        <w:rPr>
          <w:spacing w:val="-2"/>
        </w:rPr>
        <w:t> </w:t>
      </w:r>
      <w:r>
        <w:rPr/>
        <w:t>sampled from</w:t>
      </w:r>
      <w:r>
        <w:rPr>
          <w:spacing w:val="-5"/>
        </w:rPr>
        <w:t> </w:t>
      </w:r>
      <w:r>
        <w:rPr/>
        <w:t>five major distributors</w:t>
      </w:r>
      <w:r>
        <w:rPr>
          <w:spacing w:val="-3"/>
        </w:rPr>
        <w:t> </w:t>
      </w:r>
      <w:r>
        <w:rPr/>
        <w:t>of</w:t>
      </w:r>
      <w:r>
        <w:rPr>
          <w:spacing w:val="-8"/>
        </w:rPr>
        <w:t> </w:t>
      </w:r>
      <w:r>
        <w:rPr/>
        <w:t>the</w:t>
      </w:r>
      <w:r>
        <w:rPr>
          <w:spacing w:val="-2"/>
        </w:rPr>
        <w:t> </w:t>
      </w:r>
      <w:r>
        <w:rPr/>
        <w:t>compound</w:t>
      </w:r>
      <w:r>
        <w:rPr>
          <w:spacing w:val="40"/>
        </w:rPr>
        <w:t> </w:t>
      </w:r>
      <w:r>
        <w:rPr/>
        <w:t>feeds in the designated towns in the three zones (North western, North central and North eastern) of Nigeria collected direct from the bags.</w:t>
      </w:r>
    </w:p>
    <w:p>
      <w:pPr>
        <w:pStyle w:val="ListParagraph"/>
        <w:numPr>
          <w:ilvl w:val="3"/>
          <w:numId w:val="18"/>
        </w:numPr>
        <w:tabs>
          <w:tab w:pos="1202" w:val="left" w:leader="none"/>
        </w:tabs>
        <w:spacing w:line="240" w:lineRule="auto" w:before="0" w:after="0"/>
        <w:ind w:left="1202" w:right="0" w:hanging="782"/>
        <w:jc w:val="both"/>
        <w:rPr>
          <w:i/>
          <w:sz w:val="24"/>
        </w:rPr>
      </w:pPr>
      <w:r>
        <w:rPr>
          <w:i/>
          <w:spacing w:val="-2"/>
          <w:sz w:val="24"/>
        </w:rPr>
        <w:t>Pastures</w:t>
      </w:r>
    </w:p>
    <w:p>
      <w:pPr>
        <w:pStyle w:val="BodyText"/>
        <w:rPr>
          <w:i/>
        </w:rPr>
      </w:pPr>
    </w:p>
    <w:p>
      <w:pPr>
        <w:pStyle w:val="BodyText"/>
        <w:spacing w:line="480" w:lineRule="auto"/>
        <w:ind w:left="420" w:right="722"/>
        <w:jc w:val="both"/>
      </w:pPr>
      <w:r>
        <w:rPr/>
        <w:t>.Five feeding areas or pastures where cattle are grazed freely were designated as sampling stations in each of the designated towns. Grazing animals were followed and forage samples corresponding to those consumed by the ruminants were collected from each pasture. Forage grasses were collected from five different points per sampling station, stored in polyethylene</w:t>
      </w:r>
      <w:r>
        <w:rPr>
          <w:spacing w:val="40"/>
        </w:rPr>
        <w:t> </w:t>
      </w:r>
      <w:r>
        <w:rPr/>
        <w:t>bags and transported</w:t>
      </w:r>
      <w:r>
        <w:rPr>
          <w:spacing w:val="-1"/>
        </w:rPr>
        <w:t> </w:t>
      </w:r>
      <w:r>
        <w:rPr/>
        <w:t>to advanced chemistry laboratory, Sheda, Abuja Nigeria for analysis.</w:t>
      </w:r>
    </w:p>
    <w:p>
      <w:pPr>
        <w:pStyle w:val="ListParagraph"/>
        <w:numPr>
          <w:ilvl w:val="3"/>
          <w:numId w:val="18"/>
        </w:numPr>
        <w:tabs>
          <w:tab w:pos="1144" w:val="left" w:leader="none"/>
        </w:tabs>
        <w:spacing w:line="240" w:lineRule="auto" w:before="2" w:after="0"/>
        <w:ind w:left="1144" w:right="0" w:hanging="724"/>
        <w:jc w:val="both"/>
        <w:rPr>
          <w:i/>
          <w:sz w:val="24"/>
        </w:rPr>
      </w:pPr>
      <w:r>
        <w:rPr>
          <w:i/>
          <w:spacing w:val="-2"/>
          <w:sz w:val="24"/>
        </w:rPr>
        <w:t>Manure</w:t>
      </w:r>
    </w:p>
    <w:p>
      <w:pPr>
        <w:pStyle w:val="BodyText"/>
        <w:spacing w:line="480" w:lineRule="auto" w:before="276"/>
        <w:ind w:left="420" w:right="712"/>
        <w:jc w:val="both"/>
      </w:pPr>
      <w:r>
        <w:rPr/>
        <w:t>Poultry and cattle manure samples were collected from poultry farms and Fulani held‟s settlements respectively from the two designated towns/areas for the animal feeds sampled in each of the three zones of Northern Nigeria, by first removing surface-weathered manure from cattle manure samples. These were then placed on a tray, the lumps broken up by hand and then thoroughly mixed before being transferred into polythene bags. Approximately 10 kg of manure samples was collected as appropriate from each site visited.</w:t>
      </w:r>
    </w:p>
    <w:p>
      <w:pPr>
        <w:pStyle w:val="ListParagraph"/>
        <w:numPr>
          <w:ilvl w:val="3"/>
          <w:numId w:val="18"/>
        </w:numPr>
        <w:tabs>
          <w:tab w:pos="1144" w:val="left" w:leader="none"/>
        </w:tabs>
        <w:spacing w:line="240" w:lineRule="auto" w:before="1" w:after="0"/>
        <w:ind w:left="1144" w:right="0" w:hanging="724"/>
        <w:jc w:val="both"/>
        <w:rPr>
          <w:i/>
          <w:sz w:val="24"/>
        </w:rPr>
      </w:pPr>
      <w:r>
        <w:rPr>
          <w:i/>
          <w:sz w:val="24"/>
        </w:rPr>
        <w:t>Water</w:t>
      </w:r>
      <w:r>
        <w:rPr>
          <w:i/>
          <w:spacing w:val="-5"/>
          <w:sz w:val="24"/>
        </w:rPr>
        <w:t> </w:t>
      </w:r>
      <w:r>
        <w:rPr>
          <w:i/>
          <w:spacing w:val="-2"/>
          <w:sz w:val="24"/>
        </w:rPr>
        <w:t>sampling</w:t>
      </w:r>
    </w:p>
    <w:p>
      <w:pPr>
        <w:pStyle w:val="BodyText"/>
        <w:rPr>
          <w:i/>
        </w:rPr>
      </w:pPr>
    </w:p>
    <w:p>
      <w:pPr>
        <w:pStyle w:val="BodyText"/>
        <w:spacing w:line="480" w:lineRule="auto"/>
        <w:ind w:left="420" w:right="725"/>
        <w:jc w:val="both"/>
      </w:pPr>
      <w:r>
        <w:rPr/>
        <w:t>Water samples were collected from</w:t>
      </w:r>
      <w:r>
        <w:rPr>
          <w:spacing w:val="-7"/>
        </w:rPr>
        <w:t> </w:t>
      </w:r>
      <w:r>
        <w:rPr/>
        <w:t>rivers Sokoto (Northwest zone), Kaduna (north</w:t>
      </w:r>
      <w:r>
        <w:rPr>
          <w:spacing w:val="-2"/>
        </w:rPr>
        <w:t> </w:t>
      </w:r>
      <w:r>
        <w:rPr/>
        <w:t>central</w:t>
      </w:r>
      <w:r>
        <w:rPr>
          <w:spacing w:val="-7"/>
        </w:rPr>
        <w:t> </w:t>
      </w:r>
      <w:r>
        <w:rPr/>
        <w:t>zone) and Ngadda (north east zone) in northern Nigeria during the raining season (July 2014 to September</w:t>
      </w:r>
      <w:r>
        <w:rPr>
          <w:spacing w:val="6"/>
        </w:rPr>
        <w:t> </w:t>
      </w:r>
      <w:r>
        <w:rPr/>
        <w:t>2014)</w:t>
      </w:r>
      <w:r>
        <w:rPr>
          <w:spacing w:val="8"/>
        </w:rPr>
        <w:t> </w:t>
      </w:r>
      <w:r>
        <w:rPr/>
        <w:t>and</w:t>
      </w:r>
      <w:r>
        <w:rPr>
          <w:spacing w:val="11"/>
        </w:rPr>
        <w:t> </w:t>
      </w:r>
      <w:r>
        <w:rPr/>
        <w:t>dry</w:t>
      </w:r>
      <w:r>
        <w:rPr>
          <w:spacing w:val="2"/>
        </w:rPr>
        <w:t> </w:t>
      </w:r>
      <w:r>
        <w:rPr/>
        <w:t>season</w:t>
      </w:r>
      <w:r>
        <w:rPr>
          <w:spacing w:val="3"/>
        </w:rPr>
        <w:t> </w:t>
      </w:r>
      <w:r>
        <w:rPr/>
        <w:t>(October</w:t>
      </w:r>
      <w:r>
        <w:rPr>
          <w:spacing w:val="8"/>
        </w:rPr>
        <w:t> </w:t>
      </w:r>
      <w:r>
        <w:rPr/>
        <w:t>2014</w:t>
      </w:r>
      <w:r>
        <w:rPr>
          <w:spacing w:val="6"/>
        </w:rPr>
        <w:t> </w:t>
      </w:r>
      <w:r>
        <w:rPr/>
        <w:t>to</w:t>
      </w:r>
      <w:r>
        <w:rPr>
          <w:spacing w:val="6"/>
        </w:rPr>
        <w:t> </w:t>
      </w:r>
      <w:r>
        <w:rPr/>
        <w:t>April</w:t>
      </w:r>
      <w:r>
        <w:rPr>
          <w:spacing w:val="3"/>
        </w:rPr>
        <w:t> </w:t>
      </w:r>
      <w:r>
        <w:rPr/>
        <w:t>2015).</w:t>
      </w:r>
      <w:r>
        <w:rPr>
          <w:spacing w:val="10"/>
        </w:rPr>
        <w:t> </w:t>
      </w:r>
      <w:r>
        <w:rPr/>
        <w:t>The</w:t>
      </w:r>
      <w:r>
        <w:rPr>
          <w:spacing w:val="6"/>
        </w:rPr>
        <w:t> </w:t>
      </w:r>
      <w:r>
        <w:rPr/>
        <w:t>water</w:t>
      </w:r>
      <w:r>
        <w:rPr>
          <w:spacing w:val="8"/>
        </w:rPr>
        <w:t> </w:t>
      </w:r>
      <w:r>
        <w:rPr/>
        <w:t>samples</w:t>
      </w:r>
      <w:r>
        <w:rPr>
          <w:spacing w:val="14"/>
        </w:rPr>
        <w:t> </w:t>
      </w:r>
      <w:r>
        <w:rPr/>
        <w:t>from</w:t>
      </w:r>
      <w:r>
        <w:rPr>
          <w:spacing w:val="2"/>
        </w:rPr>
        <w:t> </w:t>
      </w:r>
      <w:r>
        <w:rPr/>
        <w:t>each</w:t>
      </w:r>
      <w:r>
        <w:rPr>
          <w:spacing w:val="3"/>
        </w:rPr>
        <w:t> </w:t>
      </w:r>
      <w:r>
        <w:rPr>
          <w:spacing w:val="-5"/>
        </w:rPr>
        <w:t>of</w:t>
      </w:r>
    </w:p>
    <w:p>
      <w:pPr>
        <w:spacing w:after="0" w:line="480" w:lineRule="auto"/>
        <w:jc w:val="both"/>
        <w:sectPr>
          <w:pgSz w:w="12240" w:h="15840"/>
          <w:pgMar w:header="0" w:footer="1012" w:top="1360" w:bottom="1200" w:left="1020" w:right="720"/>
        </w:sectPr>
      </w:pPr>
    </w:p>
    <w:p>
      <w:pPr>
        <w:pStyle w:val="BodyText"/>
        <w:spacing w:line="480" w:lineRule="auto" w:before="72"/>
        <w:ind w:left="420" w:right="714"/>
        <w:jc w:val="both"/>
      </w:pPr>
      <w:r>
        <w:rPr/>
        <w:t>the rivers were collected after recording the pH in-situ using portable digital pH meter and temperature using thermometer. Plastic containers were used to collect the water samples. The containers were rinsed thoroughly with the water twice before collection. Water samples were collected from five (5) different points from each of the rivers and at depths of at least two (2) meters at each of the five sampling locations from the rivers under investigation. The water samples</w:t>
      </w:r>
      <w:r>
        <w:rPr>
          <w:spacing w:val="-3"/>
        </w:rPr>
        <w:t> </w:t>
      </w:r>
      <w:r>
        <w:rPr/>
        <w:t>were collected</w:t>
      </w:r>
      <w:r>
        <w:rPr>
          <w:spacing w:val="-1"/>
        </w:rPr>
        <w:t> </w:t>
      </w:r>
      <w:r>
        <w:rPr/>
        <w:t>with</w:t>
      </w:r>
      <w:r>
        <w:rPr>
          <w:spacing w:val="-6"/>
        </w:rPr>
        <w:t> </w:t>
      </w:r>
      <w:r>
        <w:rPr/>
        <w:t>plastic bottles, pooled, before</w:t>
      </w:r>
      <w:r>
        <w:rPr>
          <w:spacing w:val="-2"/>
        </w:rPr>
        <w:t> </w:t>
      </w:r>
      <w:r>
        <w:rPr/>
        <w:t>taking one</w:t>
      </w:r>
      <w:r>
        <w:rPr>
          <w:spacing w:val="-2"/>
        </w:rPr>
        <w:t> </w:t>
      </w:r>
      <w:r>
        <w:rPr/>
        <w:t>(1) liter into the</w:t>
      </w:r>
      <w:r>
        <w:rPr>
          <w:spacing w:val="-2"/>
        </w:rPr>
        <w:t> </w:t>
      </w:r>
      <w:r>
        <w:rPr/>
        <w:t>previously cleaned plastic bottles. The samples were acidified with 10% Nitric acid (HNO</w:t>
      </w:r>
      <w:r>
        <w:rPr>
          <w:sz w:val="20"/>
        </w:rPr>
        <w:t>3) </w:t>
      </w:r>
      <w:r>
        <w:rPr/>
        <w:t>to keep the metals in solution and minimize their adsorption on the plastic bottles (Igwegbe, 2013).Precautions were taken to minimize risks of contamination.</w:t>
      </w:r>
    </w:p>
    <w:p>
      <w:pPr>
        <w:pStyle w:val="Heading2"/>
        <w:numPr>
          <w:ilvl w:val="2"/>
          <w:numId w:val="18"/>
        </w:numPr>
        <w:tabs>
          <w:tab w:pos="1171" w:val="left" w:leader="none"/>
        </w:tabs>
        <w:spacing w:line="240" w:lineRule="auto" w:before="3" w:after="0"/>
        <w:ind w:left="1171" w:right="0" w:hanging="751"/>
        <w:jc w:val="both"/>
        <w:rPr>
          <w:sz w:val="28"/>
        </w:rPr>
      </w:pPr>
      <w:r>
        <w:rPr/>
        <w:t>Sample</w:t>
      </w:r>
      <w:r>
        <w:rPr>
          <w:spacing w:val="-8"/>
        </w:rPr>
        <w:t> </w:t>
      </w:r>
      <w:r>
        <w:rPr>
          <w:spacing w:val="-2"/>
        </w:rPr>
        <w:t>preparation</w:t>
      </w:r>
    </w:p>
    <w:p>
      <w:pPr>
        <w:pStyle w:val="ListParagraph"/>
        <w:numPr>
          <w:ilvl w:val="3"/>
          <w:numId w:val="18"/>
        </w:numPr>
        <w:tabs>
          <w:tab w:pos="1264" w:val="left" w:leader="none"/>
        </w:tabs>
        <w:spacing w:line="240" w:lineRule="auto" w:before="248" w:after="0"/>
        <w:ind w:left="1264" w:right="0" w:hanging="844"/>
        <w:jc w:val="both"/>
        <w:rPr>
          <w:i/>
          <w:sz w:val="24"/>
        </w:rPr>
      </w:pPr>
      <w:r>
        <w:rPr>
          <w:i/>
          <w:sz w:val="24"/>
        </w:rPr>
        <w:t>Feeds</w:t>
      </w:r>
      <w:r>
        <w:rPr>
          <w:i/>
          <w:spacing w:val="-3"/>
          <w:sz w:val="24"/>
        </w:rPr>
        <w:t> </w:t>
      </w:r>
      <w:r>
        <w:rPr>
          <w:i/>
          <w:sz w:val="24"/>
        </w:rPr>
        <w:t>and</w:t>
      </w:r>
      <w:r>
        <w:rPr>
          <w:i/>
          <w:spacing w:val="-1"/>
          <w:sz w:val="24"/>
        </w:rPr>
        <w:t> </w:t>
      </w:r>
      <w:r>
        <w:rPr>
          <w:i/>
          <w:sz w:val="24"/>
        </w:rPr>
        <w:t>manure</w:t>
      </w:r>
      <w:r>
        <w:rPr>
          <w:i/>
          <w:spacing w:val="-1"/>
          <w:sz w:val="24"/>
        </w:rPr>
        <w:t> </w:t>
      </w:r>
      <w:r>
        <w:rPr>
          <w:i/>
          <w:spacing w:val="-2"/>
          <w:sz w:val="24"/>
        </w:rPr>
        <w:t>samples</w:t>
      </w:r>
    </w:p>
    <w:p>
      <w:pPr>
        <w:pStyle w:val="BodyText"/>
        <w:spacing w:before="1"/>
        <w:rPr>
          <w:i/>
        </w:rPr>
      </w:pPr>
    </w:p>
    <w:p>
      <w:pPr>
        <w:pStyle w:val="BodyText"/>
        <w:spacing w:line="480" w:lineRule="auto"/>
        <w:ind w:left="420" w:right="717"/>
        <w:jc w:val="both"/>
      </w:pPr>
      <w:r>
        <w:rPr/>
        <w:t>The feeds</w:t>
      </w:r>
      <w:r>
        <w:rPr>
          <w:spacing w:val="-5"/>
        </w:rPr>
        <w:t> </w:t>
      </w:r>
      <w:r>
        <w:rPr/>
        <w:t>and manure</w:t>
      </w:r>
      <w:r>
        <w:rPr>
          <w:spacing w:val="-4"/>
        </w:rPr>
        <w:t> </w:t>
      </w:r>
      <w:r>
        <w:rPr/>
        <w:t>samples</w:t>
      </w:r>
      <w:r>
        <w:rPr>
          <w:spacing w:val="-5"/>
        </w:rPr>
        <w:t> </w:t>
      </w:r>
      <w:r>
        <w:rPr/>
        <w:t>collected</w:t>
      </w:r>
      <w:r>
        <w:rPr>
          <w:spacing w:val="-3"/>
        </w:rPr>
        <w:t> </w:t>
      </w:r>
      <w:r>
        <w:rPr/>
        <w:t>were</w:t>
      </w:r>
      <w:r>
        <w:rPr>
          <w:spacing w:val="-4"/>
        </w:rPr>
        <w:t> </w:t>
      </w:r>
      <w:r>
        <w:rPr/>
        <w:t>dried</w:t>
      </w:r>
      <w:r>
        <w:rPr>
          <w:spacing w:val="-3"/>
        </w:rPr>
        <w:t> </w:t>
      </w:r>
      <w:r>
        <w:rPr/>
        <w:t>in</w:t>
      </w:r>
      <w:r>
        <w:rPr>
          <w:spacing w:val="-8"/>
        </w:rPr>
        <w:t> </w:t>
      </w:r>
      <w:r>
        <w:rPr/>
        <w:t>the</w:t>
      </w:r>
      <w:r>
        <w:rPr>
          <w:spacing w:val="-4"/>
        </w:rPr>
        <w:t> </w:t>
      </w:r>
      <w:r>
        <w:rPr/>
        <w:t>shade, then</w:t>
      </w:r>
      <w:r>
        <w:rPr>
          <w:spacing w:val="-8"/>
        </w:rPr>
        <w:t> </w:t>
      </w:r>
      <w:r>
        <w:rPr/>
        <w:t>ground</w:t>
      </w:r>
      <w:r>
        <w:rPr>
          <w:spacing w:val="-3"/>
        </w:rPr>
        <w:t> </w:t>
      </w:r>
      <w:r>
        <w:rPr/>
        <w:t>and</w:t>
      </w:r>
      <w:r>
        <w:rPr>
          <w:spacing w:val="-3"/>
        </w:rPr>
        <w:t> </w:t>
      </w:r>
      <w:r>
        <w:rPr/>
        <w:t>passed</w:t>
      </w:r>
      <w:r>
        <w:rPr>
          <w:spacing w:val="-3"/>
        </w:rPr>
        <w:t> </w:t>
      </w:r>
      <w:r>
        <w:rPr/>
        <w:t>through a 0.25-mm mesh sieve. Subsamples of 0.5 g were used for digestion.</w:t>
      </w:r>
    </w:p>
    <w:p>
      <w:pPr>
        <w:pStyle w:val="ListParagraph"/>
        <w:numPr>
          <w:ilvl w:val="3"/>
          <w:numId w:val="18"/>
        </w:numPr>
        <w:tabs>
          <w:tab w:pos="1264" w:val="left" w:leader="none"/>
        </w:tabs>
        <w:spacing w:line="240" w:lineRule="auto" w:before="0" w:after="0"/>
        <w:ind w:left="1264" w:right="0" w:hanging="844"/>
        <w:jc w:val="both"/>
        <w:rPr>
          <w:i/>
          <w:sz w:val="24"/>
        </w:rPr>
      </w:pPr>
      <w:r>
        <w:rPr>
          <w:i/>
          <w:sz w:val="24"/>
        </w:rPr>
        <w:t>Water</w:t>
      </w:r>
      <w:r>
        <w:rPr>
          <w:i/>
          <w:spacing w:val="-5"/>
          <w:sz w:val="24"/>
        </w:rPr>
        <w:t> </w:t>
      </w:r>
      <w:r>
        <w:rPr>
          <w:i/>
          <w:spacing w:val="-2"/>
          <w:sz w:val="24"/>
        </w:rPr>
        <w:t>samples</w:t>
      </w:r>
    </w:p>
    <w:p>
      <w:pPr>
        <w:pStyle w:val="BodyText"/>
        <w:rPr>
          <w:i/>
        </w:rPr>
      </w:pPr>
    </w:p>
    <w:p>
      <w:pPr>
        <w:pStyle w:val="BodyText"/>
        <w:spacing w:line="480" w:lineRule="auto"/>
        <w:ind w:left="420" w:right="725"/>
        <w:jc w:val="both"/>
      </w:pPr>
      <w:r>
        <w:rPr/>
        <w:t>Fifty milliliters (50) ml of water from each location was measured and filtered into the PFTE plastic bottles using the ashless filter papers and then stored until analyzed by the atomic absorption spectrometer.</w:t>
      </w:r>
    </w:p>
    <w:p>
      <w:pPr>
        <w:pStyle w:val="BodyText"/>
      </w:pPr>
    </w:p>
    <w:p>
      <w:pPr>
        <w:pStyle w:val="BodyText"/>
        <w:spacing w:before="6"/>
      </w:pPr>
    </w:p>
    <w:p>
      <w:pPr>
        <w:pStyle w:val="Heading2"/>
        <w:numPr>
          <w:ilvl w:val="2"/>
          <w:numId w:val="18"/>
        </w:numPr>
        <w:tabs>
          <w:tab w:pos="1143" w:val="left" w:leader="none"/>
        </w:tabs>
        <w:spacing w:line="240" w:lineRule="auto" w:before="0" w:after="0"/>
        <w:ind w:left="1143" w:right="0" w:hanging="723"/>
        <w:jc w:val="both"/>
      </w:pPr>
      <w:r>
        <w:rPr/>
        <w:t>Analytical</w:t>
      </w:r>
      <w:r>
        <w:rPr>
          <w:spacing w:val="-6"/>
        </w:rPr>
        <w:t> </w:t>
      </w:r>
      <w:r>
        <w:rPr>
          <w:spacing w:val="-2"/>
        </w:rPr>
        <w:t>method</w:t>
      </w:r>
    </w:p>
    <w:p>
      <w:pPr>
        <w:pStyle w:val="BodyText"/>
        <w:spacing w:line="480" w:lineRule="auto" w:before="271"/>
        <w:ind w:left="420" w:right="716"/>
        <w:jc w:val="both"/>
      </w:pPr>
      <w:r>
        <w:rPr/>
        <w:t>Method of</w:t>
      </w:r>
      <w:r>
        <w:rPr>
          <w:spacing w:val="-1"/>
        </w:rPr>
        <w:t> </w:t>
      </w:r>
      <w:r>
        <w:rPr/>
        <w:t>Atomic Absorption</w:t>
      </w:r>
      <w:r>
        <w:rPr>
          <w:spacing w:val="-3"/>
        </w:rPr>
        <w:t> </w:t>
      </w:r>
      <w:r>
        <w:rPr/>
        <w:t>Spectroscopy</w:t>
      </w:r>
      <w:r>
        <w:rPr>
          <w:spacing w:val="-3"/>
        </w:rPr>
        <w:t> </w:t>
      </w:r>
      <w:r>
        <w:rPr/>
        <w:t>for the determination</w:t>
      </w:r>
      <w:r>
        <w:rPr>
          <w:spacing w:val="-3"/>
        </w:rPr>
        <w:t> </w:t>
      </w:r>
      <w:r>
        <w:rPr/>
        <w:t>of</w:t>
      </w:r>
      <w:r>
        <w:rPr>
          <w:spacing w:val="-1"/>
        </w:rPr>
        <w:t> </w:t>
      </w:r>
      <w:r>
        <w:rPr/>
        <w:t>heavy metals by</w:t>
      </w:r>
      <w:r>
        <w:rPr>
          <w:spacing w:val="-3"/>
        </w:rPr>
        <w:t> </w:t>
      </w:r>
      <w:r>
        <w:rPr/>
        <w:t>Uba </w:t>
      </w:r>
      <w:r>
        <w:rPr>
          <w:i/>
        </w:rPr>
        <w:t>et al., </w:t>
      </w:r>
      <w:r>
        <w:rPr/>
        <w:t>2000 was adopted for feeds and manure samples while by USEPA, 2002 was adopted for water samples</w:t>
      </w:r>
      <w:r>
        <w:rPr>
          <w:spacing w:val="-1"/>
        </w:rPr>
        <w:t> </w:t>
      </w:r>
      <w:r>
        <w:rPr/>
        <w:t>and were validated via percentage extraction</w:t>
      </w:r>
      <w:r>
        <w:rPr>
          <w:spacing w:val="-4"/>
        </w:rPr>
        <w:t> </w:t>
      </w:r>
      <w:r>
        <w:rPr/>
        <w:t>recovery</w:t>
      </w:r>
      <w:r>
        <w:rPr>
          <w:spacing w:val="-9"/>
        </w:rPr>
        <w:t> </w:t>
      </w:r>
      <w:r>
        <w:rPr/>
        <w:t>and precision both</w:t>
      </w:r>
      <w:r>
        <w:rPr>
          <w:spacing w:val="-4"/>
        </w:rPr>
        <w:t> </w:t>
      </w:r>
      <w:r>
        <w:rPr/>
        <w:t>within</w:t>
      </w:r>
      <w:r>
        <w:rPr>
          <w:spacing w:val="-4"/>
        </w:rPr>
        <w:t> </w:t>
      </w:r>
      <w:r>
        <w:rPr/>
        <w:t>day</w:t>
      </w:r>
      <w:r>
        <w:rPr>
          <w:spacing w:val="-4"/>
        </w:rPr>
        <w:t> </w:t>
      </w:r>
      <w:r>
        <w:rPr/>
        <w:t>and between days precision.</w:t>
      </w:r>
    </w:p>
    <w:p>
      <w:pPr>
        <w:spacing w:after="0" w:line="480" w:lineRule="auto"/>
        <w:jc w:val="both"/>
        <w:sectPr>
          <w:pgSz w:w="12240" w:h="15840"/>
          <w:pgMar w:header="0" w:footer="1012" w:top="1360" w:bottom="1200" w:left="1020" w:right="720"/>
        </w:sectPr>
      </w:pPr>
    </w:p>
    <w:p>
      <w:pPr>
        <w:pStyle w:val="ListParagraph"/>
        <w:numPr>
          <w:ilvl w:val="3"/>
          <w:numId w:val="18"/>
        </w:numPr>
        <w:tabs>
          <w:tab w:pos="1264" w:val="left" w:leader="none"/>
        </w:tabs>
        <w:spacing w:line="240" w:lineRule="auto" w:before="72" w:after="0"/>
        <w:ind w:left="1264" w:right="0" w:hanging="844"/>
        <w:jc w:val="both"/>
        <w:rPr>
          <w:i/>
          <w:sz w:val="24"/>
        </w:rPr>
      </w:pPr>
      <w:r>
        <w:rPr>
          <w:i/>
          <w:sz w:val="24"/>
        </w:rPr>
        <w:t>Digestion of</w:t>
      </w:r>
      <w:r>
        <w:rPr>
          <w:i/>
          <w:spacing w:val="-4"/>
          <w:sz w:val="24"/>
        </w:rPr>
        <w:t> </w:t>
      </w:r>
      <w:r>
        <w:rPr>
          <w:i/>
          <w:sz w:val="24"/>
        </w:rPr>
        <w:t>feeds</w:t>
      </w:r>
      <w:r>
        <w:rPr>
          <w:i/>
          <w:spacing w:val="-2"/>
          <w:sz w:val="24"/>
        </w:rPr>
        <w:t> </w:t>
      </w:r>
      <w:r>
        <w:rPr>
          <w:i/>
          <w:sz w:val="24"/>
        </w:rPr>
        <w:t>and manure </w:t>
      </w:r>
      <w:r>
        <w:rPr>
          <w:i/>
          <w:spacing w:val="-2"/>
          <w:sz w:val="24"/>
        </w:rPr>
        <w:t>samples</w:t>
      </w:r>
    </w:p>
    <w:p>
      <w:pPr>
        <w:pStyle w:val="BodyText"/>
        <w:rPr>
          <w:i/>
        </w:rPr>
      </w:pPr>
    </w:p>
    <w:p>
      <w:pPr>
        <w:pStyle w:val="BodyText"/>
        <w:spacing w:line="480" w:lineRule="auto"/>
        <w:ind w:left="420" w:right="718"/>
        <w:jc w:val="both"/>
      </w:pPr>
      <w:r>
        <w:rPr/>
        <w:t>10ml</w:t>
      </w:r>
      <w:r>
        <w:rPr>
          <w:spacing w:val="-5"/>
        </w:rPr>
        <w:t> </w:t>
      </w:r>
      <w:r>
        <w:rPr/>
        <w:t>of</w:t>
      </w:r>
      <w:r>
        <w:rPr>
          <w:spacing w:val="-8"/>
        </w:rPr>
        <w:t> </w:t>
      </w:r>
      <w:r>
        <w:rPr/>
        <w:t>concentrated nitric</w:t>
      </w:r>
      <w:r>
        <w:rPr>
          <w:spacing w:val="-1"/>
        </w:rPr>
        <w:t> </w:t>
      </w:r>
      <w:r>
        <w:rPr/>
        <w:t>acid (HNO</w:t>
      </w:r>
      <w:r>
        <w:rPr>
          <w:vertAlign w:val="subscript"/>
        </w:rPr>
        <w:t>3</w:t>
      </w:r>
      <w:r>
        <w:rPr>
          <w:vertAlign w:val="baseline"/>
        </w:rPr>
        <w:t>) was added to 0.5g subsamples followed by</w:t>
      </w:r>
      <w:r>
        <w:rPr>
          <w:spacing w:val="-5"/>
          <w:vertAlign w:val="baseline"/>
        </w:rPr>
        <w:t> </w:t>
      </w:r>
      <w:r>
        <w:rPr>
          <w:vertAlign w:val="baseline"/>
        </w:rPr>
        <w:t>5 ml each</w:t>
      </w:r>
      <w:r>
        <w:rPr>
          <w:spacing w:val="-5"/>
          <w:vertAlign w:val="baseline"/>
        </w:rPr>
        <w:t> </w:t>
      </w:r>
      <w:r>
        <w:rPr>
          <w:vertAlign w:val="baseline"/>
        </w:rPr>
        <w:t>of concentrated sulphuric acid (H</w:t>
      </w:r>
      <w:r>
        <w:rPr>
          <w:vertAlign w:val="subscript"/>
        </w:rPr>
        <w:t>2</w:t>
      </w:r>
      <w:r>
        <w:rPr>
          <w:vertAlign w:val="baseline"/>
        </w:rPr>
        <w:t>SO</w:t>
      </w:r>
      <w:r>
        <w:rPr>
          <w:vertAlign w:val="subscript"/>
        </w:rPr>
        <w:t>4</w:t>
      </w:r>
      <w:r>
        <w:rPr>
          <w:vertAlign w:val="baseline"/>
        </w:rPr>
        <w:t>) and perchloric acid (HCIO</w:t>
      </w:r>
      <w:r>
        <w:rPr>
          <w:vertAlign w:val="subscript"/>
        </w:rPr>
        <w:t>4</w:t>
      </w:r>
      <w:r>
        <w:rPr>
          <w:vertAlign w:val="baseline"/>
        </w:rPr>
        <w:t>) in a digestion flask. The flask was heated in the fume cupboard until dense white fumes were observed. The flask was cooled, and the content was made up to 100ml mark with distilled water and transferred into plastic bottles. The sample solutions were then analyzed for zinc, copper, nickel, lead and arsenic at require wavelengths using GBC atomic absorption spectrophotometer, model no ICE 3000 AA from Advanced Chemistry laboratory, Sheda.</w:t>
      </w:r>
    </w:p>
    <w:p>
      <w:pPr>
        <w:pStyle w:val="ListParagraph"/>
        <w:numPr>
          <w:ilvl w:val="3"/>
          <w:numId w:val="18"/>
        </w:numPr>
        <w:tabs>
          <w:tab w:pos="1322" w:val="left" w:leader="none"/>
        </w:tabs>
        <w:spacing w:line="240" w:lineRule="auto" w:before="199" w:after="0"/>
        <w:ind w:left="1322" w:right="0" w:hanging="902"/>
        <w:jc w:val="both"/>
        <w:rPr>
          <w:i/>
          <w:sz w:val="24"/>
        </w:rPr>
      </w:pPr>
      <w:r>
        <w:rPr>
          <w:i/>
          <w:sz w:val="24"/>
        </w:rPr>
        <w:t>Digestion</w:t>
      </w:r>
      <w:r>
        <w:rPr>
          <w:i/>
          <w:spacing w:val="-4"/>
          <w:sz w:val="24"/>
        </w:rPr>
        <w:t> </w:t>
      </w:r>
      <w:r>
        <w:rPr>
          <w:i/>
          <w:sz w:val="24"/>
        </w:rPr>
        <w:t>of</w:t>
      </w:r>
      <w:r>
        <w:rPr>
          <w:i/>
          <w:spacing w:val="1"/>
          <w:sz w:val="24"/>
        </w:rPr>
        <w:t> </w:t>
      </w:r>
      <w:r>
        <w:rPr>
          <w:i/>
          <w:sz w:val="24"/>
        </w:rPr>
        <w:t>water</w:t>
      </w:r>
      <w:r>
        <w:rPr>
          <w:i/>
          <w:spacing w:val="-5"/>
          <w:sz w:val="24"/>
        </w:rPr>
        <w:t> </w:t>
      </w:r>
      <w:r>
        <w:rPr>
          <w:i/>
          <w:spacing w:val="-2"/>
          <w:sz w:val="24"/>
        </w:rPr>
        <w:t>samples</w:t>
      </w:r>
    </w:p>
    <w:p>
      <w:pPr>
        <w:pStyle w:val="BodyText"/>
        <w:spacing w:before="57"/>
        <w:rPr>
          <w:i/>
        </w:rPr>
      </w:pPr>
    </w:p>
    <w:p>
      <w:pPr>
        <w:pStyle w:val="BodyText"/>
        <w:ind w:left="420"/>
      </w:pPr>
      <w:r>
        <w:rPr/>
        <w:t>Five</w:t>
      </w:r>
      <w:r>
        <w:rPr>
          <w:spacing w:val="3"/>
        </w:rPr>
        <w:t> </w:t>
      </w:r>
      <w:r>
        <w:rPr/>
        <w:t>ml</w:t>
      </w:r>
      <w:r>
        <w:rPr>
          <w:spacing w:val="-4"/>
        </w:rPr>
        <w:t> </w:t>
      </w:r>
      <w:r>
        <w:rPr/>
        <w:t>of</w:t>
      </w:r>
      <w:r>
        <w:rPr>
          <w:spacing w:val="-7"/>
        </w:rPr>
        <w:t> </w:t>
      </w:r>
      <w:r>
        <w:rPr/>
        <w:t>concentrated</w:t>
      </w:r>
      <w:r>
        <w:rPr>
          <w:spacing w:val="1"/>
        </w:rPr>
        <w:t> </w:t>
      </w:r>
      <w:r>
        <w:rPr/>
        <w:t>HCl</w:t>
      </w:r>
      <w:r>
        <w:rPr>
          <w:spacing w:val="-7"/>
        </w:rPr>
        <w:t> </w:t>
      </w:r>
      <w:r>
        <w:rPr/>
        <w:t>(10</w:t>
      </w:r>
      <w:r>
        <w:rPr>
          <w:spacing w:val="1"/>
        </w:rPr>
        <w:t> </w:t>
      </w:r>
      <w:r>
        <w:rPr/>
        <w:t>M)</w:t>
      </w:r>
      <w:r>
        <w:rPr>
          <w:spacing w:val="2"/>
        </w:rPr>
        <w:t> </w:t>
      </w:r>
      <w:r>
        <w:rPr/>
        <w:t>was</w:t>
      </w:r>
      <w:r>
        <w:rPr>
          <w:spacing w:val="-1"/>
        </w:rPr>
        <w:t> </w:t>
      </w:r>
      <w:r>
        <w:rPr/>
        <w:t>added</w:t>
      </w:r>
      <w:r>
        <w:rPr>
          <w:spacing w:val="-4"/>
        </w:rPr>
        <w:t> </w:t>
      </w:r>
      <w:r>
        <w:rPr/>
        <w:t>to</w:t>
      </w:r>
      <w:r>
        <w:rPr>
          <w:spacing w:val="1"/>
        </w:rPr>
        <w:t> </w:t>
      </w:r>
      <w:r>
        <w:rPr/>
        <w:t>250</w:t>
      </w:r>
      <w:r>
        <w:rPr>
          <w:spacing w:val="2"/>
        </w:rPr>
        <w:t> </w:t>
      </w:r>
      <w:r>
        <w:rPr/>
        <w:t>ml</w:t>
      </w:r>
      <w:r>
        <w:rPr>
          <w:spacing w:val="-4"/>
        </w:rPr>
        <w:t> </w:t>
      </w:r>
      <w:r>
        <w:rPr/>
        <w:t>of</w:t>
      </w:r>
      <w:r>
        <w:rPr>
          <w:spacing w:val="-7"/>
        </w:rPr>
        <w:t> </w:t>
      </w:r>
      <w:r>
        <w:rPr/>
        <w:t>each</w:t>
      </w:r>
      <w:r>
        <w:rPr>
          <w:spacing w:val="-4"/>
        </w:rPr>
        <w:t> </w:t>
      </w:r>
      <w:r>
        <w:rPr/>
        <w:t>water</w:t>
      </w:r>
      <w:r>
        <w:rPr>
          <w:spacing w:val="2"/>
        </w:rPr>
        <w:t> </w:t>
      </w:r>
      <w:r>
        <w:rPr/>
        <w:t>sample</w:t>
      </w:r>
      <w:r>
        <w:rPr>
          <w:spacing w:val="1"/>
        </w:rPr>
        <w:t> </w:t>
      </w:r>
      <w:r>
        <w:rPr>
          <w:spacing w:val="-2"/>
        </w:rPr>
        <w:t>placed</w:t>
      </w:r>
    </w:p>
    <w:p>
      <w:pPr>
        <w:pStyle w:val="BodyText"/>
        <w:spacing w:before="68"/>
      </w:pPr>
    </w:p>
    <w:p>
      <w:pPr>
        <w:pStyle w:val="BodyText"/>
        <w:spacing w:line="480" w:lineRule="auto"/>
        <w:ind w:left="420" w:right="729"/>
        <w:jc w:val="both"/>
      </w:pPr>
      <w:r>
        <w:rPr/>
        <w:t>in 60 ml beaker, and evaporated</w:t>
      </w:r>
      <w:r>
        <w:rPr>
          <w:spacing w:val="-2"/>
        </w:rPr>
        <w:t> </w:t>
      </w:r>
      <w:r>
        <w:rPr/>
        <w:t>to 25 ml. The concentrate was</w:t>
      </w:r>
      <w:r>
        <w:rPr>
          <w:spacing w:val="-4"/>
        </w:rPr>
        <w:t> </w:t>
      </w:r>
      <w:r>
        <w:rPr/>
        <w:t>transferred to a 50 ml volumetric flask</w:t>
      </w:r>
      <w:r>
        <w:rPr>
          <w:spacing w:val="-3"/>
        </w:rPr>
        <w:t> </w:t>
      </w:r>
      <w:r>
        <w:rPr/>
        <w:t>and</w:t>
      </w:r>
      <w:r>
        <w:rPr>
          <w:spacing w:val="-3"/>
        </w:rPr>
        <w:t> </w:t>
      </w:r>
      <w:r>
        <w:rPr/>
        <w:t>diluted</w:t>
      </w:r>
      <w:r>
        <w:rPr>
          <w:spacing w:val="-3"/>
        </w:rPr>
        <w:t> </w:t>
      </w:r>
      <w:r>
        <w:rPr/>
        <w:t>to mark</w:t>
      </w:r>
      <w:r>
        <w:rPr>
          <w:spacing w:val="-3"/>
        </w:rPr>
        <w:t> </w:t>
      </w:r>
      <w:r>
        <w:rPr/>
        <w:t>with</w:t>
      </w:r>
      <w:r>
        <w:rPr>
          <w:spacing w:val="-7"/>
        </w:rPr>
        <w:t> </w:t>
      </w:r>
      <w:r>
        <w:rPr/>
        <w:t>deionized</w:t>
      </w:r>
      <w:r>
        <w:rPr>
          <w:spacing w:val="-3"/>
        </w:rPr>
        <w:t> </w:t>
      </w:r>
      <w:r>
        <w:rPr/>
        <w:t>water.</w:t>
      </w:r>
      <w:r>
        <w:rPr>
          <w:spacing w:val="-1"/>
        </w:rPr>
        <w:t> </w:t>
      </w:r>
      <w:r>
        <w:rPr/>
        <w:t>Prior</w:t>
      </w:r>
      <w:r>
        <w:rPr>
          <w:spacing w:val="-2"/>
        </w:rPr>
        <w:t> </w:t>
      </w:r>
      <w:r>
        <w:rPr/>
        <w:t>analysis,</w:t>
      </w:r>
      <w:r>
        <w:rPr>
          <w:spacing w:val="-1"/>
        </w:rPr>
        <w:t> </w:t>
      </w:r>
      <w:r>
        <w:rPr/>
        <w:t>the solutions</w:t>
      </w:r>
      <w:r>
        <w:rPr>
          <w:spacing w:val="-5"/>
        </w:rPr>
        <w:t> </w:t>
      </w:r>
      <w:r>
        <w:rPr/>
        <w:t>were filtered</w:t>
      </w:r>
      <w:r>
        <w:rPr>
          <w:spacing w:val="-3"/>
        </w:rPr>
        <w:t> </w:t>
      </w:r>
      <w:r>
        <w:rPr/>
        <w:t>through Whatman paper.</w:t>
      </w:r>
    </w:p>
    <w:p>
      <w:pPr>
        <w:pStyle w:val="BodyText"/>
        <w:spacing w:before="8"/>
      </w:pPr>
    </w:p>
    <w:p>
      <w:pPr>
        <w:pStyle w:val="ListParagraph"/>
        <w:numPr>
          <w:ilvl w:val="3"/>
          <w:numId w:val="18"/>
        </w:numPr>
        <w:tabs>
          <w:tab w:pos="1264" w:val="left" w:leader="none"/>
        </w:tabs>
        <w:spacing w:line="240" w:lineRule="auto" w:before="0" w:after="0"/>
        <w:ind w:left="1264" w:right="0" w:hanging="844"/>
        <w:jc w:val="both"/>
        <w:rPr>
          <w:i/>
          <w:sz w:val="24"/>
        </w:rPr>
      </w:pPr>
      <w:r>
        <w:rPr>
          <w:i/>
          <w:sz w:val="24"/>
        </w:rPr>
        <w:t>Calibration</w:t>
      </w:r>
      <w:r>
        <w:rPr>
          <w:i/>
          <w:spacing w:val="-3"/>
          <w:sz w:val="24"/>
        </w:rPr>
        <w:t> </w:t>
      </w:r>
      <w:r>
        <w:rPr>
          <w:i/>
          <w:spacing w:val="-4"/>
          <w:sz w:val="24"/>
        </w:rPr>
        <w:t>curve</w:t>
      </w:r>
    </w:p>
    <w:p>
      <w:pPr>
        <w:pStyle w:val="BodyText"/>
        <w:spacing w:before="5"/>
        <w:rPr>
          <w:i/>
        </w:rPr>
      </w:pPr>
    </w:p>
    <w:p>
      <w:pPr>
        <w:pStyle w:val="BodyText"/>
        <w:ind w:left="420"/>
      </w:pPr>
      <w:r>
        <w:rPr/>
        <w:t>Five</w:t>
      </w:r>
      <w:r>
        <w:rPr>
          <w:spacing w:val="-4"/>
        </w:rPr>
        <w:t> </w:t>
      </w:r>
      <w:r>
        <w:rPr/>
        <w:t>working standard</w:t>
      </w:r>
      <w:r>
        <w:rPr>
          <w:spacing w:val="60"/>
        </w:rPr>
        <w:t> </w:t>
      </w:r>
      <w:r>
        <w:rPr/>
        <w:t>zinc</w:t>
      </w:r>
      <w:r>
        <w:rPr>
          <w:spacing w:val="-1"/>
        </w:rPr>
        <w:t> </w:t>
      </w:r>
      <w:r>
        <w:rPr/>
        <w:t>solution</w:t>
      </w:r>
      <w:r>
        <w:rPr>
          <w:spacing w:val="-5"/>
        </w:rPr>
        <w:t> </w:t>
      </w:r>
      <w:r>
        <w:rPr/>
        <w:t>of</w:t>
      </w:r>
      <w:r>
        <w:rPr>
          <w:spacing w:val="-8"/>
        </w:rPr>
        <w:t> </w:t>
      </w:r>
      <w:r>
        <w:rPr/>
        <w:t>concentrations</w:t>
      </w:r>
      <w:r>
        <w:rPr>
          <w:spacing w:val="-3"/>
        </w:rPr>
        <w:t> </w:t>
      </w:r>
      <w:r>
        <w:rPr/>
        <w:t>0.20,</w:t>
      </w:r>
      <w:r>
        <w:rPr>
          <w:spacing w:val="-3"/>
        </w:rPr>
        <w:t> </w:t>
      </w:r>
      <w:r>
        <w:rPr/>
        <w:t>0.40,</w:t>
      </w:r>
      <w:r>
        <w:rPr>
          <w:spacing w:val="2"/>
        </w:rPr>
        <w:t> </w:t>
      </w:r>
      <w:r>
        <w:rPr/>
        <w:t>0.60,</w:t>
      </w:r>
      <w:r>
        <w:rPr>
          <w:spacing w:val="-3"/>
        </w:rPr>
        <w:t> </w:t>
      </w:r>
      <w:r>
        <w:rPr/>
        <w:t>0.80</w:t>
      </w:r>
      <w:r>
        <w:rPr>
          <w:spacing w:val="-5"/>
        </w:rPr>
        <w:t> </w:t>
      </w:r>
      <w:r>
        <w:rPr/>
        <w:t>and 1.00 </w:t>
      </w:r>
      <w:r>
        <w:rPr>
          <w:spacing w:val="-2"/>
        </w:rPr>
        <w:t>mg/l,</w:t>
      </w:r>
    </w:p>
    <w:p>
      <w:pPr>
        <w:pStyle w:val="BodyText"/>
      </w:pPr>
    </w:p>
    <w:p>
      <w:pPr>
        <w:pStyle w:val="BodyText"/>
        <w:ind w:left="420"/>
      </w:pPr>
      <w:r>
        <w:rPr/>
        <w:t>standard</w:t>
      </w:r>
      <w:r>
        <w:rPr>
          <w:spacing w:val="-2"/>
        </w:rPr>
        <w:t> </w:t>
      </w:r>
      <w:r>
        <w:rPr/>
        <w:t>copper</w:t>
      </w:r>
      <w:r>
        <w:rPr>
          <w:spacing w:val="-3"/>
        </w:rPr>
        <w:t> </w:t>
      </w:r>
      <w:r>
        <w:rPr/>
        <w:t>solution</w:t>
      </w:r>
      <w:r>
        <w:rPr>
          <w:spacing w:val="-6"/>
        </w:rPr>
        <w:t> </w:t>
      </w:r>
      <w:r>
        <w:rPr/>
        <w:t>of</w:t>
      </w:r>
      <w:r>
        <w:rPr>
          <w:spacing w:val="-9"/>
        </w:rPr>
        <w:t> </w:t>
      </w:r>
      <w:r>
        <w:rPr/>
        <w:t>concentrations</w:t>
      </w:r>
      <w:r>
        <w:rPr>
          <w:spacing w:val="-3"/>
        </w:rPr>
        <w:t> </w:t>
      </w:r>
      <w:r>
        <w:rPr/>
        <w:t>0.15,</w:t>
      </w:r>
      <w:r>
        <w:rPr>
          <w:spacing w:val="1"/>
        </w:rPr>
        <w:t> </w:t>
      </w:r>
      <w:r>
        <w:rPr/>
        <w:t>0.30,</w:t>
      </w:r>
      <w:r>
        <w:rPr>
          <w:spacing w:val="1"/>
        </w:rPr>
        <w:t> </w:t>
      </w:r>
      <w:r>
        <w:rPr/>
        <w:t>0.45,</w:t>
      </w:r>
      <w:r>
        <w:rPr>
          <w:spacing w:val="-4"/>
        </w:rPr>
        <w:t> </w:t>
      </w:r>
      <w:r>
        <w:rPr/>
        <w:t>0.60</w:t>
      </w:r>
      <w:r>
        <w:rPr>
          <w:spacing w:val="-6"/>
        </w:rPr>
        <w:t> </w:t>
      </w:r>
      <w:r>
        <w:rPr/>
        <w:t>and</w:t>
      </w:r>
      <w:r>
        <w:rPr>
          <w:spacing w:val="-1"/>
        </w:rPr>
        <w:t> </w:t>
      </w:r>
      <w:r>
        <w:rPr/>
        <w:t>0.75</w:t>
      </w:r>
      <w:r>
        <w:rPr>
          <w:spacing w:val="-1"/>
        </w:rPr>
        <w:t> </w:t>
      </w:r>
      <w:r>
        <w:rPr/>
        <w:t>mg/l,</w:t>
      </w:r>
      <w:r>
        <w:rPr>
          <w:spacing w:val="1"/>
        </w:rPr>
        <w:t> </w:t>
      </w:r>
      <w:r>
        <w:rPr/>
        <w:t>standard</w:t>
      </w:r>
      <w:r>
        <w:rPr>
          <w:spacing w:val="3"/>
        </w:rPr>
        <w:t> </w:t>
      </w:r>
      <w:r>
        <w:rPr>
          <w:spacing w:val="-4"/>
        </w:rPr>
        <w:t>lead</w:t>
      </w:r>
    </w:p>
    <w:p>
      <w:pPr>
        <w:pStyle w:val="BodyText"/>
      </w:pPr>
    </w:p>
    <w:p>
      <w:pPr>
        <w:pStyle w:val="BodyText"/>
        <w:ind w:left="420"/>
      </w:pPr>
      <w:r>
        <w:rPr/>
        <w:t>solution</w:t>
      </w:r>
      <w:r>
        <w:rPr>
          <w:spacing w:val="-7"/>
        </w:rPr>
        <w:t> </w:t>
      </w:r>
      <w:r>
        <w:rPr/>
        <w:t>of</w:t>
      </w:r>
      <w:r>
        <w:rPr>
          <w:spacing w:val="-8"/>
        </w:rPr>
        <w:t> </w:t>
      </w:r>
      <w:r>
        <w:rPr/>
        <w:t>concentrations</w:t>
      </w:r>
      <w:r>
        <w:rPr>
          <w:spacing w:val="-2"/>
        </w:rPr>
        <w:t> </w:t>
      </w:r>
      <w:r>
        <w:rPr/>
        <w:t>0.10,</w:t>
      </w:r>
      <w:r>
        <w:rPr>
          <w:spacing w:val="2"/>
        </w:rPr>
        <w:t> </w:t>
      </w:r>
      <w:r>
        <w:rPr/>
        <w:t>0.20,</w:t>
      </w:r>
      <w:r>
        <w:rPr>
          <w:spacing w:val="2"/>
        </w:rPr>
        <w:t> </w:t>
      </w:r>
      <w:r>
        <w:rPr/>
        <w:t>0.30,</w:t>
      </w:r>
      <w:r>
        <w:rPr>
          <w:spacing w:val="-3"/>
        </w:rPr>
        <w:t> </w:t>
      </w:r>
      <w:r>
        <w:rPr/>
        <w:t>0.40</w:t>
      </w:r>
      <w:r>
        <w:rPr>
          <w:spacing w:val="-4"/>
        </w:rPr>
        <w:t> </w:t>
      </w:r>
      <w:r>
        <w:rPr/>
        <w:t>and 0.50</w:t>
      </w:r>
      <w:r>
        <w:rPr>
          <w:spacing w:val="-5"/>
        </w:rPr>
        <w:t> </w:t>
      </w:r>
      <w:r>
        <w:rPr/>
        <w:t>mg/l,</w:t>
      </w:r>
      <w:r>
        <w:rPr>
          <w:spacing w:val="2"/>
        </w:rPr>
        <w:t> </w:t>
      </w:r>
      <w:r>
        <w:rPr/>
        <w:t>standard nickel</w:t>
      </w:r>
      <w:r>
        <w:rPr>
          <w:spacing w:val="-5"/>
        </w:rPr>
        <w:t> </w:t>
      </w:r>
      <w:r>
        <w:rPr/>
        <w:t>solution</w:t>
      </w:r>
      <w:r>
        <w:rPr>
          <w:spacing w:val="-4"/>
        </w:rPr>
        <w:t> </w:t>
      </w:r>
      <w:r>
        <w:rPr>
          <w:spacing w:val="-5"/>
        </w:rPr>
        <w:t>of</w:t>
      </w:r>
    </w:p>
    <w:p>
      <w:pPr>
        <w:pStyle w:val="BodyText"/>
      </w:pPr>
    </w:p>
    <w:p>
      <w:pPr>
        <w:pStyle w:val="BodyText"/>
        <w:spacing w:line="480" w:lineRule="auto"/>
        <w:ind w:left="420" w:right="765"/>
      </w:pPr>
      <w:r>
        <w:rPr/>
        <w:t>concentrations</w:t>
      </w:r>
      <w:r>
        <w:rPr>
          <w:spacing w:val="-5"/>
        </w:rPr>
        <w:t> </w:t>
      </w:r>
      <w:r>
        <w:rPr/>
        <w:t>0.04,</w:t>
      </w:r>
      <w:r>
        <w:rPr>
          <w:spacing w:val="-6"/>
        </w:rPr>
        <w:t> </w:t>
      </w:r>
      <w:r>
        <w:rPr/>
        <w:t>0.08,</w:t>
      </w:r>
      <w:r>
        <w:rPr>
          <w:spacing w:val="-1"/>
        </w:rPr>
        <w:t> </w:t>
      </w:r>
      <w:r>
        <w:rPr/>
        <w:t>0.12,</w:t>
      </w:r>
      <w:r>
        <w:rPr>
          <w:spacing w:val="-6"/>
        </w:rPr>
        <w:t> </w:t>
      </w:r>
      <w:r>
        <w:rPr/>
        <w:t>0.16,</w:t>
      </w:r>
      <w:r>
        <w:rPr>
          <w:spacing w:val="-1"/>
        </w:rPr>
        <w:t> </w:t>
      </w:r>
      <w:r>
        <w:rPr/>
        <w:t>and</w:t>
      </w:r>
      <w:r>
        <w:rPr>
          <w:spacing w:val="-3"/>
        </w:rPr>
        <w:t> </w:t>
      </w:r>
      <w:r>
        <w:rPr/>
        <w:t>0.20</w:t>
      </w:r>
      <w:r>
        <w:rPr>
          <w:spacing w:val="-3"/>
        </w:rPr>
        <w:t> </w:t>
      </w:r>
      <w:r>
        <w:rPr/>
        <w:t>mg/l</w:t>
      </w:r>
      <w:r>
        <w:rPr>
          <w:spacing w:val="-7"/>
        </w:rPr>
        <w:t> </w:t>
      </w:r>
      <w:r>
        <w:rPr/>
        <w:t>and for</w:t>
      </w:r>
      <w:r>
        <w:rPr>
          <w:spacing w:val="-2"/>
        </w:rPr>
        <w:t> </w:t>
      </w:r>
      <w:r>
        <w:rPr/>
        <w:t>arsenic</w:t>
      </w:r>
      <w:r>
        <w:rPr>
          <w:spacing w:val="-4"/>
        </w:rPr>
        <w:t> </w:t>
      </w:r>
      <w:r>
        <w:rPr/>
        <w:t>concentrations</w:t>
      </w:r>
      <w:r>
        <w:rPr>
          <w:spacing w:val="-5"/>
        </w:rPr>
        <w:t> </w:t>
      </w:r>
      <w:r>
        <w:rPr/>
        <w:t>of</w:t>
      </w:r>
      <w:r>
        <w:rPr>
          <w:spacing w:val="-10"/>
        </w:rPr>
        <w:t> </w:t>
      </w:r>
      <w:r>
        <w:rPr/>
        <w:t>0.02,</w:t>
      </w:r>
      <w:r>
        <w:rPr>
          <w:spacing w:val="-1"/>
        </w:rPr>
        <w:t> </w:t>
      </w:r>
      <w:r>
        <w:rPr/>
        <w:t>0.04, 0.06, 0.08 and 0.10 mg/l were prepared respectively to obtain the</w:t>
      </w:r>
      <w:r>
        <w:rPr>
          <w:spacing w:val="40"/>
        </w:rPr>
        <w:t> </w:t>
      </w:r>
      <w:r>
        <w:rPr/>
        <w:t>calibration curves for the determination of the respective zinc, copper, nickel, lead and arsenic.</w:t>
      </w:r>
    </w:p>
    <w:p>
      <w:pPr>
        <w:spacing w:after="0" w:line="480" w:lineRule="auto"/>
        <w:sectPr>
          <w:pgSz w:w="12240" w:h="15840"/>
          <w:pgMar w:header="0" w:footer="1012" w:top="1360" w:bottom="1200" w:left="1020" w:right="720"/>
        </w:sectPr>
      </w:pPr>
    </w:p>
    <w:p>
      <w:pPr>
        <w:pStyle w:val="Heading2"/>
        <w:spacing w:before="77"/>
        <w:ind w:left="545"/>
      </w:pPr>
      <w:r>
        <w:rPr/>
        <w:t>3.4.5</w:t>
      </w:r>
      <w:r>
        <w:rPr>
          <w:spacing w:val="55"/>
        </w:rPr>
        <w:t> </w:t>
      </w:r>
      <w:r>
        <w:rPr/>
        <w:t>Validation</w:t>
      </w:r>
      <w:r>
        <w:rPr>
          <w:spacing w:val="-3"/>
        </w:rPr>
        <w:t> </w:t>
      </w:r>
      <w:r>
        <w:rPr/>
        <w:t>of</w:t>
      </w:r>
      <w:r>
        <w:rPr>
          <w:spacing w:val="-3"/>
        </w:rPr>
        <w:t> </w:t>
      </w:r>
      <w:r>
        <w:rPr/>
        <w:t>analytical</w:t>
      </w:r>
      <w:r>
        <w:rPr>
          <w:spacing w:val="-4"/>
        </w:rPr>
        <w:t> </w:t>
      </w:r>
      <w:r>
        <w:rPr>
          <w:spacing w:val="-2"/>
        </w:rPr>
        <w:t>method</w:t>
      </w:r>
    </w:p>
    <w:p>
      <w:pPr>
        <w:pStyle w:val="BodyText"/>
        <w:rPr>
          <w:b/>
        </w:rPr>
      </w:pPr>
    </w:p>
    <w:p>
      <w:pPr>
        <w:pStyle w:val="BodyText"/>
        <w:spacing w:before="2"/>
        <w:rPr>
          <w:b/>
        </w:rPr>
      </w:pPr>
    </w:p>
    <w:p>
      <w:pPr>
        <w:pStyle w:val="BodyText"/>
        <w:spacing w:line="480" w:lineRule="auto"/>
        <w:ind w:left="420" w:right="837"/>
      </w:pPr>
      <w:r>
        <w:rPr/>
        <w:t>The</w:t>
      </w:r>
      <w:r>
        <w:rPr>
          <w:spacing w:val="-4"/>
        </w:rPr>
        <w:t> </w:t>
      </w:r>
      <w:r>
        <w:rPr/>
        <w:t>validation</w:t>
      </w:r>
      <w:r>
        <w:rPr>
          <w:spacing w:val="-7"/>
        </w:rPr>
        <w:t> </w:t>
      </w:r>
      <w:r>
        <w:rPr/>
        <w:t>of</w:t>
      </w:r>
      <w:r>
        <w:rPr>
          <w:spacing w:val="-10"/>
        </w:rPr>
        <w:t> </w:t>
      </w:r>
      <w:r>
        <w:rPr/>
        <w:t>the</w:t>
      </w:r>
      <w:r>
        <w:rPr>
          <w:spacing w:val="-4"/>
        </w:rPr>
        <w:t> </w:t>
      </w:r>
      <w:r>
        <w:rPr/>
        <w:t>analytical</w:t>
      </w:r>
      <w:r>
        <w:rPr>
          <w:spacing w:val="-11"/>
        </w:rPr>
        <w:t> </w:t>
      </w:r>
      <w:r>
        <w:rPr/>
        <w:t>procedure</w:t>
      </w:r>
      <w:r>
        <w:rPr>
          <w:spacing w:val="-4"/>
        </w:rPr>
        <w:t> </w:t>
      </w:r>
      <w:r>
        <w:rPr/>
        <w:t>for</w:t>
      </w:r>
      <w:r>
        <w:rPr>
          <w:spacing w:val="-2"/>
        </w:rPr>
        <w:t> </w:t>
      </w:r>
      <w:r>
        <w:rPr/>
        <w:t>quantitative</w:t>
      </w:r>
      <w:r>
        <w:rPr>
          <w:spacing w:val="-4"/>
        </w:rPr>
        <w:t> </w:t>
      </w:r>
      <w:r>
        <w:rPr/>
        <w:t>determination</w:t>
      </w:r>
      <w:r>
        <w:rPr>
          <w:spacing w:val="-7"/>
        </w:rPr>
        <w:t> </w:t>
      </w:r>
      <w:r>
        <w:rPr/>
        <w:t>of</w:t>
      </w:r>
      <w:r>
        <w:rPr>
          <w:spacing w:val="-10"/>
        </w:rPr>
        <w:t> </w:t>
      </w:r>
      <w:r>
        <w:rPr/>
        <w:t>Zn,</w:t>
      </w:r>
      <w:r>
        <w:rPr>
          <w:spacing w:val="-1"/>
        </w:rPr>
        <w:t> </w:t>
      </w:r>
      <w:r>
        <w:rPr/>
        <w:t>Cu,</w:t>
      </w:r>
      <w:r>
        <w:rPr>
          <w:spacing w:val="-1"/>
        </w:rPr>
        <w:t> </w:t>
      </w:r>
      <w:r>
        <w:rPr/>
        <w:t>Pb,</w:t>
      </w:r>
      <w:r>
        <w:rPr>
          <w:spacing w:val="-1"/>
        </w:rPr>
        <w:t> </w:t>
      </w:r>
      <w:r>
        <w:rPr/>
        <w:t>Ni,</w:t>
      </w:r>
      <w:r>
        <w:rPr>
          <w:spacing w:val="-1"/>
        </w:rPr>
        <w:t> </w:t>
      </w:r>
      <w:r>
        <w:rPr/>
        <w:t>and As in feed and manure was performed by evaluating accuracy (recovery) and precision (repeatability and reproducibility).</w:t>
      </w:r>
    </w:p>
    <w:p>
      <w:pPr>
        <w:pStyle w:val="BodyText"/>
        <w:spacing w:before="8"/>
      </w:pPr>
    </w:p>
    <w:p>
      <w:pPr>
        <w:pStyle w:val="ListParagraph"/>
        <w:numPr>
          <w:ilvl w:val="3"/>
          <w:numId w:val="22"/>
        </w:numPr>
        <w:tabs>
          <w:tab w:pos="1202" w:val="left" w:leader="none"/>
        </w:tabs>
        <w:spacing w:line="240" w:lineRule="auto" w:before="1" w:after="0"/>
        <w:ind w:left="1202" w:right="0" w:hanging="782"/>
        <w:jc w:val="left"/>
        <w:rPr>
          <w:i/>
          <w:sz w:val="24"/>
        </w:rPr>
      </w:pPr>
      <w:r>
        <w:rPr>
          <w:i/>
          <w:sz w:val="24"/>
        </w:rPr>
        <w:t>Accuracy</w:t>
      </w:r>
      <w:r>
        <w:rPr>
          <w:i/>
          <w:spacing w:val="-4"/>
          <w:sz w:val="24"/>
        </w:rPr>
        <w:t> </w:t>
      </w:r>
      <w:r>
        <w:rPr>
          <w:i/>
          <w:sz w:val="24"/>
        </w:rPr>
        <w:t>(%</w:t>
      </w:r>
      <w:r>
        <w:rPr>
          <w:i/>
          <w:spacing w:val="-1"/>
          <w:sz w:val="24"/>
        </w:rPr>
        <w:t> </w:t>
      </w:r>
      <w:r>
        <w:rPr>
          <w:i/>
          <w:spacing w:val="-2"/>
          <w:sz w:val="24"/>
        </w:rPr>
        <w:t>recovery)</w:t>
      </w:r>
    </w:p>
    <w:p>
      <w:pPr>
        <w:pStyle w:val="BodyText"/>
        <w:spacing w:before="273"/>
        <w:rPr>
          <w:i/>
        </w:rPr>
      </w:pPr>
    </w:p>
    <w:p>
      <w:pPr>
        <w:pStyle w:val="BodyText"/>
        <w:spacing w:line="480" w:lineRule="auto"/>
        <w:ind w:left="420" w:right="731"/>
        <w:jc w:val="both"/>
      </w:pPr>
      <w:r>
        <w:rPr/>
        <w:t>A recovery experiment involving the digestion of 0.5 g of spiked powdered feed and manure samples was carried out to validate the method of analysis. The samples were spiked with</w:t>
      </w:r>
    </w:p>
    <w:p>
      <w:pPr>
        <w:pStyle w:val="BodyText"/>
        <w:spacing w:line="480" w:lineRule="auto" w:before="203"/>
        <w:ind w:left="420" w:right="724"/>
        <w:jc w:val="both"/>
      </w:pPr>
      <w:r>
        <w:rPr/>
        <w:t>1.0 mg/kg standard solutions of all metals considered in present study. All mixtures were then subjected to the digestion procedure used in present study, and then digested samples were transferred to a 10 ml volumetric flask and diluted to mark with deionized water. The resulting solutions were analyzed three times for metal concentration. The amount of spiked metal recovered after the digestion of the spiked samples was used to calculate percentage recovery</w:t>
      </w:r>
      <w:r>
        <w:rPr>
          <w:spacing w:val="-1"/>
        </w:rPr>
        <w:t> </w:t>
      </w:r>
      <w:r>
        <w:rPr/>
        <w:t>as </w:t>
      </w:r>
      <w:r>
        <w:rPr>
          <w:spacing w:val="-2"/>
        </w:rPr>
        <w:t>follows:</w:t>
      </w:r>
    </w:p>
    <w:p>
      <w:pPr>
        <w:pStyle w:val="BodyText"/>
        <w:spacing w:before="197"/>
        <w:ind w:left="3363"/>
        <w:jc w:val="both"/>
      </w:pPr>
      <w:r>
        <w:rPr/>
        <w:t>%</w:t>
      </w:r>
      <w:r>
        <w:rPr>
          <w:spacing w:val="2"/>
        </w:rPr>
        <w:t> </w:t>
      </w:r>
      <w:r>
        <w:rPr/>
        <w:t>Recovery</w:t>
      </w:r>
      <w:r>
        <w:rPr>
          <w:spacing w:val="-9"/>
        </w:rPr>
        <w:t> </w:t>
      </w:r>
      <w:r>
        <w:rPr/>
        <w:t>=</w:t>
      </w:r>
      <w:r>
        <w:rPr>
          <w:spacing w:val="2"/>
        </w:rPr>
        <w:t> </w:t>
      </w:r>
      <w:r>
        <w:rPr>
          <w:u w:val="single"/>
        </w:rPr>
        <w:t>T</w:t>
      </w:r>
      <w:r>
        <w:rPr>
          <w:spacing w:val="5"/>
          <w:u w:val="single"/>
        </w:rPr>
        <w:t> </w:t>
      </w:r>
      <w:r>
        <w:rPr>
          <w:u w:val="single"/>
        </w:rPr>
        <w:t>–</w:t>
      </w:r>
      <w:r>
        <w:rPr>
          <w:spacing w:val="1"/>
          <w:u w:val="single"/>
        </w:rPr>
        <w:t> </w:t>
      </w:r>
      <w:r>
        <w:rPr>
          <w:u w:val="single"/>
        </w:rPr>
        <w:t>C</w:t>
      </w:r>
      <w:r>
        <w:rPr>
          <w:spacing w:val="-1"/>
          <w:u w:val="single"/>
        </w:rPr>
        <w:t> </w:t>
      </w:r>
      <w:r>
        <w:rPr>
          <w:u w:val="single"/>
        </w:rPr>
        <w:t>x</w:t>
      </w:r>
      <w:r>
        <w:rPr>
          <w:spacing w:val="-3"/>
          <w:u w:val="single"/>
        </w:rPr>
        <w:t> </w:t>
      </w:r>
      <w:r>
        <w:rPr>
          <w:spacing w:val="-5"/>
          <w:u w:val="single"/>
        </w:rPr>
        <w:t>100</w:t>
      </w:r>
    </w:p>
    <w:p>
      <w:pPr>
        <w:pStyle w:val="BodyText"/>
        <w:spacing w:before="3"/>
        <w:ind w:left="216"/>
        <w:jc w:val="center"/>
      </w:pPr>
      <w:r>
        <w:rPr>
          <w:spacing w:val="-10"/>
        </w:rPr>
        <w:t>T</w:t>
      </w:r>
    </w:p>
    <w:p>
      <w:pPr>
        <w:pStyle w:val="BodyText"/>
        <w:spacing w:before="197"/>
      </w:pPr>
    </w:p>
    <w:p>
      <w:pPr>
        <w:pStyle w:val="BodyText"/>
        <w:ind w:left="1025"/>
      </w:pPr>
      <w:r>
        <w:rPr/>
        <w:t>Where</w:t>
      </w:r>
      <w:r>
        <w:rPr>
          <w:spacing w:val="-5"/>
        </w:rPr>
        <w:t> </w:t>
      </w:r>
      <w:r>
        <w:rPr>
          <w:spacing w:val="-10"/>
        </w:rPr>
        <w:t>;</w:t>
      </w:r>
    </w:p>
    <w:p>
      <w:pPr>
        <w:pStyle w:val="BodyText"/>
        <w:spacing w:before="240"/>
      </w:pPr>
    </w:p>
    <w:p>
      <w:pPr>
        <w:pStyle w:val="BodyText"/>
        <w:spacing w:line="655" w:lineRule="auto"/>
        <w:ind w:left="963" w:right="4668"/>
      </w:pPr>
      <w:r>
        <w:rPr/>
        <w:t>T</w:t>
      </w:r>
      <w:r>
        <w:rPr>
          <w:spacing w:val="40"/>
        </w:rPr>
        <w:t> </w:t>
      </w:r>
      <w:r>
        <w:rPr/>
        <w:t>=</w:t>
      </w:r>
      <w:r>
        <w:rPr>
          <w:spacing w:val="-5"/>
        </w:rPr>
        <w:t> </w:t>
      </w:r>
      <w:r>
        <w:rPr/>
        <w:t>Concentration</w:t>
      </w:r>
      <w:r>
        <w:rPr>
          <w:spacing w:val="-9"/>
        </w:rPr>
        <w:t> </w:t>
      </w:r>
      <w:r>
        <w:rPr/>
        <w:t>of</w:t>
      </w:r>
      <w:r>
        <w:rPr>
          <w:spacing w:val="-12"/>
        </w:rPr>
        <w:t> </w:t>
      </w:r>
      <w:r>
        <w:rPr/>
        <w:t>a</w:t>
      </w:r>
      <w:r>
        <w:rPr>
          <w:spacing w:val="-1"/>
        </w:rPr>
        <w:t> </w:t>
      </w:r>
      <w:r>
        <w:rPr/>
        <w:t>metal</w:t>
      </w:r>
      <w:r>
        <w:rPr>
          <w:spacing w:val="-9"/>
        </w:rPr>
        <w:t> </w:t>
      </w:r>
      <w:r>
        <w:rPr/>
        <w:t>in</w:t>
      </w:r>
      <w:r>
        <w:rPr>
          <w:spacing w:val="-9"/>
        </w:rPr>
        <w:t> </w:t>
      </w:r>
      <w:r>
        <w:rPr/>
        <w:t>treatment sample C</w:t>
      </w:r>
      <w:r>
        <w:rPr>
          <w:spacing w:val="40"/>
        </w:rPr>
        <w:t> </w:t>
      </w:r>
      <w:r>
        <w:rPr/>
        <w:t>= Concentration of a metal in control sample</w:t>
      </w:r>
    </w:p>
    <w:p>
      <w:pPr>
        <w:spacing w:after="0" w:line="655" w:lineRule="auto"/>
        <w:sectPr>
          <w:pgSz w:w="12240" w:h="15840"/>
          <w:pgMar w:header="0" w:footer="1012" w:top="1360" w:bottom="1200" w:left="1020" w:right="720"/>
        </w:sectPr>
      </w:pPr>
    </w:p>
    <w:p>
      <w:pPr>
        <w:pStyle w:val="ListParagraph"/>
        <w:numPr>
          <w:ilvl w:val="3"/>
          <w:numId w:val="22"/>
        </w:numPr>
        <w:tabs>
          <w:tab w:pos="1202" w:val="left" w:leader="none"/>
        </w:tabs>
        <w:spacing w:line="240" w:lineRule="auto" w:before="77" w:after="0"/>
        <w:ind w:left="1202" w:right="0" w:hanging="782"/>
        <w:jc w:val="left"/>
        <w:rPr>
          <w:i/>
          <w:sz w:val="24"/>
        </w:rPr>
      </w:pPr>
      <w:r>
        <w:rPr>
          <w:i/>
          <w:spacing w:val="-2"/>
          <w:sz w:val="24"/>
        </w:rPr>
        <w:t>Precision</w:t>
      </w:r>
    </w:p>
    <w:p>
      <w:pPr>
        <w:pStyle w:val="BodyText"/>
        <w:spacing w:before="273"/>
        <w:rPr>
          <w:i/>
        </w:rPr>
      </w:pPr>
    </w:p>
    <w:p>
      <w:pPr>
        <w:pStyle w:val="BodyText"/>
        <w:spacing w:line="480" w:lineRule="auto"/>
        <w:ind w:left="420" w:right="765"/>
      </w:pPr>
      <w:r>
        <w:rPr/>
        <w:t>The</w:t>
      </w:r>
      <w:r>
        <w:rPr>
          <w:spacing w:val="-4"/>
        </w:rPr>
        <w:t> </w:t>
      </w:r>
      <w:r>
        <w:rPr/>
        <w:t>precision</w:t>
      </w:r>
      <w:r>
        <w:rPr>
          <w:spacing w:val="-7"/>
        </w:rPr>
        <w:t> </w:t>
      </w:r>
      <w:r>
        <w:rPr/>
        <w:t>was</w:t>
      </w:r>
      <w:r>
        <w:rPr>
          <w:spacing w:val="-5"/>
        </w:rPr>
        <w:t> </w:t>
      </w:r>
      <w:r>
        <w:rPr/>
        <w:t>determined by</w:t>
      </w:r>
      <w:r>
        <w:rPr>
          <w:spacing w:val="-12"/>
        </w:rPr>
        <w:t> </w:t>
      </w:r>
      <w:r>
        <w:rPr/>
        <w:t>assessing</w:t>
      </w:r>
      <w:r>
        <w:rPr>
          <w:spacing w:val="-3"/>
        </w:rPr>
        <w:t> </w:t>
      </w:r>
      <w:r>
        <w:rPr/>
        <w:t>the</w:t>
      </w:r>
      <w:r>
        <w:rPr>
          <w:spacing w:val="-4"/>
        </w:rPr>
        <w:t> </w:t>
      </w:r>
      <w:r>
        <w:rPr/>
        <w:t>repeatability and</w:t>
      </w:r>
      <w:r>
        <w:rPr>
          <w:spacing w:val="-3"/>
        </w:rPr>
        <w:t> </w:t>
      </w:r>
      <w:r>
        <w:rPr/>
        <w:t>reproducibility</w:t>
      </w:r>
      <w:r>
        <w:rPr>
          <w:spacing w:val="-7"/>
        </w:rPr>
        <w:t> </w:t>
      </w:r>
      <w:r>
        <w:rPr/>
        <w:t>of</w:t>
      </w:r>
      <w:r>
        <w:rPr>
          <w:spacing w:val="-6"/>
        </w:rPr>
        <w:t> </w:t>
      </w:r>
      <w:r>
        <w:rPr/>
        <w:t>instrument response to analyte. In order to assess the repeatability, measurements were done for three different concentrations levels (0.5, 1.0, and 1.5 mg/kg), and in each level, the analysis was performed with six replicates. The steps were repeated on two other occasions. The mean concentration, relative standard deviation and the coefficient of variation (precision) were </w:t>
      </w:r>
      <w:r>
        <w:rPr>
          <w:spacing w:val="-2"/>
        </w:rPr>
        <w:t>calculated.</w:t>
      </w:r>
    </w:p>
    <w:p>
      <w:pPr>
        <w:pStyle w:val="BodyText"/>
        <w:spacing w:line="275" w:lineRule="exact" w:before="204"/>
        <w:ind w:left="420"/>
      </w:pPr>
      <w:r>
        <w:rPr/>
        <w:t>Coefficient of</w:t>
      </w:r>
      <w:r>
        <w:rPr>
          <w:spacing w:val="-8"/>
        </w:rPr>
        <w:t> </w:t>
      </w:r>
      <w:r>
        <w:rPr/>
        <w:t>Variation </w:t>
      </w:r>
      <w:r>
        <w:rPr>
          <w:u w:val="single"/>
        </w:rPr>
        <w:t>=</w:t>
      </w:r>
      <w:r>
        <w:rPr>
          <w:spacing w:val="-1"/>
          <w:u w:val="single"/>
        </w:rPr>
        <w:t> </w:t>
      </w:r>
      <w:r>
        <w:rPr>
          <w:u w:val="single"/>
        </w:rPr>
        <w:t>SD</w:t>
      </w:r>
      <w:r>
        <w:rPr>
          <w:spacing w:val="-1"/>
          <w:u w:val="single"/>
        </w:rPr>
        <w:t> </w:t>
      </w:r>
      <w:r>
        <w:rPr>
          <w:u w:val="single"/>
        </w:rPr>
        <w:t>x</w:t>
      </w:r>
      <w:r>
        <w:rPr>
          <w:spacing w:val="-4"/>
          <w:u w:val="single"/>
        </w:rPr>
        <w:t> </w:t>
      </w:r>
      <w:r>
        <w:rPr>
          <w:spacing w:val="-5"/>
          <w:u w:val="single"/>
        </w:rPr>
        <w:t>100</w:t>
      </w:r>
    </w:p>
    <w:p>
      <w:pPr>
        <w:pStyle w:val="BodyText"/>
        <w:spacing w:line="275" w:lineRule="exact"/>
        <w:ind w:left="3426"/>
      </w:pPr>
      <w:r>
        <w:rPr>
          <w:spacing w:val="-10"/>
        </w:rPr>
        <w:t>X</w:t>
      </w:r>
    </w:p>
    <w:p>
      <w:pPr>
        <w:pStyle w:val="BodyText"/>
        <w:spacing w:before="2"/>
        <w:ind w:left="420"/>
      </w:pPr>
      <w:r>
        <w:rPr>
          <w:spacing w:val="-2"/>
        </w:rPr>
        <w:t>Where;</w:t>
      </w:r>
    </w:p>
    <w:p>
      <w:pPr>
        <w:pStyle w:val="BodyText"/>
      </w:pPr>
    </w:p>
    <w:p>
      <w:pPr>
        <w:pStyle w:val="BodyText"/>
        <w:spacing w:line="480" w:lineRule="auto"/>
        <w:ind w:left="420" w:right="7485"/>
      </w:pPr>
      <w:r>
        <w:rPr/>
        <w:t>S.D</w:t>
      </w:r>
      <w:r>
        <w:rPr>
          <w:spacing w:val="-13"/>
        </w:rPr>
        <w:t> </w:t>
      </w:r>
      <w:r>
        <w:rPr/>
        <w:t>=</w:t>
      </w:r>
      <w:r>
        <w:rPr>
          <w:spacing w:val="-15"/>
        </w:rPr>
        <w:t> </w:t>
      </w:r>
      <w:r>
        <w:rPr/>
        <w:t>Standard</w:t>
      </w:r>
      <w:r>
        <w:rPr>
          <w:spacing w:val="-12"/>
        </w:rPr>
        <w:t> </w:t>
      </w:r>
      <w:r>
        <w:rPr/>
        <w:t>Deviation X = Mean value</w:t>
      </w:r>
    </w:p>
    <w:p>
      <w:pPr>
        <w:spacing w:after="0" w:line="480" w:lineRule="auto"/>
        <w:sectPr>
          <w:pgSz w:w="12240" w:h="15840"/>
          <w:pgMar w:header="0" w:footer="1012" w:top="1360" w:bottom="1200" w:left="1020" w:right="720"/>
        </w:sectPr>
      </w:pPr>
    </w:p>
    <w:p>
      <w:pPr>
        <w:pStyle w:val="Heading1"/>
        <w:spacing w:line="535" w:lineRule="auto" w:before="72"/>
        <w:ind w:left="3483" w:right="5281" w:hanging="183"/>
      </w:pPr>
      <w:r>
        <w:rPr/>
        <w:t>CHAPTER</w:t>
      </w:r>
      <w:r>
        <w:rPr>
          <w:spacing w:val="-15"/>
        </w:rPr>
        <w:t> </w:t>
      </w:r>
      <w:r>
        <w:rPr/>
        <w:t>FOUR </w:t>
      </w:r>
      <w:r>
        <w:rPr>
          <w:spacing w:val="-2"/>
        </w:rPr>
        <w:t>RESULTS</w:t>
      </w:r>
    </w:p>
    <w:p>
      <w:pPr>
        <w:pStyle w:val="Heading2"/>
        <w:numPr>
          <w:ilvl w:val="1"/>
          <w:numId w:val="23"/>
        </w:numPr>
        <w:tabs>
          <w:tab w:pos="899" w:val="left" w:leader="none"/>
        </w:tabs>
        <w:spacing w:line="275" w:lineRule="exact" w:before="0" w:after="0"/>
        <w:ind w:left="899" w:right="0" w:hanging="479"/>
        <w:jc w:val="left"/>
      </w:pPr>
      <w:bookmarkStart w:name="_TOC_250008" w:id="21"/>
      <w:r>
        <w:rPr/>
        <w:t>Method</w:t>
      </w:r>
      <w:r>
        <w:rPr>
          <w:spacing w:val="1"/>
        </w:rPr>
        <w:t> </w:t>
      </w:r>
      <w:bookmarkEnd w:id="21"/>
      <w:r>
        <w:rPr>
          <w:spacing w:val="-2"/>
        </w:rPr>
        <w:t>Validation</w:t>
      </w:r>
    </w:p>
    <w:p>
      <w:pPr>
        <w:pStyle w:val="BodyText"/>
        <w:spacing w:before="62"/>
        <w:rPr>
          <w:b/>
        </w:rPr>
      </w:pPr>
    </w:p>
    <w:p>
      <w:pPr>
        <w:pStyle w:val="BodyText"/>
        <w:spacing w:line="355" w:lineRule="auto"/>
        <w:ind w:left="420" w:right="600"/>
      </w:pPr>
      <w:r>
        <w:rPr/>
        <w:t>The</w:t>
      </w:r>
      <w:r>
        <w:rPr>
          <w:spacing w:val="33"/>
        </w:rPr>
        <w:t> </w:t>
      </w:r>
      <w:r>
        <w:rPr/>
        <w:t>results</w:t>
      </w:r>
      <w:r>
        <w:rPr>
          <w:spacing w:val="37"/>
        </w:rPr>
        <w:t> </w:t>
      </w:r>
      <w:r>
        <w:rPr/>
        <w:t>of</w:t>
      </w:r>
      <w:r>
        <w:rPr>
          <w:spacing w:val="26"/>
        </w:rPr>
        <w:t> </w:t>
      </w:r>
      <w:r>
        <w:rPr/>
        <w:t>the</w:t>
      </w:r>
      <w:r>
        <w:rPr>
          <w:spacing w:val="38"/>
        </w:rPr>
        <w:t> </w:t>
      </w:r>
      <w:r>
        <w:rPr/>
        <w:t>percentage</w:t>
      </w:r>
      <w:r>
        <w:rPr>
          <w:spacing w:val="33"/>
        </w:rPr>
        <w:t> </w:t>
      </w:r>
      <w:r>
        <w:rPr/>
        <w:t>extraction</w:t>
      </w:r>
      <w:r>
        <w:rPr>
          <w:spacing w:val="29"/>
        </w:rPr>
        <w:t> </w:t>
      </w:r>
      <w:r>
        <w:rPr/>
        <w:t>recovery</w:t>
      </w:r>
      <w:r>
        <w:rPr>
          <w:spacing w:val="34"/>
        </w:rPr>
        <w:t> </w:t>
      </w:r>
      <w:r>
        <w:rPr/>
        <w:t>and</w:t>
      </w:r>
      <w:r>
        <w:rPr>
          <w:spacing w:val="34"/>
        </w:rPr>
        <w:t> </w:t>
      </w:r>
      <w:r>
        <w:rPr/>
        <w:t>precision</w:t>
      </w:r>
      <w:r>
        <w:rPr>
          <w:spacing w:val="29"/>
        </w:rPr>
        <w:t> </w:t>
      </w:r>
      <w:r>
        <w:rPr/>
        <w:t>of</w:t>
      </w:r>
      <w:r>
        <w:rPr>
          <w:spacing w:val="26"/>
        </w:rPr>
        <w:t> </w:t>
      </w:r>
      <w:r>
        <w:rPr/>
        <w:t>the</w:t>
      </w:r>
      <w:r>
        <w:rPr>
          <w:spacing w:val="33"/>
        </w:rPr>
        <w:t> </w:t>
      </w:r>
      <w:r>
        <w:rPr/>
        <w:t>analytical</w:t>
      </w:r>
      <w:r>
        <w:rPr>
          <w:spacing w:val="30"/>
        </w:rPr>
        <w:t> </w:t>
      </w:r>
      <w:r>
        <w:rPr/>
        <w:t>procedure</w:t>
      </w:r>
      <w:r>
        <w:rPr>
          <w:spacing w:val="38"/>
        </w:rPr>
        <w:t> </w:t>
      </w:r>
      <w:r>
        <w:rPr/>
        <w:t>is shown in table 4.1 below.</w:t>
      </w:r>
    </w:p>
    <w:p>
      <w:pPr>
        <w:pStyle w:val="BodyText"/>
        <w:spacing w:before="251"/>
      </w:pPr>
    </w:p>
    <w:p>
      <w:pPr>
        <w:pStyle w:val="Heading2"/>
        <w:spacing w:line="484" w:lineRule="auto" w:before="1"/>
        <w:ind w:right="765"/>
      </w:pPr>
      <w:r>
        <w:rPr/>
        <w:t>Table 4</w:t>
      </w:r>
      <w:r>
        <w:rPr>
          <w:b w:val="0"/>
        </w:rPr>
        <w:t>.1 </w:t>
      </w:r>
      <w:r>
        <w:rPr/>
        <w:t>Mean Percentage recovery and Precision for Zn, Cu, Ni, Pb and As in feeds and manure samples</w:t>
      </w:r>
    </w:p>
    <w:p>
      <w:pPr>
        <w:pStyle w:val="BodyText"/>
        <w:spacing w:before="41"/>
        <w:rPr>
          <w:b/>
          <w:sz w:val="20"/>
        </w:rPr>
      </w:pPr>
    </w:p>
    <w:tbl>
      <w:tblPr>
        <w:tblW w:w="0" w:type="auto"/>
        <w:jc w:val="left"/>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1818"/>
        <w:gridCol w:w="1575"/>
        <w:gridCol w:w="1204"/>
        <w:gridCol w:w="1664"/>
        <w:gridCol w:w="1777"/>
      </w:tblGrid>
      <w:tr>
        <w:trPr>
          <w:trHeight w:val="830" w:hRule="atLeast"/>
        </w:trPr>
        <w:tc>
          <w:tcPr>
            <w:tcW w:w="1191" w:type="dxa"/>
            <w:tcBorders>
              <w:top w:val="single" w:sz="4" w:space="0" w:color="000000"/>
              <w:bottom w:val="single" w:sz="4" w:space="0" w:color="000000"/>
            </w:tcBorders>
          </w:tcPr>
          <w:p>
            <w:pPr>
              <w:pStyle w:val="TableParagraph"/>
              <w:spacing w:line="273" w:lineRule="exact" w:before="0"/>
              <w:ind w:left="117"/>
              <w:rPr>
                <w:sz w:val="24"/>
              </w:rPr>
            </w:pPr>
            <w:r>
              <w:rPr>
                <w:spacing w:val="-2"/>
                <w:sz w:val="24"/>
              </w:rPr>
              <w:t>Metals</w:t>
            </w:r>
          </w:p>
        </w:tc>
        <w:tc>
          <w:tcPr>
            <w:tcW w:w="3393" w:type="dxa"/>
            <w:gridSpan w:val="2"/>
            <w:tcBorders>
              <w:top w:val="single" w:sz="4" w:space="0" w:color="000000"/>
              <w:bottom w:val="single" w:sz="4" w:space="0" w:color="000000"/>
            </w:tcBorders>
          </w:tcPr>
          <w:p>
            <w:pPr>
              <w:pStyle w:val="TableParagraph"/>
              <w:spacing w:line="273" w:lineRule="exact" w:before="0"/>
              <w:ind w:left="424"/>
              <w:rPr>
                <w:sz w:val="24"/>
              </w:rPr>
            </w:pPr>
            <w:r>
              <w:rPr>
                <w:sz w:val="24"/>
              </w:rPr>
              <w:t>Percentage</w:t>
            </w:r>
            <w:r>
              <w:rPr>
                <w:spacing w:val="1"/>
                <w:sz w:val="24"/>
              </w:rPr>
              <w:t> </w:t>
            </w:r>
            <w:r>
              <w:rPr>
                <w:sz w:val="24"/>
              </w:rPr>
              <w:t>recovery</w:t>
            </w:r>
            <w:r>
              <w:rPr>
                <w:spacing w:val="-8"/>
                <w:sz w:val="24"/>
              </w:rPr>
              <w:t> </w:t>
            </w:r>
            <w:r>
              <w:rPr>
                <w:spacing w:val="-5"/>
                <w:sz w:val="24"/>
              </w:rPr>
              <w:t>(%)</w:t>
            </w:r>
          </w:p>
          <w:p>
            <w:pPr>
              <w:pStyle w:val="TableParagraph"/>
              <w:spacing w:before="137"/>
              <w:ind w:left="424"/>
              <w:rPr>
                <w:sz w:val="24"/>
              </w:rPr>
            </w:pPr>
            <w:r>
              <w:rPr>
                <w:spacing w:val="-5"/>
                <w:sz w:val="24"/>
              </w:rPr>
              <w:t>N=3</w:t>
            </w:r>
          </w:p>
        </w:tc>
        <w:tc>
          <w:tcPr>
            <w:tcW w:w="2868" w:type="dxa"/>
            <w:gridSpan w:val="2"/>
            <w:tcBorders>
              <w:top w:val="single" w:sz="4" w:space="0" w:color="000000"/>
              <w:bottom w:val="single" w:sz="4" w:space="0" w:color="000000"/>
            </w:tcBorders>
          </w:tcPr>
          <w:p>
            <w:pPr>
              <w:pStyle w:val="TableParagraph"/>
              <w:spacing w:line="273" w:lineRule="exact" w:before="0"/>
              <w:ind w:left="181"/>
              <w:rPr>
                <w:sz w:val="24"/>
              </w:rPr>
            </w:pPr>
            <w:r>
              <w:rPr>
                <w:sz w:val="24"/>
              </w:rPr>
              <w:t>Precision</w:t>
            </w:r>
            <w:r>
              <w:rPr>
                <w:spacing w:val="-11"/>
                <w:sz w:val="24"/>
              </w:rPr>
              <w:t> </w:t>
            </w:r>
            <w:r>
              <w:rPr>
                <w:sz w:val="24"/>
              </w:rPr>
              <w:t>(Coefficient</w:t>
            </w:r>
            <w:r>
              <w:rPr>
                <w:spacing w:val="-1"/>
                <w:sz w:val="24"/>
              </w:rPr>
              <w:t> </w:t>
            </w:r>
            <w:r>
              <w:rPr>
                <w:spacing w:val="-5"/>
                <w:sz w:val="24"/>
              </w:rPr>
              <w:t>of</w:t>
            </w:r>
          </w:p>
          <w:p>
            <w:pPr>
              <w:pStyle w:val="TableParagraph"/>
              <w:spacing w:before="137"/>
              <w:ind w:left="181"/>
              <w:rPr>
                <w:sz w:val="24"/>
              </w:rPr>
            </w:pPr>
            <w:r>
              <w:rPr>
                <w:spacing w:val="-2"/>
                <w:sz w:val="24"/>
              </w:rPr>
              <w:t>variation)%</w:t>
            </w:r>
          </w:p>
        </w:tc>
        <w:tc>
          <w:tcPr>
            <w:tcW w:w="1777" w:type="dxa"/>
            <w:tcBorders>
              <w:top w:val="single" w:sz="4" w:space="0" w:color="000000"/>
              <w:bottom w:val="single" w:sz="4" w:space="0" w:color="000000"/>
            </w:tcBorders>
          </w:tcPr>
          <w:p>
            <w:pPr>
              <w:pStyle w:val="TableParagraph"/>
              <w:spacing w:line="273" w:lineRule="exact" w:before="0"/>
              <w:ind w:left="314"/>
              <w:rPr>
                <w:sz w:val="24"/>
              </w:rPr>
            </w:pPr>
            <w:r>
              <w:rPr>
                <w:spacing w:val="-2"/>
                <w:sz w:val="24"/>
              </w:rPr>
              <w:t>Wavelength</w:t>
            </w:r>
          </w:p>
          <w:p>
            <w:pPr>
              <w:pStyle w:val="TableParagraph"/>
              <w:spacing w:before="137"/>
              <w:ind w:left="314"/>
              <w:rPr>
                <w:sz w:val="24"/>
              </w:rPr>
            </w:pPr>
            <w:r>
              <w:rPr>
                <w:spacing w:val="-4"/>
                <w:sz w:val="24"/>
              </w:rPr>
              <w:t>(nm)</w:t>
            </w:r>
          </w:p>
        </w:tc>
      </w:tr>
      <w:tr>
        <w:trPr>
          <w:trHeight w:val="638" w:hRule="atLeast"/>
        </w:trPr>
        <w:tc>
          <w:tcPr>
            <w:tcW w:w="1191" w:type="dxa"/>
            <w:tcBorders>
              <w:top w:val="single" w:sz="4" w:space="0" w:color="000000"/>
              <w:bottom w:val="single" w:sz="4" w:space="0" w:color="000000"/>
            </w:tcBorders>
          </w:tcPr>
          <w:p>
            <w:pPr>
              <w:pStyle w:val="TableParagraph"/>
              <w:spacing w:before="0"/>
              <w:rPr>
                <w:sz w:val="24"/>
              </w:rPr>
            </w:pPr>
          </w:p>
        </w:tc>
        <w:tc>
          <w:tcPr>
            <w:tcW w:w="1818" w:type="dxa"/>
            <w:tcBorders>
              <w:top w:val="single" w:sz="4" w:space="0" w:color="000000"/>
              <w:bottom w:val="single" w:sz="4" w:space="0" w:color="000000"/>
            </w:tcBorders>
          </w:tcPr>
          <w:p>
            <w:pPr>
              <w:pStyle w:val="TableParagraph"/>
              <w:spacing w:line="268" w:lineRule="exact" w:before="0"/>
              <w:ind w:left="424"/>
              <w:rPr>
                <w:sz w:val="24"/>
              </w:rPr>
            </w:pPr>
            <w:r>
              <w:rPr>
                <w:spacing w:val="-2"/>
                <w:sz w:val="24"/>
              </w:rPr>
              <w:t>Feeds</w:t>
            </w:r>
          </w:p>
        </w:tc>
        <w:tc>
          <w:tcPr>
            <w:tcW w:w="1575" w:type="dxa"/>
            <w:tcBorders>
              <w:top w:val="single" w:sz="4" w:space="0" w:color="000000"/>
              <w:bottom w:val="single" w:sz="4" w:space="0" w:color="000000"/>
            </w:tcBorders>
          </w:tcPr>
          <w:p>
            <w:pPr>
              <w:pStyle w:val="TableParagraph"/>
              <w:spacing w:line="268" w:lineRule="exact" w:before="0"/>
              <w:ind w:left="181"/>
              <w:rPr>
                <w:sz w:val="24"/>
              </w:rPr>
            </w:pPr>
            <w:r>
              <w:rPr>
                <w:spacing w:val="-2"/>
                <w:sz w:val="24"/>
              </w:rPr>
              <w:t>Manures</w:t>
            </w:r>
          </w:p>
        </w:tc>
        <w:tc>
          <w:tcPr>
            <w:tcW w:w="1204" w:type="dxa"/>
            <w:tcBorders>
              <w:top w:val="single" w:sz="4" w:space="0" w:color="000000"/>
              <w:bottom w:val="single" w:sz="4" w:space="0" w:color="000000"/>
            </w:tcBorders>
          </w:tcPr>
          <w:p>
            <w:pPr>
              <w:pStyle w:val="TableParagraph"/>
              <w:spacing w:line="268" w:lineRule="exact" w:before="0"/>
              <w:ind w:left="181"/>
              <w:rPr>
                <w:sz w:val="24"/>
              </w:rPr>
            </w:pPr>
            <w:r>
              <w:rPr>
                <w:spacing w:val="-2"/>
                <w:sz w:val="24"/>
              </w:rPr>
              <w:t>Feeds</w:t>
            </w:r>
          </w:p>
        </w:tc>
        <w:tc>
          <w:tcPr>
            <w:tcW w:w="1664" w:type="dxa"/>
            <w:tcBorders>
              <w:top w:val="single" w:sz="4" w:space="0" w:color="000000"/>
              <w:bottom w:val="single" w:sz="4" w:space="0" w:color="000000"/>
            </w:tcBorders>
          </w:tcPr>
          <w:p>
            <w:pPr>
              <w:pStyle w:val="TableParagraph"/>
              <w:spacing w:line="268" w:lineRule="exact" w:before="0"/>
              <w:ind w:left="466"/>
              <w:rPr>
                <w:sz w:val="24"/>
              </w:rPr>
            </w:pPr>
            <w:r>
              <w:rPr>
                <w:spacing w:val="-2"/>
                <w:sz w:val="24"/>
              </w:rPr>
              <w:t>Manure</w:t>
            </w:r>
          </w:p>
        </w:tc>
        <w:tc>
          <w:tcPr>
            <w:tcW w:w="1777" w:type="dxa"/>
            <w:tcBorders>
              <w:top w:val="single" w:sz="4" w:space="0" w:color="000000"/>
              <w:bottom w:val="single" w:sz="4" w:space="0" w:color="000000"/>
            </w:tcBorders>
          </w:tcPr>
          <w:p>
            <w:pPr>
              <w:pStyle w:val="TableParagraph"/>
              <w:spacing w:before="0"/>
              <w:rPr>
                <w:sz w:val="24"/>
              </w:rPr>
            </w:pPr>
          </w:p>
        </w:tc>
      </w:tr>
      <w:tr>
        <w:trPr>
          <w:trHeight w:val="411" w:hRule="atLeast"/>
        </w:trPr>
        <w:tc>
          <w:tcPr>
            <w:tcW w:w="1191" w:type="dxa"/>
            <w:tcBorders>
              <w:top w:val="single" w:sz="4" w:space="0" w:color="000000"/>
            </w:tcBorders>
          </w:tcPr>
          <w:p>
            <w:pPr>
              <w:pStyle w:val="TableParagraph"/>
              <w:spacing w:line="268" w:lineRule="exact" w:before="0"/>
              <w:ind w:left="117"/>
              <w:rPr>
                <w:sz w:val="24"/>
              </w:rPr>
            </w:pPr>
            <w:r>
              <w:rPr>
                <w:spacing w:val="-5"/>
                <w:sz w:val="24"/>
              </w:rPr>
              <w:t>Zn</w:t>
            </w:r>
          </w:p>
        </w:tc>
        <w:tc>
          <w:tcPr>
            <w:tcW w:w="1818" w:type="dxa"/>
            <w:tcBorders>
              <w:top w:val="single" w:sz="4" w:space="0" w:color="000000"/>
            </w:tcBorders>
          </w:tcPr>
          <w:p>
            <w:pPr>
              <w:pStyle w:val="TableParagraph"/>
              <w:spacing w:line="268" w:lineRule="exact" w:before="0"/>
              <w:ind w:left="424"/>
              <w:rPr>
                <w:sz w:val="24"/>
              </w:rPr>
            </w:pPr>
            <w:r>
              <w:rPr>
                <w:spacing w:val="-2"/>
                <w:sz w:val="24"/>
              </w:rPr>
              <w:t>97.45±1.38</w:t>
            </w:r>
          </w:p>
        </w:tc>
        <w:tc>
          <w:tcPr>
            <w:tcW w:w="1575" w:type="dxa"/>
            <w:tcBorders>
              <w:top w:val="single" w:sz="4" w:space="0" w:color="000000"/>
            </w:tcBorders>
          </w:tcPr>
          <w:p>
            <w:pPr>
              <w:pStyle w:val="TableParagraph"/>
              <w:spacing w:line="268" w:lineRule="exact" w:before="0"/>
              <w:ind w:left="181"/>
              <w:rPr>
                <w:sz w:val="24"/>
              </w:rPr>
            </w:pPr>
            <w:r>
              <w:rPr>
                <w:spacing w:val="-2"/>
                <w:sz w:val="24"/>
              </w:rPr>
              <w:t>98.03±0.06</w:t>
            </w:r>
          </w:p>
        </w:tc>
        <w:tc>
          <w:tcPr>
            <w:tcW w:w="1204" w:type="dxa"/>
            <w:tcBorders>
              <w:top w:val="single" w:sz="4" w:space="0" w:color="000000"/>
            </w:tcBorders>
          </w:tcPr>
          <w:p>
            <w:pPr>
              <w:pStyle w:val="TableParagraph"/>
              <w:spacing w:line="268" w:lineRule="exact" w:before="0"/>
              <w:ind w:left="181"/>
              <w:rPr>
                <w:sz w:val="24"/>
              </w:rPr>
            </w:pPr>
            <w:r>
              <w:rPr>
                <w:spacing w:val="-4"/>
                <w:sz w:val="24"/>
              </w:rPr>
              <w:t>1.24</w:t>
            </w:r>
          </w:p>
        </w:tc>
        <w:tc>
          <w:tcPr>
            <w:tcW w:w="1664" w:type="dxa"/>
            <w:tcBorders>
              <w:top w:val="single" w:sz="4" w:space="0" w:color="000000"/>
            </w:tcBorders>
          </w:tcPr>
          <w:p>
            <w:pPr>
              <w:pStyle w:val="TableParagraph"/>
              <w:spacing w:line="268" w:lineRule="exact" w:before="0"/>
              <w:ind w:left="466"/>
              <w:rPr>
                <w:sz w:val="24"/>
              </w:rPr>
            </w:pPr>
            <w:r>
              <w:rPr>
                <w:spacing w:val="-4"/>
                <w:sz w:val="24"/>
              </w:rPr>
              <w:t>1.64</w:t>
            </w:r>
          </w:p>
        </w:tc>
        <w:tc>
          <w:tcPr>
            <w:tcW w:w="1777" w:type="dxa"/>
            <w:tcBorders>
              <w:top w:val="single" w:sz="4" w:space="0" w:color="000000"/>
            </w:tcBorders>
          </w:tcPr>
          <w:p>
            <w:pPr>
              <w:pStyle w:val="TableParagraph"/>
              <w:spacing w:line="268" w:lineRule="exact" w:before="0"/>
              <w:ind w:left="314"/>
              <w:rPr>
                <w:sz w:val="24"/>
              </w:rPr>
            </w:pPr>
            <w:r>
              <w:rPr>
                <w:spacing w:val="-2"/>
                <w:sz w:val="24"/>
              </w:rPr>
              <w:t>232.1</w:t>
            </w:r>
          </w:p>
        </w:tc>
      </w:tr>
      <w:tr>
        <w:trPr>
          <w:trHeight w:val="551" w:hRule="atLeast"/>
        </w:trPr>
        <w:tc>
          <w:tcPr>
            <w:tcW w:w="1191" w:type="dxa"/>
          </w:tcPr>
          <w:p>
            <w:pPr>
              <w:pStyle w:val="TableParagraph"/>
              <w:ind w:left="117"/>
              <w:rPr>
                <w:sz w:val="24"/>
              </w:rPr>
            </w:pPr>
            <w:r>
              <w:rPr>
                <w:spacing w:val="-5"/>
                <w:sz w:val="24"/>
              </w:rPr>
              <w:t>Cu</w:t>
            </w:r>
          </w:p>
        </w:tc>
        <w:tc>
          <w:tcPr>
            <w:tcW w:w="1818" w:type="dxa"/>
          </w:tcPr>
          <w:p>
            <w:pPr>
              <w:pStyle w:val="TableParagraph"/>
              <w:ind w:left="424"/>
              <w:rPr>
                <w:sz w:val="24"/>
              </w:rPr>
            </w:pPr>
            <w:r>
              <w:rPr>
                <w:spacing w:val="-2"/>
                <w:sz w:val="24"/>
              </w:rPr>
              <w:t>92.07±1.41</w:t>
            </w:r>
          </w:p>
        </w:tc>
        <w:tc>
          <w:tcPr>
            <w:tcW w:w="1575" w:type="dxa"/>
          </w:tcPr>
          <w:p>
            <w:pPr>
              <w:pStyle w:val="TableParagraph"/>
              <w:ind w:left="181"/>
              <w:rPr>
                <w:sz w:val="24"/>
              </w:rPr>
            </w:pPr>
            <w:r>
              <w:rPr>
                <w:spacing w:val="-2"/>
                <w:sz w:val="24"/>
              </w:rPr>
              <w:t>103.13±1.42</w:t>
            </w:r>
          </w:p>
        </w:tc>
        <w:tc>
          <w:tcPr>
            <w:tcW w:w="1204" w:type="dxa"/>
          </w:tcPr>
          <w:p>
            <w:pPr>
              <w:pStyle w:val="TableParagraph"/>
              <w:ind w:left="181"/>
              <w:rPr>
                <w:sz w:val="24"/>
              </w:rPr>
            </w:pPr>
            <w:r>
              <w:rPr>
                <w:spacing w:val="-4"/>
                <w:sz w:val="24"/>
              </w:rPr>
              <w:t>1.05</w:t>
            </w:r>
          </w:p>
        </w:tc>
        <w:tc>
          <w:tcPr>
            <w:tcW w:w="1664" w:type="dxa"/>
          </w:tcPr>
          <w:p>
            <w:pPr>
              <w:pStyle w:val="TableParagraph"/>
              <w:ind w:left="466"/>
              <w:rPr>
                <w:sz w:val="24"/>
              </w:rPr>
            </w:pPr>
            <w:r>
              <w:rPr>
                <w:spacing w:val="-4"/>
                <w:sz w:val="24"/>
              </w:rPr>
              <w:t>1.07</w:t>
            </w:r>
          </w:p>
        </w:tc>
        <w:tc>
          <w:tcPr>
            <w:tcW w:w="1777" w:type="dxa"/>
          </w:tcPr>
          <w:p>
            <w:pPr>
              <w:pStyle w:val="TableParagraph"/>
              <w:ind w:left="314"/>
              <w:rPr>
                <w:sz w:val="24"/>
              </w:rPr>
            </w:pPr>
            <w:r>
              <w:rPr>
                <w:spacing w:val="-2"/>
                <w:sz w:val="24"/>
              </w:rPr>
              <w:t>283.3</w:t>
            </w:r>
          </w:p>
        </w:tc>
      </w:tr>
      <w:tr>
        <w:trPr>
          <w:trHeight w:val="552" w:hRule="atLeast"/>
        </w:trPr>
        <w:tc>
          <w:tcPr>
            <w:tcW w:w="1191" w:type="dxa"/>
          </w:tcPr>
          <w:p>
            <w:pPr>
              <w:pStyle w:val="TableParagraph"/>
              <w:ind w:left="117"/>
              <w:rPr>
                <w:sz w:val="24"/>
              </w:rPr>
            </w:pPr>
            <w:r>
              <w:rPr>
                <w:spacing w:val="-5"/>
                <w:sz w:val="24"/>
              </w:rPr>
              <w:t>Ni</w:t>
            </w:r>
          </w:p>
        </w:tc>
        <w:tc>
          <w:tcPr>
            <w:tcW w:w="1818" w:type="dxa"/>
          </w:tcPr>
          <w:p>
            <w:pPr>
              <w:pStyle w:val="TableParagraph"/>
              <w:ind w:left="424"/>
              <w:rPr>
                <w:sz w:val="24"/>
              </w:rPr>
            </w:pPr>
            <w:r>
              <w:rPr>
                <w:spacing w:val="-2"/>
                <w:sz w:val="24"/>
              </w:rPr>
              <w:t>98.51±2.13</w:t>
            </w:r>
          </w:p>
        </w:tc>
        <w:tc>
          <w:tcPr>
            <w:tcW w:w="1575" w:type="dxa"/>
          </w:tcPr>
          <w:p>
            <w:pPr>
              <w:pStyle w:val="TableParagraph"/>
              <w:ind w:left="181"/>
              <w:rPr>
                <w:sz w:val="24"/>
              </w:rPr>
            </w:pPr>
            <w:r>
              <w:rPr>
                <w:spacing w:val="-2"/>
                <w:sz w:val="24"/>
              </w:rPr>
              <w:t>93.60±0.22</w:t>
            </w:r>
          </w:p>
        </w:tc>
        <w:tc>
          <w:tcPr>
            <w:tcW w:w="1204" w:type="dxa"/>
          </w:tcPr>
          <w:p>
            <w:pPr>
              <w:pStyle w:val="TableParagraph"/>
              <w:ind w:left="181"/>
              <w:rPr>
                <w:sz w:val="24"/>
              </w:rPr>
            </w:pPr>
            <w:r>
              <w:rPr>
                <w:spacing w:val="-4"/>
                <w:sz w:val="24"/>
              </w:rPr>
              <w:t>1.57</w:t>
            </w:r>
          </w:p>
        </w:tc>
        <w:tc>
          <w:tcPr>
            <w:tcW w:w="1664" w:type="dxa"/>
          </w:tcPr>
          <w:p>
            <w:pPr>
              <w:pStyle w:val="TableParagraph"/>
              <w:ind w:left="466"/>
              <w:rPr>
                <w:sz w:val="24"/>
              </w:rPr>
            </w:pPr>
            <w:r>
              <w:rPr>
                <w:spacing w:val="-4"/>
                <w:sz w:val="24"/>
              </w:rPr>
              <w:t>0.58</w:t>
            </w:r>
          </w:p>
        </w:tc>
        <w:tc>
          <w:tcPr>
            <w:tcW w:w="1777" w:type="dxa"/>
          </w:tcPr>
          <w:p>
            <w:pPr>
              <w:pStyle w:val="TableParagraph"/>
              <w:ind w:left="314"/>
              <w:rPr>
                <w:sz w:val="24"/>
              </w:rPr>
            </w:pPr>
            <w:r>
              <w:rPr>
                <w:spacing w:val="-2"/>
                <w:sz w:val="24"/>
              </w:rPr>
              <w:t>193.7</w:t>
            </w:r>
          </w:p>
        </w:tc>
      </w:tr>
      <w:tr>
        <w:trPr>
          <w:trHeight w:val="552" w:hRule="atLeast"/>
        </w:trPr>
        <w:tc>
          <w:tcPr>
            <w:tcW w:w="1191" w:type="dxa"/>
          </w:tcPr>
          <w:p>
            <w:pPr>
              <w:pStyle w:val="TableParagraph"/>
              <w:ind w:left="117"/>
              <w:rPr>
                <w:sz w:val="24"/>
              </w:rPr>
            </w:pPr>
            <w:r>
              <w:rPr>
                <w:spacing w:val="-5"/>
                <w:sz w:val="24"/>
              </w:rPr>
              <w:t>Pb</w:t>
            </w:r>
          </w:p>
        </w:tc>
        <w:tc>
          <w:tcPr>
            <w:tcW w:w="1818" w:type="dxa"/>
          </w:tcPr>
          <w:p>
            <w:pPr>
              <w:pStyle w:val="TableParagraph"/>
              <w:ind w:left="424"/>
              <w:rPr>
                <w:sz w:val="24"/>
              </w:rPr>
            </w:pPr>
            <w:r>
              <w:rPr>
                <w:spacing w:val="-2"/>
                <w:sz w:val="24"/>
              </w:rPr>
              <w:t>101.02±1.02</w:t>
            </w:r>
          </w:p>
        </w:tc>
        <w:tc>
          <w:tcPr>
            <w:tcW w:w="1575" w:type="dxa"/>
          </w:tcPr>
          <w:p>
            <w:pPr>
              <w:pStyle w:val="TableParagraph"/>
              <w:ind w:left="181"/>
              <w:rPr>
                <w:sz w:val="24"/>
              </w:rPr>
            </w:pPr>
            <w:r>
              <w:rPr>
                <w:spacing w:val="-2"/>
                <w:sz w:val="24"/>
              </w:rPr>
              <w:t>92.22±1.30</w:t>
            </w:r>
          </w:p>
        </w:tc>
        <w:tc>
          <w:tcPr>
            <w:tcW w:w="1204" w:type="dxa"/>
          </w:tcPr>
          <w:p>
            <w:pPr>
              <w:pStyle w:val="TableParagraph"/>
              <w:ind w:left="181"/>
              <w:rPr>
                <w:sz w:val="24"/>
              </w:rPr>
            </w:pPr>
            <w:r>
              <w:rPr>
                <w:spacing w:val="-4"/>
                <w:sz w:val="24"/>
              </w:rPr>
              <w:t>1.63</w:t>
            </w:r>
          </w:p>
        </w:tc>
        <w:tc>
          <w:tcPr>
            <w:tcW w:w="1664" w:type="dxa"/>
          </w:tcPr>
          <w:p>
            <w:pPr>
              <w:pStyle w:val="TableParagraph"/>
              <w:ind w:left="466"/>
              <w:rPr>
                <w:sz w:val="24"/>
              </w:rPr>
            </w:pPr>
            <w:r>
              <w:rPr>
                <w:spacing w:val="-4"/>
                <w:sz w:val="24"/>
              </w:rPr>
              <w:t>1.22</w:t>
            </w:r>
          </w:p>
        </w:tc>
        <w:tc>
          <w:tcPr>
            <w:tcW w:w="1777" w:type="dxa"/>
          </w:tcPr>
          <w:p>
            <w:pPr>
              <w:pStyle w:val="TableParagraph"/>
              <w:ind w:left="314"/>
              <w:rPr>
                <w:sz w:val="24"/>
              </w:rPr>
            </w:pPr>
            <w:r>
              <w:rPr>
                <w:spacing w:val="-2"/>
                <w:sz w:val="24"/>
              </w:rPr>
              <w:t>422.7</w:t>
            </w:r>
          </w:p>
        </w:tc>
      </w:tr>
      <w:tr>
        <w:trPr>
          <w:trHeight w:val="692" w:hRule="atLeast"/>
        </w:trPr>
        <w:tc>
          <w:tcPr>
            <w:tcW w:w="1191" w:type="dxa"/>
            <w:tcBorders>
              <w:bottom w:val="single" w:sz="4" w:space="0" w:color="000000"/>
            </w:tcBorders>
          </w:tcPr>
          <w:p>
            <w:pPr>
              <w:pStyle w:val="TableParagraph"/>
              <w:ind w:left="117"/>
              <w:rPr>
                <w:sz w:val="24"/>
              </w:rPr>
            </w:pPr>
            <w:r>
              <w:rPr>
                <w:spacing w:val="-5"/>
                <w:sz w:val="24"/>
              </w:rPr>
              <w:t>As</w:t>
            </w:r>
          </w:p>
        </w:tc>
        <w:tc>
          <w:tcPr>
            <w:tcW w:w="1818" w:type="dxa"/>
            <w:tcBorders>
              <w:bottom w:val="single" w:sz="4" w:space="0" w:color="000000"/>
            </w:tcBorders>
          </w:tcPr>
          <w:p>
            <w:pPr>
              <w:pStyle w:val="TableParagraph"/>
              <w:ind w:left="424"/>
              <w:rPr>
                <w:sz w:val="24"/>
              </w:rPr>
            </w:pPr>
            <w:r>
              <w:rPr>
                <w:spacing w:val="-2"/>
                <w:sz w:val="24"/>
              </w:rPr>
              <w:t>95.41±2.03</w:t>
            </w:r>
          </w:p>
        </w:tc>
        <w:tc>
          <w:tcPr>
            <w:tcW w:w="1575" w:type="dxa"/>
            <w:tcBorders>
              <w:bottom w:val="single" w:sz="4" w:space="0" w:color="000000"/>
            </w:tcBorders>
          </w:tcPr>
          <w:p>
            <w:pPr>
              <w:pStyle w:val="TableParagraph"/>
              <w:ind w:left="181"/>
              <w:rPr>
                <w:sz w:val="24"/>
              </w:rPr>
            </w:pPr>
            <w:r>
              <w:rPr>
                <w:spacing w:val="-2"/>
                <w:sz w:val="24"/>
              </w:rPr>
              <w:t>94.32±1.02</w:t>
            </w:r>
          </w:p>
        </w:tc>
        <w:tc>
          <w:tcPr>
            <w:tcW w:w="1204" w:type="dxa"/>
            <w:tcBorders>
              <w:bottom w:val="single" w:sz="4" w:space="0" w:color="000000"/>
            </w:tcBorders>
          </w:tcPr>
          <w:p>
            <w:pPr>
              <w:pStyle w:val="TableParagraph"/>
              <w:ind w:left="181"/>
              <w:rPr>
                <w:sz w:val="24"/>
              </w:rPr>
            </w:pPr>
            <w:r>
              <w:rPr>
                <w:spacing w:val="-4"/>
                <w:sz w:val="24"/>
              </w:rPr>
              <w:t>1.18</w:t>
            </w:r>
          </w:p>
        </w:tc>
        <w:tc>
          <w:tcPr>
            <w:tcW w:w="1664" w:type="dxa"/>
            <w:tcBorders>
              <w:bottom w:val="single" w:sz="4" w:space="0" w:color="000000"/>
            </w:tcBorders>
          </w:tcPr>
          <w:p>
            <w:pPr>
              <w:pStyle w:val="TableParagraph"/>
              <w:ind w:left="466"/>
              <w:rPr>
                <w:sz w:val="24"/>
              </w:rPr>
            </w:pPr>
            <w:r>
              <w:rPr>
                <w:spacing w:val="-4"/>
                <w:sz w:val="24"/>
              </w:rPr>
              <w:t>1.60</w:t>
            </w:r>
          </w:p>
        </w:tc>
        <w:tc>
          <w:tcPr>
            <w:tcW w:w="1777" w:type="dxa"/>
            <w:tcBorders>
              <w:bottom w:val="single" w:sz="4" w:space="0" w:color="000000"/>
            </w:tcBorders>
          </w:tcPr>
          <w:p>
            <w:pPr>
              <w:pStyle w:val="TableParagraph"/>
              <w:ind w:left="314"/>
              <w:rPr>
                <w:sz w:val="24"/>
              </w:rPr>
            </w:pPr>
            <w:r>
              <w:rPr>
                <w:spacing w:val="-2"/>
                <w:sz w:val="24"/>
              </w:rPr>
              <w:t>217.5</w:t>
            </w:r>
          </w:p>
        </w:tc>
      </w:tr>
    </w:tbl>
    <w:p>
      <w:pPr>
        <w:spacing w:after="0"/>
        <w:rPr>
          <w:sz w:val="24"/>
        </w:rPr>
        <w:sectPr>
          <w:pgSz w:w="12240" w:h="15840"/>
          <w:pgMar w:header="0" w:footer="1012" w:top="1360" w:bottom="1200" w:left="1020" w:right="720"/>
        </w:sectPr>
      </w:pPr>
    </w:p>
    <w:p>
      <w:pPr>
        <w:tabs>
          <w:tab w:pos="5153" w:val="left" w:leader="none"/>
        </w:tabs>
        <w:spacing w:line="240" w:lineRule="auto"/>
        <w:ind w:left="127" w:right="0" w:firstLine="0"/>
        <w:rPr>
          <w:sz w:val="20"/>
        </w:rPr>
      </w:pPr>
      <w:r>
        <w:rPr>
          <w:position w:val="3"/>
          <w:sz w:val="20"/>
        </w:rPr>
        <w:drawing>
          <wp:inline distT="0" distB="0" distL="0" distR="0">
            <wp:extent cx="2790106" cy="2104929"/>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70" cstate="print"/>
                    <a:stretch>
                      <a:fillRect/>
                    </a:stretch>
                  </pic:blipFill>
                  <pic:spPr>
                    <a:xfrm>
                      <a:off x="0" y="0"/>
                      <a:ext cx="2790106" cy="2104929"/>
                    </a:xfrm>
                    <a:prstGeom prst="rect">
                      <a:avLst/>
                    </a:prstGeom>
                  </pic:spPr>
                </pic:pic>
              </a:graphicData>
            </a:graphic>
          </wp:inline>
        </w:drawing>
      </w:r>
      <w:r>
        <w:rPr>
          <w:position w:val="3"/>
          <w:sz w:val="20"/>
        </w:rPr>
      </w:r>
      <w:r>
        <w:rPr>
          <w:position w:val="3"/>
          <w:sz w:val="20"/>
        </w:rPr>
        <w:tab/>
      </w:r>
      <w:r>
        <w:rPr>
          <w:sz w:val="20"/>
        </w:rPr>
        <w:drawing>
          <wp:inline distT="0" distB="0" distL="0" distR="0">
            <wp:extent cx="3027475" cy="212217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71" cstate="print"/>
                    <a:stretch>
                      <a:fillRect/>
                    </a:stretch>
                  </pic:blipFill>
                  <pic:spPr>
                    <a:xfrm>
                      <a:off x="0" y="0"/>
                      <a:ext cx="3027475" cy="2122170"/>
                    </a:xfrm>
                    <a:prstGeom prst="rect">
                      <a:avLst/>
                    </a:prstGeom>
                  </pic:spPr>
                </pic:pic>
              </a:graphicData>
            </a:graphic>
          </wp:inline>
        </w:drawing>
      </w:r>
      <w:r>
        <w:rPr>
          <w:sz w:val="20"/>
        </w:rPr>
      </w:r>
    </w:p>
    <w:p>
      <w:pPr>
        <w:tabs>
          <w:tab w:pos="5492" w:val="left" w:leader="none"/>
        </w:tabs>
        <w:spacing w:before="47"/>
        <w:ind w:left="0" w:right="1090" w:firstLine="0"/>
        <w:jc w:val="center"/>
        <w:rPr>
          <w:rFonts w:ascii="Calibri"/>
          <w:sz w:val="22"/>
        </w:rPr>
      </w:pPr>
      <w:r>
        <w:rPr>
          <w:rFonts w:ascii="Calibri"/>
          <w:spacing w:val="-10"/>
          <w:sz w:val="22"/>
        </w:rPr>
        <w:t>a</w:t>
      </w:r>
      <w:r>
        <w:rPr>
          <w:rFonts w:ascii="Calibri"/>
          <w:sz w:val="22"/>
        </w:rPr>
        <w:tab/>
      </w:r>
      <w:r>
        <w:rPr>
          <w:rFonts w:ascii="Calibri"/>
          <w:spacing w:val="-10"/>
          <w:position w:val="-7"/>
          <w:sz w:val="22"/>
        </w:rPr>
        <w:t>b</w:t>
      </w:r>
    </w:p>
    <w:p>
      <w:pPr>
        <w:pStyle w:val="BodyText"/>
        <w:spacing w:before="4"/>
        <w:rPr>
          <w:rFonts w:ascii="Calibri"/>
          <w:sz w:val="17"/>
        </w:rPr>
      </w:pPr>
      <w:r>
        <w:rPr/>
        <w:drawing>
          <wp:anchor distT="0" distB="0" distL="0" distR="0" allowOverlap="1" layoutInCell="1" locked="0" behindDoc="1" simplePos="0" relativeHeight="487591936">
            <wp:simplePos x="0" y="0"/>
            <wp:positionH relativeFrom="page">
              <wp:posOffset>719455</wp:posOffset>
            </wp:positionH>
            <wp:positionV relativeFrom="paragraph">
              <wp:posOffset>149761</wp:posOffset>
            </wp:positionV>
            <wp:extent cx="2843183" cy="172135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72" cstate="print"/>
                    <a:stretch>
                      <a:fillRect/>
                    </a:stretch>
                  </pic:blipFill>
                  <pic:spPr>
                    <a:xfrm>
                      <a:off x="0" y="0"/>
                      <a:ext cx="2843183" cy="1721357"/>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4004945</wp:posOffset>
            </wp:positionH>
            <wp:positionV relativeFrom="paragraph">
              <wp:posOffset>168049</wp:posOffset>
            </wp:positionV>
            <wp:extent cx="2861193" cy="1636014"/>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73" cstate="print"/>
                    <a:stretch>
                      <a:fillRect/>
                    </a:stretch>
                  </pic:blipFill>
                  <pic:spPr>
                    <a:xfrm>
                      <a:off x="0" y="0"/>
                      <a:ext cx="2861193" cy="1636014"/>
                    </a:xfrm>
                    <a:prstGeom prst="rect">
                      <a:avLst/>
                    </a:prstGeom>
                  </pic:spPr>
                </pic:pic>
              </a:graphicData>
            </a:graphic>
          </wp:anchor>
        </w:drawing>
      </w:r>
    </w:p>
    <w:p>
      <w:pPr>
        <w:tabs>
          <w:tab w:pos="5204" w:val="left" w:leader="none"/>
        </w:tabs>
        <w:spacing w:before="90"/>
        <w:ind w:left="0" w:right="1013" w:firstLine="0"/>
        <w:jc w:val="center"/>
        <w:rPr>
          <w:rFonts w:ascii="Calibri"/>
          <w:sz w:val="22"/>
        </w:rPr>
      </w:pPr>
      <w:r>
        <w:rPr>
          <w:rFonts w:ascii="Calibri"/>
          <w:spacing w:val="-10"/>
          <w:sz w:val="22"/>
        </w:rPr>
        <w:t>c</w:t>
      </w:r>
      <w:r>
        <w:rPr>
          <w:rFonts w:ascii="Calibri"/>
          <w:sz w:val="22"/>
        </w:rPr>
        <w:tab/>
      </w:r>
      <w:r>
        <w:rPr>
          <w:rFonts w:ascii="Calibri"/>
          <w:spacing w:val="-10"/>
          <w:sz w:val="22"/>
        </w:rPr>
        <w:t>d</w:t>
      </w:r>
    </w:p>
    <w:p>
      <w:pPr>
        <w:pStyle w:val="BodyText"/>
        <w:spacing w:before="81"/>
        <w:rPr>
          <w:rFonts w:ascii="Calibri"/>
          <w:sz w:val="20"/>
        </w:rPr>
      </w:pPr>
      <w:r>
        <w:rPr/>
        <w:drawing>
          <wp:anchor distT="0" distB="0" distL="0" distR="0" allowOverlap="1" layoutInCell="1" locked="0" behindDoc="1" simplePos="0" relativeHeight="487592960">
            <wp:simplePos x="0" y="0"/>
            <wp:positionH relativeFrom="page">
              <wp:posOffset>2045335</wp:posOffset>
            </wp:positionH>
            <wp:positionV relativeFrom="paragraph">
              <wp:posOffset>221770</wp:posOffset>
            </wp:positionV>
            <wp:extent cx="2967410" cy="1693926"/>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74" cstate="print"/>
                    <a:stretch>
                      <a:fillRect/>
                    </a:stretch>
                  </pic:blipFill>
                  <pic:spPr>
                    <a:xfrm>
                      <a:off x="0" y="0"/>
                      <a:ext cx="2967410" cy="1693926"/>
                    </a:xfrm>
                    <a:prstGeom prst="rect">
                      <a:avLst/>
                    </a:prstGeom>
                  </pic:spPr>
                </pic:pic>
              </a:graphicData>
            </a:graphic>
          </wp:anchor>
        </w:drawing>
      </w:r>
    </w:p>
    <w:p>
      <w:pPr>
        <w:spacing w:before="90"/>
        <w:ind w:left="0" w:right="1816" w:firstLine="0"/>
        <w:jc w:val="center"/>
        <w:rPr>
          <w:rFonts w:ascii="Calibri"/>
          <w:sz w:val="22"/>
        </w:rPr>
      </w:pPr>
      <w:r>
        <w:rPr>
          <w:rFonts w:ascii="Calibri"/>
          <w:spacing w:val="-10"/>
          <w:sz w:val="22"/>
        </w:rPr>
        <w:t>e</w:t>
      </w:r>
    </w:p>
    <w:p>
      <w:pPr>
        <w:pStyle w:val="BodyText"/>
        <w:spacing w:before="177"/>
        <w:rPr>
          <w:rFonts w:ascii="Calibri"/>
        </w:rPr>
      </w:pPr>
    </w:p>
    <w:p>
      <w:pPr>
        <w:pStyle w:val="BodyText"/>
        <w:spacing w:line="360" w:lineRule="auto" w:before="1"/>
        <w:ind w:left="420" w:right="719"/>
        <w:jc w:val="both"/>
      </w:pPr>
      <w:r>
        <w:rPr/>
        <w:t>Figure 3.10.</w:t>
      </w:r>
      <w:r>
        <w:rPr>
          <w:spacing w:val="40"/>
        </w:rPr>
        <w:t> </w:t>
      </w:r>
      <w:r>
        <w:rPr/>
        <w:t>Calibration curves of</w:t>
      </w:r>
      <w:r>
        <w:rPr>
          <w:spacing w:val="-3"/>
        </w:rPr>
        <w:t> </w:t>
      </w:r>
      <w:r>
        <w:rPr/>
        <w:t>the standard solutions of</w:t>
      </w:r>
      <w:r>
        <w:rPr>
          <w:spacing w:val="-3"/>
        </w:rPr>
        <w:t> </w:t>
      </w:r>
      <w:r>
        <w:rPr/>
        <w:t>(a) Zn, (b) Cu, (c) Ni, (d) Pb and (e) As for determining the concentrations of the respective metals in</w:t>
      </w:r>
      <w:r>
        <w:rPr>
          <w:spacing w:val="40"/>
        </w:rPr>
        <w:t> </w:t>
      </w:r>
      <w:r>
        <w:rPr/>
        <w:t>feeds, manure and water </w:t>
      </w:r>
      <w:r>
        <w:rPr>
          <w:spacing w:val="-2"/>
        </w:rPr>
        <w:t>samples</w:t>
      </w:r>
    </w:p>
    <w:p>
      <w:pPr>
        <w:spacing w:after="0" w:line="360" w:lineRule="auto"/>
        <w:jc w:val="both"/>
        <w:sectPr>
          <w:pgSz w:w="12240" w:h="15840"/>
          <w:pgMar w:header="0" w:footer="1012" w:top="1380" w:bottom="1200" w:left="1020" w:right="720"/>
        </w:sectPr>
      </w:pPr>
    </w:p>
    <w:p>
      <w:pPr>
        <w:pStyle w:val="Heading2"/>
        <w:numPr>
          <w:ilvl w:val="1"/>
          <w:numId w:val="23"/>
        </w:numPr>
        <w:tabs>
          <w:tab w:pos="1412" w:val="left" w:leader="none"/>
        </w:tabs>
        <w:spacing w:line="240" w:lineRule="auto" w:before="73" w:after="0"/>
        <w:ind w:left="1412" w:right="0" w:hanging="992"/>
        <w:jc w:val="both"/>
        <w:rPr>
          <w:sz w:val="28"/>
        </w:rPr>
      </w:pPr>
      <w:r>
        <w:rPr/>
        <w:t>Concentrations</w:t>
      </w:r>
      <w:r>
        <w:rPr>
          <w:spacing w:val="-3"/>
        </w:rPr>
        <w:t> </w:t>
      </w:r>
      <w:r>
        <w:rPr/>
        <w:t>of</w:t>
      </w:r>
      <w:r>
        <w:rPr>
          <w:spacing w:val="-3"/>
        </w:rPr>
        <w:t> </w:t>
      </w:r>
      <w:r>
        <w:rPr/>
        <w:t>Metals</w:t>
      </w:r>
      <w:r>
        <w:rPr>
          <w:spacing w:val="-3"/>
        </w:rPr>
        <w:t> </w:t>
      </w:r>
      <w:r>
        <w:rPr/>
        <w:t>in</w:t>
      </w:r>
      <w:r>
        <w:rPr>
          <w:spacing w:val="1"/>
        </w:rPr>
        <w:t> </w:t>
      </w:r>
      <w:r>
        <w:rPr/>
        <w:t>Fish </w:t>
      </w:r>
      <w:r>
        <w:rPr>
          <w:spacing w:val="-4"/>
        </w:rPr>
        <w:t>Feeds</w:t>
      </w:r>
    </w:p>
    <w:p>
      <w:pPr>
        <w:pStyle w:val="BodyText"/>
        <w:spacing w:line="480" w:lineRule="auto" w:before="248"/>
        <w:ind w:left="420" w:right="720"/>
        <w:jc w:val="both"/>
      </w:pPr>
      <w:r>
        <w:rPr/>
        <w:t>Results for the determination of the concentrations of Zn, Cu, Ni, Pb and As in four compound fish feeds (FA), (FB), (FC) and (FD) obtained in northern Nigeria are shown in</w:t>
      </w:r>
      <w:r>
        <w:rPr>
          <w:spacing w:val="40"/>
        </w:rPr>
        <w:t> </w:t>
      </w:r>
      <w:r>
        <w:rPr/>
        <w:t>Figures (4.1 – 4.5) below. The mean concentrations of Zn &gt; Cu &gt; Ni &gt; Pb &gt; As in all compound fish feed samples were</w:t>
      </w:r>
      <w:r>
        <w:rPr>
          <w:spacing w:val="6"/>
        </w:rPr>
        <w:t> </w:t>
      </w:r>
      <w:r>
        <w:rPr/>
        <w:t>in</w:t>
      </w:r>
      <w:r>
        <w:rPr>
          <w:spacing w:val="3"/>
        </w:rPr>
        <w:t> </w:t>
      </w:r>
      <w:r>
        <w:rPr/>
        <w:t>the</w:t>
      </w:r>
      <w:r>
        <w:rPr>
          <w:spacing w:val="1"/>
        </w:rPr>
        <w:t> </w:t>
      </w:r>
      <w:r>
        <w:rPr/>
        <w:t>ranges of</w:t>
      </w:r>
      <w:r>
        <w:rPr>
          <w:spacing w:val="-6"/>
        </w:rPr>
        <w:t> </w:t>
      </w:r>
      <w:r>
        <w:rPr/>
        <w:t>5.10</w:t>
      </w:r>
      <w:r>
        <w:rPr>
          <w:spacing w:val="3"/>
        </w:rPr>
        <w:t> </w:t>
      </w:r>
      <w:r>
        <w:rPr/>
        <w:t>±</w:t>
      </w:r>
      <w:r>
        <w:rPr>
          <w:spacing w:val="4"/>
        </w:rPr>
        <w:t> </w:t>
      </w:r>
      <w:r>
        <w:rPr/>
        <w:t>0.04</w:t>
      </w:r>
      <w:r>
        <w:rPr>
          <w:spacing w:val="2"/>
        </w:rPr>
        <w:t> </w:t>
      </w:r>
      <w:r>
        <w:rPr/>
        <w:t>to</w:t>
      </w:r>
      <w:r>
        <w:rPr>
          <w:spacing w:val="8"/>
        </w:rPr>
        <w:t> </w:t>
      </w:r>
      <w:r>
        <w:rPr/>
        <w:t>6.38</w:t>
      </w:r>
      <w:r>
        <w:rPr>
          <w:spacing w:val="-3"/>
        </w:rPr>
        <w:t> </w:t>
      </w:r>
      <w:r>
        <w:rPr/>
        <w:t>± 1.50</w:t>
      </w:r>
      <w:r>
        <w:rPr>
          <w:spacing w:val="7"/>
        </w:rPr>
        <w:t> </w:t>
      </w:r>
      <w:r>
        <w:rPr/>
        <w:t>mg/kg,</w:t>
      </w:r>
      <w:r>
        <w:rPr>
          <w:spacing w:val="4"/>
        </w:rPr>
        <w:t> </w:t>
      </w:r>
      <w:r>
        <w:rPr/>
        <w:t>3.06</w:t>
      </w:r>
      <w:r>
        <w:rPr>
          <w:spacing w:val="3"/>
        </w:rPr>
        <w:t> </w:t>
      </w:r>
      <w:r>
        <w:rPr/>
        <w:t>± 1.0</w:t>
      </w:r>
      <w:r>
        <w:rPr>
          <w:spacing w:val="2"/>
        </w:rPr>
        <w:t> </w:t>
      </w:r>
      <w:r>
        <w:rPr/>
        <w:t>to</w:t>
      </w:r>
      <w:r>
        <w:rPr>
          <w:spacing w:val="8"/>
        </w:rPr>
        <w:t> </w:t>
      </w:r>
      <w:r>
        <w:rPr/>
        <w:t>3.16</w:t>
      </w:r>
      <w:r>
        <w:rPr>
          <w:spacing w:val="2"/>
        </w:rPr>
        <w:t> </w:t>
      </w:r>
      <w:r>
        <w:rPr/>
        <w:t>± 1.65</w:t>
      </w:r>
      <w:r>
        <w:rPr>
          <w:spacing w:val="3"/>
        </w:rPr>
        <w:t> </w:t>
      </w:r>
      <w:r>
        <w:rPr>
          <w:spacing w:val="-2"/>
        </w:rPr>
        <w:t>mg/kg,</w:t>
      </w:r>
    </w:p>
    <w:p>
      <w:pPr>
        <w:pStyle w:val="BodyText"/>
        <w:spacing w:before="1"/>
        <w:ind w:left="420"/>
        <w:jc w:val="both"/>
      </w:pPr>
      <w:r>
        <w:rPr/>
        <w:t>0.10</w:t>
      </w:r>
      <w:r>
        <w:rPr>
          <w:spacing w:val="20"/>
        </w:rPr>
        <w:t> </w:t>
      </w:r>
      <w:r>
        <w:rPr/>
        <w:t>±</w:t>
      </w:r>
      <w:r>
        <w:rPr>
          <w:spacing w:val="18"/>
        </w:rPr>
        <w:t> </w:t>
      </w:r>
      <w:r>
        <w:rPr/>
        <w:t>0.44</w:t>
      </w:r>
      <w:r>
        <w:rPr>
          <w:spacing w:val="10"/>
        </w:rPr>
        <w:t> </w:t>
      </w:r>
      <w:r>
        <w:rPr/>
        <w:t>to</w:t>
      </w:r>
      <w:r>
        <w:rPr>
          <w:spacing w:val="25"/>
        </w:rPr>
        <w:t> </w:t>
      </w:r>
      <w:r>
        <w:rPr/>
        <w:t>0.19</w:t>
      </w:r>
      <w:r>
        <w:rPr>
          <w:spacing w:val="20"/>
        </w:rPr>
        <w:t> </w:t>
      </w:r>
      <w:r>
        <w:rPr/>
        <w:t>±</w:t>
      </w:r>
      <w:r>
        <w:rPr>
          <w:spacing w:val="18"/>
        </w:rPr>
        <w:t> </w:t>
      </w:r>
      <w:r>
        <w:rPr/>
        <w:t>0.07</w:t>
      </w:r>
      <w:r>
        <w:rPr>
          <w:spacing w:val="20"/>
        </w:rPr>
        <w:t> </w:t>
      </w:r>
      <w:r>
        <w:rPr/>
        <w:t>mg/kg,</w:t>
      </w:r>
      <w:r>
        <w:rPr>
          <w:spacing w:val="23"/>
        </w:rPr>
        <w:t> </w:t>
      </w:r>
      <w:r>
        <w:rPr/>
        <w:t>0.14</w:t>
      </w:r>
      <w:r>
        <w:rPr>
          <w:spacing w:val="20"/>
        </w:rPr>
        <w:t> </w:t>
      </w:r>
      <w:r>
        <w:rPr/>
        <w:t>±</w:t>
      </w:r>
      <w:r>
        <w:rPr>
          <w:spacing w:val="18"/>
        </w:rPr>
        <w:t> </w:t>
      </w:r>
      <w:r>
        <w:rPr/>
        <w:t>0.08</w:t>
      </w:r>
      <w:r>
        <w:rPr>
          <w:spacing w:val="11"/>
        </w:rPr>
        <w:t> </w:t>
      </w:r>
      <w:r>
        <w:rPr/>
        <w:t>to</w:t>
      </w:r>
      <w:r>
        <w:rPr>
          <w:spacing w:val="20"/>
        </w:rPr>
        <w:t> </w:t>
      </w:r>
      <w:r>
        <w:rPr/>
        <w:t>0.38</w:t>
      </w:r>
      <w:r>
        <w:rPr>
          <w:spacing w:val="20"/>
        </w:rPr>
        <w:t> </w:t>
      </w:r>
      <w:r>
        <w:rPr/>
        <w:t>±</w:t>
      </w:r>
      <w:r>
        <w:rPr>
          <w:spacing w:val="18"/>
        </w:rPr>
        <w:t> </w:t>
      </w:r>
      <w:r>
        <w:rPr/>
        <w:t>0.25</w:t>
      </w:r>
      <w:r>
        <w:rPr>
          <w:spacing w:val="20"/>
        </w:rPr>
        <w:t> </w:t>
      </w:r>
      <w:r>
        <w:rPr/>
        <w:t>mg/kg</w:t>
      </w:r>
      <w:r>
        <w:rPr>
          <w:spacing w:val="20"/>
        </w:rPr>
        <w:t> </w:t>
      </w:r>
      <w:r>
        <w:rPr/>
        <w:t>and</w:t>
      </w:r>
      <w:r>
        <w:rPr>
          <w:spacing w:val="20"/>
        </w:rPr>
        <w:t> </w:t>
      </w:r>
      <w:r>
        <w:rPr/>
        <w:t>0.01</w:t>
      </w:r>
      <w:r>
        <w:rPr>
          <w:spacing w:val="20"/>
        </w:rPr>
        <w:t> </w:t>
      </w:r>
      <w:r>
        <w:rPr/>
        <w:t>±</w:t>
      </w:r>
      <w:r>
        <w:rPr>
          <w:spacing w:val="18"/>
        </w:rPr>
        <w:t> </w:t>
      </w:r>
      <w:r>
        <w:rPr/>
        <w:t>0.02</w:t>
      </w:r>
      <w:r>
        <w:rPr>
          <w:spacing w:val="10"/>
        </w:rPr>
        <w:t> </w:t>
      </w:r>
      <w:r>
        <w:rPr/>
        <w:t>to</w:t>
      </w:r>
      <w:r>
        <w:rPr>
          <w:spacing w:val="25"/>
        </w:rPr>
        <w:t> </w:t>
      </w:r>
      <w:r>
        <w:rPr/>
        <w:t>0.05</w:t>
      </w:r>
      <w:r>
        <w:rPr>
          <w:spacing w:val="21"/>
        </w:rPr>
        <w:t> </w:t>
      </w:r>
      <w:r>
        <w:rPr>
          <w:spacing w:val="-10"/>
        </w:rPr>
        <w:t>±</w:t>
      </w:r>
    </w:p>
    <w:p>
      <w:pPr>
        <w:pStyle w:val="BodyText"/>
      </w:pPr>
    </w:p>
    <w:p>
      <w:pPr>
        <w:pStyle w:val="BodyText"/>
        <w:ind w:left="420"/>
        <w:jc w:val="both"/>
      </w:pPr>
      <w:r>
        <w:rPr/>
        <w:t>0.04</w:t>
      </w:r>
      <w:r>
        <w:rPr>
          <w:spacing w:val="-2"/>
        </w:rPr>
        <w:t> </w:t>
      </w:r>
      <w:r>
        <w:rPr/>
        <w:t>mg/kg</w:t>
      </w:r>
      <w:r>
        <w:rPr>
          <w:spacing w:val="-2"/>
        </w:rPr>
        <w:t> respectively.</w:t>
      </w:r>
    </w:p>
    <w:p>
      <w:pPr>
        <w:pStyle w:val="BodyText"/>
        <w:spacing w:before="198"/>
      </w:pPr>
    </w:p>
    <w:p>
      <w:pPr>
        <w:pStyle w:val="Heading2"/>
        <w:numPr>
          <w:ilvl w:val="1"/>
          <w:numId w:val="23"/>
        </w:numPr>
        <w:tabs>
          <w:tab w:pos="1125" w:val="left" w:leader="none"/>
        </w:tabs>
        <w:spacing w:line="240" w:lineRule="auto" w:before="0" w:after="0"/>
        <w:ind w:left="1125" w:right="0" w:hanging="705"/>
        <w:jc w:val="both"/>
        <w:rPr>
          <w:sz w:val="28"/>
        </w:rPr>
      </w:pPr>
      <w:r>
        <w:rPr/>
        <w:t>Concentrations</w:t>
      </w:r>
      <w:r>
        <w:rPr>
          <w:spacing w:val="-6"/>
        </w:rPr>
        <w:t> </w:t>
      </w:r>
      <w:r>
        <w:rPr/>
        <w:t>of</w:t>
      </w:r>
      <w:r>
        <w:rPr>
          <w:spacing w:val="-10"/>
        </w:rPr>
        <w:t> </w:t>
      </w:r>
      <w:r>
        <w:rPr/>
        <w:t>Metals</w:t>
      </w:r>
      <w:r>
        <w:rPr>
          <w:spacing w:val="-4"/>
        </w:rPr>
        <w:t> </w:t>
      </w:r>
      <w:r>
        <w:rPr/>
        <w:t>in</w:t>
      </w:r>
      <w:r>
        <w:rPr>
          <w:spacing w:val="2"/>
        </w:rPr>
        <w:t> </w:t>
      </w:r>
      <w:r>
        <w:rPr/>
        <w:t>Poultry</w:t>
      </w:r>
      <w:r>
        <w:rPr>
          <w:spacing w:val="-2"/>
        </w:rPr>
        <w:t> </w:t>
      </w:r>
      <w:r>
        <w:rPr>
          <w:spacing w:val="-4"/>
        </w:rPr>
        <w:t>Feeds</w:t>
      </w:r>
    </w:p>
    <w:p>
      <w:pPr>
        <w:pStyle w:val="BodyText"/>
        <w:spacing w:line="480" w:lineRule="auto" w:before="249"/>
        <w:ind w:left="420" w:right="731"/>
        <w:jc w:val="both"/>
      </w:pPr>
      <w:r>
        <w:rPr/>
        <w:t>The results of</w:t>
      </w:r>
      <w:r>
        <w:rPr>
          <w:spacing w:val="-4"/>
        </w:rPr>
        <w:t> </w:t>
      </w:r>
      <w:r>
        <w:rPr/>
        <w:t>the mean</w:t>
      </w:r>
      <w:r>
        <w:rPr>
          <w:spacing w:val="-1"/>
        </w:rPr>
        <w:t> </w:t>
      </w:r>
      <w:r>
        <w:rPr/>
        <w:t>concentrations of Zn, Cu, Ni, Pb</w:t>
      </w:r>
      <w:r>
        <w:rPr>
          <w:spacing w:val="-1"/>
        </w:rPr>
        <w:t> </w:t>
      </w:r>
      <w:r>
        <w:rPr/>
        <w:t>and As in four compound poultry</w:t>
      </w:r>
      <w:r>
        <w:rPr>
          <w:spacing w:val="-1"/>
        </w:rPr>
        <w:t> </w:t>
      </w:r>
      <w:r>
        <w:rPr/>
        <w:t>feeds (PA, PB, PC and PD) are of the same trend as in fish feed sampled in northern Nigeria and are presented in figures 4.6 – 4.10 below.</w:t>
      </w:r>
    </w:p>
    <w:p>
      <w:pPr>
        <w:pStyle w:val="Heading2"/>
        <w:numPr>
          <w:ilvl w:val="1"/>
          <w:numId w:val="23"/>
        </w:numPr>
        <w:tabs>
          <w:tab w:pos="904" w:val="left" w:leader="none"/>
        </w:tabs>
        <w:spacing w:line="240" w:lineRule="auto" w:before="202" w:after="0"/>
        <w:ind w:left="904" w:right="0" w:hanging="484"/>
        <w:jc w:val="both"/>
      </w:pPr>
      <w:r>
        <w:rPr/>
        <w:t>Concentrations</w:t>
      </w:r>
      <w:r>
        <w:rPr>
          <w:spacing w:val="-4"/>
        </w:rPr>
        <w:t> </w:t>
      </w:r>
      <w:r>
        <w:rPr/>
        <w:t>of</w:t>
      </w:r>
      <w:r>
        <w:rPr>
          <w:spacing w:val="-5"/>
        </w:rPr>
        <w:t> </w:t>
      </w:r>
      <w:r>
        <w:rPr/>
        <w:t>Metals</w:t>
      </w:r>
      <w:r>
        <w:rPr>
          <w:spacing w:val="-4"/>
        </w:rPr>
        <w:t> </w:t>
      </w:r>
      <w:r>
        <w:rPr/>
        <w:t>in Forage</w:t>
      </w:r>
      <w:r>
        <w:rPr>
          <w:spacing w:val="-2"/>
        </w:rPr>
        <w:t> Grasses</w:t>
      </w:r>
    </w:p>
    <w:p>
      <w:pPr>
        <w:pStyle w:val="BodyText"/>
        <w:spacing w:before="63"/>
        <w:rPr>
          <w:b/>
        </w:rPr>
      </w:pPr>
    </w:p>
    <w:p>
      <w:pPr>
        <w:pStyle w:val="BodyText"/>
        <w:spacing w:line="480" w:lineRule="auto"/>
        <w:ind w:left="420" w:right="724"/>
        <w:jc w:val="both"/>
      </w:pPr>
      <w:r>
        <w:rPr/>
        <w:t>The mean concentrations of Zn, Cu, Ni, Pb and As in forage grasses across the grazing areas in Northern Nigeria are presented in figures 4.11 – 4.15. The forage lead values in Zungeru and Anka areas are above the maximum permissible limit stipulated by European Union for lead in animal feeds.</w:t>
      </w:r>
    </w:p>
    <w:p>
      <w:pPr>
        <w:pStyle w:val="Heading2"/>
        <w:numPr>
          <w:ilvl w:val="1"/>
          <w:numId w:val="23"/>
        </w:numPr>
        <w:tabs>
          <w:tab w:pos="904" w:val="left" w:leader="none"/>
        </w:tabs>
        <w:spacing w:line="240" w:lineRule="auto" w:before="203" w:after="0"/>
        <w:ind w:left="904" w:right="0" w:hanging="484"/>
        <w:jc w:val="both"/>
      </w:pPr>
      <w:r>
        <w:rPr/>
        <w:t>Concentrations</w:t>
      </w:r>
      <w:r>
        <w:rPr>
          <w:spacing w:val="-4"/>
        </w:rPr>
        <w:t> </w:t>
      </w:r>
      <w:r>
        <w:rPr/>
        <w:t>of</w:t>
      </w:r>
      <w:r>
        <w:rPr>
          <w:spacing w:val="-4"/>
        </w:rPr>
        <w:t> </w:t>
      </w:r>
      <w:r>
        <w:rPr/>
        <w:t>Metals</w:t>
      </w:r>
      <w:r>
        <w:rPr>
          <w:spacing w:val="-3"/>
        </w:rPr>
        <w:t> </w:t>
      </w:r>
      <w:r>
        <w:rPr/>
        <w:t>in</w:t>
      </w:r>
      <w:r>
        <w:rPr>
          <w:spacing w:val="4"/>
        </w:rPr>
        <w:t> </w:t>
      </w:r>
      <w:r>
        <w:rPr/>
        <w:t>Animal</w:t>
      </w:r>
      <w:r>
        <w:rPr>
          <w:spacing w:val="-6"/>
        </w:rPr>
        <w:t> </w:t>
      </w:r>
      <w:r>
        <w:rPr>
          <w:spacing w:val="-2"/>
        </w:rPr>
        <w:t>Manure</w:t>
      </w:r>
    </w:p>
    <w:p>
      <w:pPr>
        <w:pStyle w:val="BodyText"/>
        <w:spacing w:before="81"/>
        <w:rPr>
          <w:b/>
        </w:rPr>
      </w:pPr>
    </w:p>
    <w:p>
      <w:pPr>
        <w:pStyle w:val="BodyText"/>
        <w:spacing w:line="480" w:lineRule="auto"/>
        <w:ind w:left="420" w:right="724"/>
        <w:jc w:val="both"/>
      </w:pPr>
      <w:r>
        <w:rPr/>
        <w:t>The results of the contents of zinc, copper, nickel, arsenic and lead values in animal manure sampled in Northern Nigeria are presented in figures 4.16 - 4.20. The concentrations of Zn, Cu and</w:t>
      </w:r>
      <w:r>
        <w:rPr>
          <w:spacing w:val="-2"/>
        </w:rPr>
        <w:t> </w:t>
      </w:r>
      <w:r>
        <w:rPr/>
        <w:t>Ni</w:t>
      </w:r>
      <w:r>
        <w:rPr>
          <w:spacing w:val="-11"/>
        </w:rPr>
        <w:t> </w:t>
      </w:r>
      <w:r>
        <w:rPr/>
        <w:t>were</w:t>
      </w:r>
      <w:r>
        <w:rPr>
          <w:spacing w:val="-3"/>
        </w:rPr>
        <w:t> </w:t>
      </w:r>
      <w:r>
        <w:rPr/>
        <w:t>higher in</w:t>
      </w:r>
      <w:r>
        <w:rPr>
          <w:spacing w:val="-7"/>
        </w:rPr>
        <w:t> </w:t>
      </w:r>
      <w:r>
        <w:rPr/>
        <w:t>poultry</w:t>
      </w:r>
      <w:r>
        <w:rPr>
          <w:spacing w:val="-7"/>
        </w:rPr>
        <w:t> </w:t>
      </w:r>
      <w:r>
        <w:rPr/>
        <w:t>manure</w:t>
      </w:r>
      <w:r>
        <w:rPr>
          <w:spacing w:val="-3"/>
        </w:rPr>
        <w:t> </w:t>
      </w:r>
      <w:r>
        <w:rPr/>
        <w:t>samples</w:t>
      </w:r>
      <w:r>
        <w:rPr>
          <w:spacing w:val="-4"/>
        </w:rPr>
        <w:t> </w:t>
      </w:r>
      <w:r>
        <w:rPr/>
        <w:t>while lead</w:t>
      </w:r>
      <w:r>
        <w:rPr>
          <w:spacing w:val="-2"/>
        </w:rPr>
        <w:t> </w:t>
      </w:r>
      <w:r>
        <w:rPr/>
        <w:t>and</w:t>
      </w:r>
      <w:r>
        <w:rPr>
          <w:spacing w:val="-2"/>
        </w:rPr>
        <w:t> </w:t>
      </w:r>
      <w:r>
        <w:rPr/>
        <w:t>arsenic</w:t>
      </w:r>
      <w:r>
        <w:rPr>
          <w:spacing w:val="-3"/>
        </w:rPr>
        <w:t> </w:t>
      </w:r>
      <w:r>
        <w:rPr/>
        <w:t>values</w:t>
      </w:r>
      <w:r>
        <w:rPr>
          <w:spacing w:val="-4"/>
        </w:rPr>
        <w:t> </w:t>
      </w:r>
      <w:r>
        <w:rPr/>
        <w:t>were</w:t>
      </w:r>
      <w:r>
        <w:rPr>
          <w:spacing w:val="-3"/>
        </w:rPr>
        <w:t> </w:t>
      </w:r>
      <w:r>
        <w:rPr/>
        <w:t>higher in</w:t>
      </w:r>
      <w:r>
        <w:rPr>
          <w:spacing w:val="-7"/>
        </w:rPr>
        <w:t> </w:t>
      </w:r>
      <w:r>
        <w:rPr/>
        <w:t>cattle manure samples.</w:t>
      </w:r>
    </w:p>
    <w:p>
      <w:pPr>
        <w:spacing w:after="0" w:line="480" w:lineRule="auto"/>
        <w:jc w:val="both"/>
        <w:sectPr>
          <w:pgSz w:w="12240" w:h="15840"/>
          <w:pgMar w:header="0" w:footer="1012" w:top="1360" w:bottom="1200" w:left="1020" w:right="720"/>
        </w:sectPr>
      </w:pPr>
    </w:p>
    <w:p>
      <w:pPr>
        <w:pStyle w:val="Heading2"/>
        <w:numPr>
          <w:ilvl w:val="1"/>
          <w:numId w:val="23"/>
        </w:numPr>
        <w:tabs>
          <w:tab w:pos="987" w:val="left" w:leader="none"/>
        </w:tabs>
        <w:spacing w:line="240" w:lineRule="auto" w:before="73" w:after="0"/>
        <w:ind w:left="987" w:right="0" w:hanging="567"/>
        <w:jc w:val="left"/>
        <w:rPr>
          <w:sz w:val="28"/>
        </w:rPr>
      </w:pPr>
      <w:r>
        <w:rPr/>
        <w:t>Concentrations</w:t>
      </w:r>
      <w:r>
        <w:rPr>
          <w:spacing w:val="-3"/>
        </w:rPr>
        <w:t> </w:t>
      </w:r>
      <w:r>
        <w:rPr/>
        <w:t>of</w:t>
      </w:r>
      <w:r>
        <w:rPr>
          <w:spacing w:val="-3"/>
        </w:rPr>
        <w:t> </w:t>
      </w:r>
      <w:r>
        <w:rPr/>
        <w:t>Metals</w:t>
      </w:r>
      <w:r>
        <w:rPr>
          <w:spacing w:val="-2"/>
        </w:rPr>
        <w:t> </w:t>
      </w:r>
      <w:r>
        <w:rPr/>
        <w:t>in</w:t>
      </w:r>
      <w:r>
        <w:rPr>
          <w:spacing w:val="4"/>
        </w:rPr>
        <w:t> </w:t>
      </w:r>
      <w:r>
        <w:rPr/>
        <w:t>Water</w:t>
      </w:r>
      <w:r>
        <w:rPr>
          <w:spacing w:val="-6"/>
        </w:rPr>
        <w:t> </w:t>
      </w:r>
      <w:r>
        <w:rPr>
          <w:spacing w:val="-2"/>
        </w:rPr>
        <w:t>Samples</w:t>
      </w:r>
    </w:p>
    <w:p>
      <w:pPr>
        <w:pStyle w:val="BodyText"/>
        <w:spacing w:before="246"/>
        <w:rPr>
          <w:b/>
        </w:rPr>
      </w:pPr>
    </w:p>
    <w:p>
      <w:pPr>
        <w:pStyle w:val="BodyText"/>
        <w:spacing w:line="480" w:lineRule="auto"/>
        <w:ind w:left="420" w:right="723"/>
        <w:jc w:val="both"/>
      </w:pPr>
      <w:r>
        <w:rPr/>
        <w:t>The pH and temperature of water samples at the point of collection are presented in table 4.6.</w:t>
      </w:r>
      <w:r>
        <w:rPr>
          <w:spacing w:val="40"/>
        </w:rPr>
        <w:t> </w:t>
      </w:r>
      <w:r>
        <w:rPr/>
        <w:t>The seasonal mean metal concentrations in water samples from rivers Kaduna. Sokoto and Ngadda in Northern Nigeria are presented in figures 4. 21 – 4.25.</w:t>
      </w:r>
    </w:p>
    <w:p>
      <w:pPr>
        <w:spacing w:after="0" w:line="480" w:lineRule="auto"/>
        <w:jc w:val="both"/>
        <w:sectPr>
          <w:pgSz w:w="12240" w:h="15840"/>
          <w:pgMar w:header="0" w:footer="1012" w:top="1360" w:bottom="1200" w:left="1020" w:right="720"/>
        </w:sectPr>
      </w:pPr>
    </w:p>
    <w:p>
      <w:pPr>
        <w:pStyle w:val="BodyText"/>
        <w:ind w:left="435"/>
        <w:rPr>
          <w:sz w:val="20"/>
        </w:rPr>
      </w:pPr>
      <w:r>
        <w:rPr>
          <w:sz w:val="20"/>
        </w:rPr>
        <w:drawing>
          <wp:inline distT="0" distB="0" distL="0" distR="0">
            <wp:extent cx="5283153" cy="3189731"/>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75" cstate="print"/>
                    <a:stretch>
                      <a:fillRect/>
                    </a:stretch>
                  </pic:blipFill>
                  <pic:spPr>
                    <a:xfrm>
                      <a:off x="0" y="0"/>
                      <a:ext cx="5283153" cy="3189731"/>
                    </a:xfrm>
                    <a:prstGeom prst="rect">
                      <a:avLst/>
                    </a:prstGeom>
                  </pic:spPr>
                </pic:pic>
              </a:graphicData>
            </a:graphic>
          </wp:inline>
        </w:drawing>
      </w:r>
      <w:r>
        <w:rPr>
          <w:sz w:val="20"/>
        </w:rPr>
      </w:r>
    </w:p>
    <w:p>
      <w:pPr>
        <w:pStyle w:val="BodyText"/>
      </w:pPr>
    </w:p>
    <w:p>
      <w:pPr>
        <w:pStyle w:val="BodyText"/>
        <w:spacing w:before="19"/>
      </w:pPr>
    </w:p>
    <w:p>
      <w:pPr>
        <w:pStyle w:val="Heading2"/>
        <w:spacing w:line="480" w:lineRule="auto"/>
        <w:ind w:right="725"/>
        <w:jc w:val="both"/>
      </w:pPr>
      <w:r>
        <w:rPr/>
        <w:t>Figure 4.1 Mean concentrations of Zn in four brands of compound fish feeds [(FA),</w:t>
      </w:r>
      <w:r>
        <w:rPr>
          <w:spacing w:val="40"/>
        </w:rPr>
        <w:t> </w:t>
      </w:r>
      <w:r>
        <w:rPr/>
        <w:t>(FB), (FC)</w:t>
      </w:r>
      <w:r>
        <w:rPr>
          <w:spacing w:val="-2"/>
        </w:rPr>
        <w:t> </w:t>
      </w:r>
      <w:r>
        <w:rPr/>
        <w:t>and</w:t>
      </w:r>
      <w:r>
        <w:rPr>
          <w:spacing w:val="-6"/>
        </w:rPr>
        <w:t> </w:t>
      </w:r>
      <w:r>
        <w:rPr/>
        <w:t>(FD)]</w:t>
      </w:r>
      <w:r>
        <w:rPr>
          <w:spacing w:val="-2"/>
        </w:rPr>
        <w:t> </w:t>
      </w:r>
      <w:r>
        <w:rPr/>
        <w:t>in</w:t>
      </w:r>
      <w:r>
        <w:rPr>
          <w:spacing w:val="-6"/>
        </w:rPr>
        <w:t> </w:t>
      </w:r>
      <w:r>
        <w:rPr/>
        <w:t>North</w:t>
      </w:r>
      <w:r>
        <w:rPr>
          <w:spacing w:val="-3"/>
        </w:rPr>
        <w:t> </w:t>
      </w:r>
      <w:r>
        <w:rPr/>
        <w:t>central</w:t>
      </w:r>
      <w:r>
        <w:rPr>
          <w:spacing w:val="-7"/>
        </w:rPr>
        <w:t> </w:t>
      </w:r>
      <w:r>
        <w:rPr/>
        <w:t>(NC),</w:t>
      </w:r>
      <w:r>
        <w:rPr>
          <w:spacing w:val="-1"/>
        </w:rPr>
        <w:t> </w:t>
      </w:r>
      <w:r>
        <w:rPr/>
        <w:t>North</w:t>
      </w:r>
      <w:r>
        <w:rPr>
          <w:spacing w:val="-3"/>
        </w:rPr>
        <w:t> </w:t>
      </w:r>
      <w:r>
        <w:rPr/>
        <w:t>western</w:t>
      </w:r>
      <w:r>
        <w:rPr>
          <w:spacing w:val="-3"/>
        </w:rPr>
        <w:t> </w:t>
      </w:r>
      <w:r>
        <w:rPr/>
        <w:t>(NW)</w:t>
      </w:r>
      <w:r>
        <w:rPr>
          <w:spacing w:val="-2"/>
        </w:rPr>
        <w:t> </w:t>
      </w:r>
      <w:r>
        <w:rPr/>
        <w:t>and</w:t>
      </w:r>
      <w:r>
        <w:rPr>
          <w:spacing w:val="-3"/>
        </w:rPr>
        <w:t> </w:t>
      </w:r>
      <w:r>
        <w:rPr/>
        <w:t>North</w:t>
      </w:r>
      <w:r>
        <w:rPr>
          <w:spacing w:val="-3"/>
        </w:rPr>
        <w:t> </w:t>
      </w:r>
      <w:r>
        <w:rPr/>
        <w:t>eastern</w:t>
      </w:r>
      <w:r>
        <w:rPr>
          <w:spacing w:val="-3"/>
        </w:rPr>
        <w:t> </w:t>
      </w:r>
      <w:r>
        <w:rPr/>
        <w:t>(NE)</w:t>
      </w:r>
      <w:r>
        <w:rPr>
          <w:spacing w:val="-2"/>
        </w:rPr>
        <w:t> </w:t>
      </w:r>
      <w:r>
        <w:rPr/>
        <w:t>Nigeria compared with maximum permissible limit (MPL) by European union, 2007.</w:t>
      </w:r>
    </w:p>
    <w:p>
      <w:pPr>
        <w:pStyle w:val="BodyText"/>
        <w:rPr>
          <w:b/>
        </w:rPr>
      </w:pPr>
    </w:p>
    <w:p>
      <w:pPr>
        <w:pStyle w:val="BodyText"/>
        <w:rPr>
          <w:b/>
        </w:rPr>
      </w:pPr>
    </w:p>
    <w:p>
      <w:pPr>
        <w:pStyle w:val="BodyText"/>
        <w:rPr>
          <w:b/>
        </w:rPr>
      </w:pPr>
    </w:p>
    <w:p>
      <w:pPr>
        <w:pStyle w:val="BodyText"/>
        <w:rPr>
          <w:b/>
        </w:rPr>
      </w:pPr>
    </w:p>
    <w:p>
      <w:pPr>
        <w:pStyle w:val="BodyText"/>
        <w:spacing w:before="85"/>
        <w:rPr>
          <w:b/>
        </w:rPr>
      </w:pPr>
    </w:p>
    <w:p>
      <w:pPr>
        <w:spacing w:before="0"/>
        <w:ind w:left="420" w:right="0" w:firstLine="0"/>
        <w:jc w:val="left"/>
        <w:rPr>
          <w:sz w:val="24"/>
        </w:rPr>
      </w:pPr>
      <w:r>
        <w:rPr>
          <w:spacing w:val="-10"/>
          <w:sz w:val="24"/>
        </w:rPr>
        <w:t>.</w:t>
      </w:r>
    </w:p>
    <w:p>
      <w:pPr>
        <w:spacing w:after="0"/>
        <w:jc w:val="left"/>
        <w:rPr>
          <w:sz w:val="24"/>
        </w:rPr>
        <w:sectPr>
          <w:pgSz w:w="12240" w:h="15840"/>
          <w:pgMar w:header="0" w:footer="1012" w:top="1440" w:bottom="1200" w:left="1020" w:right="720"/>
        </w:sectPr>
      </w:pPr>
    </w:p>
    <w:p>
      <w:pPr>
        <w:pStyle w:val="BodyText"/>
        <w:ind w:left="433"/>
        <w:rPr>
          <w:sz w:val="20"/>
        </w:rPr>
      </w:pPr>
      <w:r>
        <w:rPr>
          <w:sz w:val="20"/>
        </w:rPr>
        <w:drawing>
          <wp:inline distT="0" distB="0" distL="0" distR="0">
            <wp:extent cx="4981106" cy="3572827"/>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76" cstate="print"/>
                    <a:stretch>
                      <a:fillRect/>
                    </a:stretch>
                  </pic:blipFill>
                  <pic:spPr>
                    <a:xfrm>
                      <a:off x="0" y="0"/>
                      <a:ext cx="4981106" cy="3572827"/>
                    </a:xfrm>
                    <a:prstGeom prst="rect">
                      <a:avLst/>
                    </a:prstGeom>
                  </pic:spPr>
                </pic:pic>
              </a:graphicData>
            </a:graphic>
          </wp:inline>
        </w:drawing>
      </w:r>
      <w:r>
        <w:rPr>
          <w:sz w:val="20"/>
        </w:rPr>
      </w:r>
    </w:p>
    <w:p>
      <w:pPr>
        <w:pStyle w:val="BodyText"/>
        <w:spacing w:before="211"/>
      </w:pPr>
    </w:p>
    <w:p>
      <w:pPr>
        <w:spacing w:line="480" w:lineRule="auto" w:before="0"/>
        <w:ind w:left="420" w:right="726" w:firstLine="0"/>
        <w:jc w:val="both"/>
        <w:rPr>
          <w:b/>
          <w:sz w:val="24"/>
        </w:rPr>
      </w:pPr>
      <w:r>
        <w:rPr>
          <w:b/>
          <w:sz w:val="24"/>
        </w:rPr>
        <w:t>Figure 4.2 Mean concentrations of Cu in four brands of compound fish feeds [(FA),</w:t>
      </w:r>
      <w:r>
        <w:rPr>
          <w:b/>
          <w:spacing w:val="80"/>
          <w:sz w:val="24"/>
        </w:rPr>
        <w:t> </w:t>
      </w:r>
      <w:r>
        <w:rPr>
          <w:b/>
          <w:sz w:val="24"/>
        </w:rPr>
        <w:t>(FB), (FC) and</w:t>
      </w:r>
      <w:r>
        <w:rPr>
          <w:b/>
          <w:spacing w:val="80"/>
          <w:sz w:val="24"/>
        </w:rPr>
        <w:t> </w:t>
      </w:r>
      <w:r>
        <w:rPr>
          <w:b/>
          <w:sz w:val="24"/>
        </w:rPr>
        <w:t>(FD)] in North central (NC), North western (NW) and North eastern (NE) Nigeria compared with maximum permissible limit (MPL) by European union, 2007.</w:t>
      </w:r>
    </w:p>
    <w:p>
      <w:pPr>
        <w:spacing w:after="0" w:line="480" w:lineRule="auto"/>
        <w:jc w:val="both"/>
        <w:rPr>
          <w:sz w:val="24"/>
        </w:rPr>
        <w:sectPr>
          <w:pgSz w:w="12240" w:h="15840"/>
          <w:pgMar w:header="0" w:footer="1012" w:top="1440" w:bottom="1200" w:left="1020" w:right="720"/>
        </w:sectPr>
      </w:pPr>
    </w:p>
    <w:p>
      <w:pPr>
        <w:pStyle w:val="BodyText"/>
        <w:rPr>
          <w:b/>
          <w:sz w:val="12"/>
        </w:rPr>
      </w:pPr>
    </w:p>
    <w:p>
      <w:pPr>
        <w:pStyle w:val="BodyText"/>
        <w:ind w:left="435"/>
        <w:rPr>
          <w:sz w:val="20"/>
        </w:rPr>
      </w:pPr>
      <w:r>
        <w:rPr>
          <w:sz w:val="20"/>
        </w:rPr>
        <w:drawing>
          <wp:inline distT="0" distB="0" distL="0" distR="0">
            <wp:extent cx="5272122" cy="321554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77" cstate="print"/>
                    <a:stretch>
                      <a:fillRect/>
                    </a:stretch>
                  </pic:blipFill>
                  <pic:spPr>
                    <a:xfrm>
                      <a:off x="0" y="0"/>
                      <a:ext cx="5272122" cy="3215544"/>
                    </a:xfrm>
                    <a:prstGeom prst="rect">
                      <a:avLst/>
                    </a:prstGeom>
                  </pic:spPr>
                </pic:pic>
              </a:graphicData>
            </a:graphic>
          </wp:inline>
        </w:drawing>
      </w:r>
      <w:r>
        <w:rPr>
          <w:sz w:val="20"/>
        </w:rPr>
      </w:r>
    </w:p>
    <w:p>
      <w:pPr>
        <w:pStyle w:val="BodyText"/>
        <w:spacing w:before="174"/>
        <w:rPr>
          <w:b/>
        </w:rPr>
      </w:pPr>
    </w:p>
    <w:p>
      <w:pPr>
        <w:spacing w:line="480" w:lineRule="auto" w:before="0"/>
        <w:ind w:left="420" w:right="727" w:firstLine="0"/>
        <w:jc w:val="both"/>
        <w:rPr>
          <w:b/>
          <w:sz w:val="24"/>
        </w:rPr>
      </w:pPr>
      <w:r>
        <w:rPr>
          <w:b/>
          <w:sz w:val="24"/>
        </w:rPr>
        <w:t>Figure 4.3 Mean concentrations of Ni in four brands of compound fish feeds [(FA),</w:t>
      </w:r>
      <w:r>
        <w:rPr>
          <w:b/>
          <w:spacing w:val="40"/>
          <w:sz w:val="24"/>
        </w:rPr>
        <w:t> </w:t>
      </w:r>
      <w:r>
        <w:rPr>
          <w:b/>
          <w:sz w:val="24"/>
        </w:rPr>
        <w:t>(FB), (FC) and</w:t>
      </w:r>
      <w:r>
        <w:rPr>
          <w:b/>
          <w:spacing w:val="80"/>
          <w:sz w:val="24"/>
        </w:rPr>
        <w:t> </w:t>
      </w:r>
      <w:r>
        <w:rPr>
          <w:b/>
          <w:sz w:val="24"/>
        </w:rPr>
        <w:t>(FD)] in North central (NC), North western (NW) and North eastern (NE) Nigeria compared with maximum permissible limit (MPL) by European union, 2007.</w:t>
      </w:r>
    </w:p>
    <w:p>
      <w:pPr>
        <w:spacing w:after="0" w:line="480" w:lineRule="auto"/>
        <w:jc w:val="both"/>
        <w:rPr>
          <w:sz w:val="24"/>
        </w:rPr>
        <w:sectPr>
          <w:pgSz w:w="12240" w:h="15840"/>
          <w:pgMar w:header="0" w:footer="1012" w:top="1820" w:bottom="1200" w:left="1020" w:right="720"/>
        </w:sectPr>
      </w:pPr>
    </w:p>
    <w:p>
      <w:pPr>
        <w:pStyle w:val="BodyText"/>
        <w:rPr>
          <w:b/>
          <w:sz w:val="12"/>
        </w:rPr>
      </w:pPr>
    </w:p>
    <w:p>
      <w:pPr>
        <w:pStyle w:val="BodyText"/>
        <w:ind w:left="434"/>
        <w:rPr>
          <w:sz w:val="20"/>
        </w:rPr>
      </w:pPr>
      <w:r>
        <w:rPr>
          <w:sz w:val="20"/>
        </w:rPr>
        <w:drawing>
          <wp:inline distT="0" distB="0" distL="0" distR="0">
            <wp:extent cx="5297809" cy="3281362"/>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78" cstate="print"/>
                    <a:stretch>
                      <a:fillRect/>
                    </a:stretch>
                  </pic:blipFill>
                  <pic:spPr>
                    <a:xfrm>
                      <a:off x="0" y="0"/>
                      <a:ext cx="5297809" cy="3281362"/>
                    </a:xfrm>
                    <a:prstGeom prst="rect">
                      <a:avLst/>
                    </a:prstGeom>
                  </pic:spPr>
                </pic:pic>
              </a:graphicData>
            </a:graphic>
          </wp:inline>
        </w:drawing>
      </w:r>
      <w:r>
        <w:rPr>
          <w:sz w:val="20"/>
        </w:rPr>
      </w:r>
    </w:p>
    <w:p>
      <w:pPr>
        <w:pStyle w:val="BodyText"/>
        <w:spacing w:before="176"/>
        <w:rPr>
          <w:b/>
        </w:rPr>
      </w:pPr>
    </w:p>
    <w:p>
      <w:pPr>
        <w:spacing w:line="480" w:lineRule="auto" w:before="0"/>
        <w:ind w:left="420" w:right="721" w:firstLine="0"/>
        <w:jc w:val="both"/>
        <w:rPr>
          <w:b/>
          <w:sz w:val="24"/>
        </w:rPr>
      </w:pPr>
      <w:r>
        <w:rPr>
          <w:b/>
          <w:sz w:val="24"/>
        </w:rPr>
        <w:t>Figure 4.4 Mean concentrations of Pb in four brands of compound fish feeds [(FA),</w:t>
      </w:r>
      <w:r>
        <w:rPr>
          <w:b/>
          <w:spacing w:val="40"/>
          <w:sz w:val="24"/>
        </w:rPr>
        <w:t> </w:t>
      </w:r>
      <w:r>
        <w:rPr>
          <w:b/>
          <w:sz w:val="24"/>
        </w:rPr>
        <w:t>(FB), (FC) and</w:t>
      </w:r>
      <w:r>
        <w:rPr>
          <w:b/>
          <w:spacing w:val="80"/>
          <w:sz w:val="24"/>
        </w:rPr>
        <w:t> </w:t>
      </w:r>
      <w:r>
        <w:rPr>
          <w:b/>
          <w:sz w:val="24"/>
        </w:rPr>
        <w:t>(FD)] in North central (NC), North western (NW) and North eastern (NE) Nigeria compared with maximum permissible limit (MPL) by European union, 2007.</w:t>
      </w:r>
    </w:p>
    <w:p>
      <w:pPr>
        <w:spacing w:after="0" w:line="480" w:lineRule="auto"/>
        <w:jc w:val="both"/>
        <w:rPr>
          <w:sz w:val="24"/>
        </w:rPr>
        <w:sectPr>
          <w:pgSz w:w="12240" w:h="15840"/>
          <w:pgMar w:header="0" w:footer="1012" w:top="1820" w:bottom="1200" w:left="1020" w:right="720"/>
        </w:sectPr>
      </w:pPr>
    </w:p>
    <w:p>
      <w:pPr>
        <w:pStyle w:val="BodyText"/>
        <w:spacing w:before="7"/>
        <w:rPr>
          <w:b/>
          <w:sz w:val="11"/>
        </w:rPr>
      </w:pPr>
    </w:p>
    <w:p>
      <w:pPr>
        <w:pStyle w:val="BodyText"/>
        <w:ind w:left="432"/>
        <w:rPr>
          <w:sz w:val="20"/>
        </w:rPr>
      </w:pPr>
      <w:r>
        <w:rPr>
          <w:sz w:val="20"/>
        </w:rPr>
        <w:drawing>
          <wp:inline distT="0" distB="0" distL="0" distR="0">
            <wp:extent cx="5189162" cy="330860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79" cstate="print"/>
                    <a:stretch>
                      <a:fillRect/>
                    </a:stretch>
                  </pic:blipFill>
                  <pic:spPr>
                    <a:xfrm>
                      <a:off x="0" y="0"/>
                      <a:ext cx="5189162" cy="3308604"/>
                    </a:xfrm>
                    <a:prstGeom prst="rect">
                      <a:avLst/>
                    </a:prstGeom>
                  </pic:spPr>
                </pic:pic>
              </a:graphicData>
            </a:graphic>
          </wp:inline>
        </w:drawing>
      </w:r>
      <w:r>
        <w:rPr>
          <w:sz w:val="20"/>
        </w:rPr>
      </w:r>
    </w:p>
    <w:p>
      <w:pPr>
        <w:pStyle w:val="BodyText"/>
        <w:spacing w:before="209"/>
        <w:rPr>
          <w:b/>
        </w:rPr>
      </w:pPr>
    </w:p>
    <w:p>
      <w:pPr>
        <w:spacing w:line="480" w:lineRule="auto" w:before="0"/>
        <w:ind w:left="420" w:right="726" w:firstLine="0"/>
        <w:jc w:val="both"/>
        <w:rPr>
          <w:b/>
          <w:sz w:val="24"/>
        </w:rPr>
      </w:pPr>
      <w:r>
        <w:rPr>
          <w:b/>
          <w:sz w:val="24"/>
        </w:rPr>
        <w:t>Figure 4.5 Mean concentrations of As in four brands of compound fish feeds [(FA),</w:t>
      </w:r>
      <w:r>
        <w:rPr>
          <w:b/>
          <w:spacing w:val="40"/>
          <w:sz w:val="24"/>
        </w:rPr>
        <w:t> </w:t>
      </w:r>
      <w:r>
        <w:rPr>
          <w:b/>
          <w:sz w:val="24"/>
        </w:rPr>
        <w:t>(FB), (FC) and</w:t>
      </w:r>
      <w:r>
        <w:rPr>
          <w:b/>
          <w:spacing w:val="80"/>
          <w:sz w:val="24"/>
        </w:rPr>
        <w:t> </w:t>
      </w:r>
      <w:r>
        <w:rPr>
          <w:b/>
          <w:sz w:val="24"/>
        </w:rPr>
        <w:t>(FD)] in North central (NC), North western (NW) and North eastern (NE) Nigeria compared with maximum permissible limit (MPL) by European union, 2007.</w:t>
      </w:r>
    </w:p>
    <w:p>
      <w:pPr>
        <w:spacing w:after="0" w:line="480" w:lineRule="auto"/>
        <w:jc w:val="both"/>
        <w:rPr>
          <w:sz w:val="24"/>
        </w:rPr>
        <w:sectPr>
          <w:pgSz w:w="12240" w:h="15840"/>
          <w:pgMar w:header="0" w:footer="1012" w:top="1820" w:bottom="1200" w:left="1020" w:right="720"/>
        </w:sectPr>
      </w:pPr>
    </w:p>
    <w:p>
      <w:pPr>
        <w:pStyle w:val="BodyText"/>
        <w:ind w:left="436"/>
        <w:rPr>
          <w:sz w:val="20"/>
        </w:rPr>
      </w:pPr>
      <w:r>
        <w:rPr>
          <w:sz w:val="20"/>
        </w:rPr>
        <w:drawing>
          <wp:inline distT="0" distB="0" distL="0" distR="0">
            <wp:extent cx="5572283" cy="341195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80" cstate="print"/>
                    <a:stretch>
                      <a:fillRect/>
                    </a:stretch>
                  </pic:blipFill>
                  <pic:spPr>
                    <a:xfrm>
                      <a:off x="0" y="0"/>
                      <a:ext cx="5572283" cy="3411950"/>
                    </a:xfrm>
                    <a:prstGeom prst="rect">
                      <a:avLst/>
                    </a:prstGeom>
                  </pic:spPr>
                </pic:pic>
              </a:graphicData>
            </a:graphic>
          </wp:inline>
        </w:drawing>
      </w:r>
      <w:r>
        <w:rPr>
          <w:sz w:val="20"/>
        </w:rPr>
      </w:r>
    </w:p>
    <w:p>
      <w:pPr>
        <w:spacing w:line="480" w:lineRule="auto" w:before="250"/>
        <w:ind w:left="420" w:right="731" w:firstLine="0"/>
        <w:jc w:val="both"/>
        <w:rPr>
          <w:b/>
          <w:sz w:val="24"/>
        </w:rPr>
      </w:pPr>
      <w:r>
        <w:rPr>
          <w:b/>
          <w:sz w:val="24"/>
        </w:rPr>
        <w:t>Figure 4.6 Mean concentrations of Zn in four brands of compound Poultry feeds [(PA), (PB), (PC) and (PD] in North central (NC), North western (NW) and North eastern (NE) Nigeria and maximum permissible limit (MPL) by European union, 2007.</w:t>
      </w:r>
    </w:p>
    <w:p>
      <w:pPr>
        <w:spacing w:after="0" w:line="480" w:lineRule="auto"/>
        <w:jc w:val="both"/>
        <w:rPr>
          <w:sz w:val="24"/>
        </w:rPr>
        <w:sectPr>
          <w:pgSz w:w="12240" w:h="15840"/>
          <w:pgMar w:header="0" w:footer="1012" w:top="1440" w:bottom="1200" w:left="1020" w:right="720"/>
        </w:sectPr>
      </w:pPr>
    </w:p>
    <w:p>
      <w:pPr>
        <w:pStyle w:val="BodyText"/>
        <w:ind w:left="436"/>
        <w:rPr>
          <w:sz w:val="20"/>
        </w:rPr>
      </w:pPr>
      <w:r>
        <w:rPr>
          <w:sz w:val="20"/>
        </w:rPr>
        <w:drawing>
          <wp:inline distT="0" distB="0" distL="0" distR="0">
            <wp:extent cx="5645871" cy="3885819"/>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81" cstate="print"/>
                    <a:stretch>
                      <a:fillRect/>
                    </a:stretch>
                  </pic:blipFill>
                  <pic:spPr>
                    <a:xfrm>
                      <a:off x="0" y="0"/>
                      <a:ext cx="5645871" cy="3885819"/>
                    </a:xfrm>
                    <a:prstGeom prst="rect">
                      <a:avLst/>
                    </a:prstGeom>
                  </pic:spPr>
                </pic:pic>
              </a:graphicData>
            </a:graphic>
          </wp:inline>
        </w:drawing>
      </w:r>
      <w:r>
        <w:rPr>
          <w:sz w:val="20"/>
        </w:rPr>
      </w:r>
    </w:p>
    <w:p>
      <w:pPr>
        <w:spacing w:line="480" w:lineRule="auto" w:before="253"/>
        <w:ind w:left="420" w:right="725" w:firstLine="0"/>
        <w:jc w:val="both"/>
        <w:rPr>
          <w:b/>
          <w:sz w:val="24"/>
        </w:rPr>
      </w:pPr>
      <w:r>
        <w:rPr>
          <w:b/>
          <w:sz w:val="24"/>
        </w:rPr>
        <w:t>Figure 4.7 Mean concentrations of Cu in four brands of compound Poultry feeds [(PA), (PB), (PC) and (PD] in North central (NC), North western (NW) and North eastern (NE) Nigeria and maximum permissible limit (MPL) by European union, 2007.</w:t>
      </w:r>
    </w:p>
    <w:p>
      <w:pPr>
        <w:spacing w:after="0" w:line="480" w:lineRule="auto"/>
        <w:jc w:val="both"/>
        <w:rPr>
          <w:sz w:val="24"/>
        </w:rPr>
        <w:sectPr>
          <w:pgSz w:w="12240" w:h="15840"/>
          <w:pgMar w:header="0" w:footer="1012" w:top="1440" w:bottom="1200" w:left="1020" w:right="720"/>
        </w:sectPr>
      </w:pPr>
    </w:p>
    <w:p>
      <w:pPr>
        <w:pStyle w:val="BodyText"/>
        <w:ind w:left="435"/>
        <w:rPr>
          <w:sz w:val="20"/>
        </w:rPr>
      </w:pPr>
      <w:r>
        <w:rPr>
          <w:sz w:val="20"/>
        </w:rPr>
        <w:drawing>
          <wp:inline distT="0" distB="0" distL="0" distR="0">
            <wp:extent cx="5268438" cy="3759327"/>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82" cstate="print"/>
                    <a:stretch>
                      <a:fillRect/>
                    </a:stretch>
                  </pic:blipFill>
                  <pic:spPr>
                    <a:xfrm>
                      <a:off x="0" y="0"/>
                      <a:ext cx="5268438" cy="3759327"/>
                    </a:xfrm>
                    <a:prstGeom prst="rect">
                      <a:avLst/>
                    </a:prstGeom>
                  </pic:spPr>
                </pic:pic>
              </a:graphicData>
            </a:graphic>
          </wp:inline>
        </w:drawing>
      </w:r>
      <w:r>
        <w:rPr>
          <w:sz w:val="20"/>
        </w:rPr>
      </w:r>
    </w:p>
    <w:p>
      <w:pPr>
        <w:spacing w:line="480" w:lineRule="auto" w:before="246"/>
        <w:ind w:left="420" w:right="725" w:firstLine="0"/>
        <w:jc w:val="both"/>
        <w:rPr>
          <w:b/>
          <w:sz w:val="24"/>
        </w:rPr>
      </w:pPr>
      <w:r>
        <w:rPr>
          <w:b/>
          <w:sz w:val="24"/>
        </w:rPr>
        <w:t>Figure 4.8 Mean concentrations of Ni in four brands of compound Poultry feeds [(PA), (PB), (PC) and Gold (PD] in North central (NC), North western (NW) and North eastern (NE) Nigeria and maximum permissible limit (MPL) by European union, 2007.</w:t>
      </w:r>
    </w:p>
    <w:p>
      <w:pPr>
        <w:spacing w:after="0" w:line="480" w:lineRule="auto"/>
        <w:jc w:val="both"/>
        <w:rPr>
          <w:sz w:val="24"/>
        </w:rPr>
        <w:sectPr>
          <w:pgSz w:w="12240" w:h="15840"/>
          <w:pgMar w:header="0" w:footer="1012" w:top="1440" w:bottom="1200" w:left="1020" w:right="720"/>
        </w:sectPr>
      </w:pPr>
    </w:p>
    <w:p>
      <w:pPr>
        <w:pStyle w:val="BodyText"/>
        <w:ind w:left="431"/>
        <w:rPr>
          <w:sz w:val="20"/>
        </w:rPr>
      </w:pPr>
      <w:r>
        <w:rPr>
          <w:sz w:val="20"/>
        </w:rPr>
        <mc:AlternateContent>
          <mc:Choice Requires="wps">
            <w:drawing>
              <wp:inline distT="0" distB="0" distL="0" distR="0">
                <wp:extent cx="5604510" cy="4267200"/>
                <wp:effectExtent l="0" t="0" r="0" b="0"/>
                <wp:docPr id="36" name="Group 36"/>
                <wp:cNvGraphicFramePr>
                  <a:graphicFrameLocks/>
                </wp:cNvGraphicFramePr>
                <a:graphic>
                  <a:graphicData uri="http://schemas.microsoft.com/office/word/2010/wordprocessingGroup">
                    <wpg:wgp>
                      <wpg:cNvPr id="36" name="Group 36"/>
                      <wpg:cNvGrpSpPr/>
                      <wpg:grpSpPr>
                        <a:xfrm>
                          <a:off x="0" y="0"/>
                          <a:ext cx="5604510" cy="4267200"/>
                          <a:chExt cx="5604510" cy="4267200"/>
                        </a:xfrm>
                      </wpg:grpSpPr>
                      <pic:pic>
                        <pic:nvPicPr>
                          <pic:cNvPr id="37" name="Image 37"/>
                          <pic:cNvPicPr/>
                        </pic:nvPicPr>
                        <pic:blipFill>
                          <a:blip r:embed="rId83" cstate="print"/>
                          <a:stretch>
                            <a:fillRect/>
                          </a:stretch>
                        </pic:blipFill>
                        <pic:spPr>
                          <a:xfrm>
                            <a:off x="0" y="0"/>
                            <a:ext cx="5603993" cy="4267200"/>
                          </a:xfrm>
                          <a:prstGeom prst="rect">
                            <a:avLst/>
                          </a:prstGeom>
                        </pic:spPr>
                      </pic:pic>
                      <wps:wsp>
                        <wps:cNvPr id="38" name="Graphic 38"/>
                        <wps:cNvSpPr/>
                        <wps:spPr>
                          <a:xfrm>
                            <a:off x="725922" y="544194"/>
                            <a:ext cx="9525" cy="1590675"/>
                          </a:xfrm>
                          <a:custGeom>
                            <a:avLst/>
                            <a:gdLst/>
                            <a:ahLst/>
                            <a:cxnLst/>
                            <a:rect l="l" t="t" r="r" b="b"/>
                            <a:pathLst>
                              <a:path w="9525" h="1590675">
                                <a:moveTo>
                                  <a:pt x="0" y="1590675"/>
                                </a:moveTo>
                                <a:lnTo>
                                  <a:pt x="95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3pt;height:336pt;mso-position-horizontal-relative:char;mso-position-vertical-relative:line" id="docshapegroup18" coordorigin="0,0" coordsize="8826,6720">
                <v:shape style="position:absolute;left:0;top:0;width:8826;height:6720" type="#_x0000_t75" id="docshape19" stroked="false">
                  <v:imagedata r:id="rId83" o:title=""/>
                </v:shape>
                <v:line style="position:absolute" from="1143,3362" to="1158,857" stroked="true" strokeweight=".75pt" strokecolor="#000000">
                  <v:stroke dashstyle="solid"/>
                </v:line>
              </v:group>
            </w:pict>
          </mc:Fallback>
        </mc:AlternateContent>
      </w:r>
      <w:r>
        <w:rPr>
          <w:sz w:val="20"/>
        </w:rPr>
      </w:r>
    </w:p>
    <w:p>
      <w:pPr>
        <w:spacing w:line="480" w:lineRule="auto" w:before="219"/>
        <w:ind w:left="420" w:right="725" w:firstLine="0"/>
        <w:jc w:val="both"/>
        <w:rPr>
          <w:b/>
          <w:sz w:val="24"/>
        </w:rPr>
      </w:pPr>
      <w:r>
        <w:rPr>
          <w:b/>
          <w:sz w:val="24"/>
        </w:rPr>
        <w:t>Figure 4.9 Mean concentrations of Pb in four brands of compound Poultry feeds [(PA), (PB),</w:t>
      </w:r>
      <w:r>
        <w:rPr>
          <w:b/>
          <w:spacing w:val="40"/>
          <w:sz w:val="24"/>
        </w:rPr>
        <w:t> </w:t>
      </w:r>
      <w:r>
        <w:rPr>
          <w:b/>
          <w:sz w:val="24"/>
        </w:rPr>
        <w:t>(PC) and</w:t>
      </w:r>
      <w:r>
        <w:rPr>
          <w:b/>
          <w:spacing w:val="40"/>
          <w:sz w:val="24"/>
        </w:rPr>
        <w:t> </w:t>
      </w:r>
      <w:r>
        <w:rPr>
          <w:b/>
          <w:sz w:val="24"/>
        </w:rPr>
        <w:t>(PD] in North central (NC), North western (NW) and North eastern (NE) Nigeria and maximum permissible limit (MPL) by European union, 2007.</w:t>
      </w:r>
    </w:p>
    <w:p>
      <w:pPr>
        <w:spacing w:after="0" w:line="480" w:lineRule="auto"/>
        <w:jc w:val="both"/>
        <w:rPr>
          <w:sz w:val="24"/>
        </w:rPr>
        <w:sectPr>
          <w:pgSz w:w="12240" w:h="15840"/>
          <w:pgMar w:header="0" w:footer="1012" w:top="1440" w:bottom="1200" w:left="1020" w:right="720"/>
        </w:sectPr>
      </w:pPr>
    </w:p>
    <w:p>
      <w:pPr>
        <w:pStyle w:val="BodyText"/>
        <w:ind w:left="431"/>
        <w:rPr>
          <w:sz w:val="20"/>
        </w:rPr>
      </w:pPr>
      <w:r>
        <w:rPr>
          <w:sz w:val="20"/>
        </w:rPr>
        <w:drawing>
          <wp:inline distT="0" distB="0" distL="0" distR="0">
            <wp:extent cx="5472373" cy="399507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84" cstate="print"/>
                    <a:stretch>
                      <a:fillRect/>
                    </a:stretch>
                  </pic:blipFill>
                  <pic:spPr>
                    <a:xfrm>
                      <a:off x="0" y="0"/>
                      <a:ext cx="5472373" cy="3995070"/>
                    </a:xfrm>
                    <a:prstGeom prst="rect">
                      <a:avLst/>
                    </a:prstGeom>
                  </pic:spPr>
                </pic:pic>
              </a:graphicData>
            </a:graphic>
          </wp:inline>
        </w:drawing>
      </w:r>
      <w:r>
        <w:rPr>
          <w:sz w:val="20"/>
        </w:rPr>
      </w:r>
    </w:p>
    <w:p>
      <w:pPr>
        <w:pStyle w:val="BodyText"/>
        <w:rPr>
          <w:b/>
        </w:rPr>
      </w:pPr>
    </w:p>
    <w:p>
      <w:pPr>
        <w:pStyle w:val="BodyText"/>
        <w:spacing w:before="196"/>
        <w:rPr>
          <w:b/>
        </w:rPr>
      </w:pPr>
    </w:p>
    <w:p>
      <w:pPr>
        <w:spacing w:line="480" w:lineRule="auto" w:before="0"/>
        <w:ind w:left="420" w:right="725" w:firstLine="0"/>
        <w:jc w:val="both"/>
        <w:rPr>
          <w:b/>
          <w:sz w:val="24"/>
        </w:rPr>
      </w:pPr>
      <w:r>
        <w:rPr>
          <w:b/>
          <w:sz w:val="24"/>
        </w:rPr>
        <w:t>Figure 4.10. Mean concentrations of As in four brands of compound Poultry feeds [(PA), (PB),</w:t>
      </w:r>
      <w:r>
        <w:rPr>
          <w:b/>
          <w:spacing w:val="40"/>
          <w:sz w:val="24"/>
        </w:rPr>
        <w:t> </w:t>
      </w:r>
      <w:r>
        <w:rPr>
          <w:b/>
          <w:sz w:val="24"/>
        </w:rPr>
        <w:t>(PC) and</w:t>
      </w:r>
      <w:r>
        <w:rPr>
          <w:b/>
          <w:spacing w:val="40"/>
          <w:sz w:val="24"/>
        </w:rPr>
        <w:t> </w:t>
      </w:r>
      <w:r>
        <w:rPr>
          <w:b/>
          <w:sz w:val="24"/>
        </w:rPr>
        <w:t>(PD] in North central (NC), North western (NW) and North eastern (NE) Nigeria and maximum permissible limit (MPL) by European union, 2007.</w:t>
      </w:r>
    </w:p>
    <w:p>
      <w:pPr>
        <w:spacing w:after="0" w:line="480" w:lineRule="auto"/>
        <w:jc w:val="both"/>
        <w:rPr>
          <w:sz w:val="24"/>
        </w:rPr>
        <w:sectPr>
          <w:pgSz w:w="12240" w:h="15840"/>
          <w:pgMar w:header="0" w:footer="1012" w:top="144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4"/>
        <w:rPr>
          <w:b/>
          <w:sz w:val="20"/>
        </w:rPr>
      </w:pPr>
    </w:p>
    <w:p>
      <w:pPr>
        <w:pStyle w:val="BodyText"/>
        <w:ind w:left="431"/>
        <w:rPr>
          <w:sz w:val="20"/>
        </w:rPr>
      </w:pPr>
      <w:r>
        <w:rPr>
          <w:sz w:val="20"/>
        </w:rPr>
        <w:drawing>
          <wp:inline distT="0" distB="0" distL="0" distR="0">
            <wp:extent cx="5246521" cy="377190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85" cstate="print"/>
                    <a:stretch>
                      <a:fillRect/>
                    </a:stretch>
                  </pic:blipFill>
                  <pic:spPr>
                    <a:xfrm>
                      <a:off x="0" y="0"/>
                      <a:ext cx="5246521" cy="3771900"/>
                    </a:xfrm>
                    <a:prstGeom prst="rect">
                      <a:avLst/>
                    </a:prstGeom>
                  </pic:spPr>
                </pic:pic>
              </a:graphicData>
            </a:graphic>
          </wp:inline>
        </w:drawing>
      </w:r>
      <w:r>
        <w:rPr>
          <w:sz w:val="20"/>
        </w:rPr>
      </w:r>
    </w:p>
    <w:p>
      <w:pPr>
        <w:pStyle w:val="BodyText"/>
        <w:spacing w:before="86"/>
        <w:rPr>
          <w:b/>
        </w:rPr>
      </w:pPr>
    </w:p>
    <w:p>
      <w:pPr>
        <w:spacing w:line="480" w:lineRule="auto" w:before="0"/>
        <w:ind w:left="420" w:right="765" w:firstLine="0"/>
        <w:jc w:val="left"/>
        <w:rPr>
          <w:b/>
          <w:sz w:val="24"/>
        </w:rPr>
      </w:pPr>
      <w:r>
        <w:rPr>
          <w:b/>
          <w:sz w:val="24"/>
        </w:rPr>
        <w:t>Figure 4.11 Mean concentration of zinc in forage grasses across grazing areas in Northern Nigeria and maximum permissible limit (MPL) by European Union, 2007.</w:t>
      </w:r>
    </w:p>
    <w:p>
      <w:pPr>
        <w:spacing w:after="0" w:line="480" w:lineRule="auto"/>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0"/>
        <w:rPr>
          <w:b/>
          <w:sz w:val="20"/>
        </w:rPr>
      </w:pPr>
    </w:p>
    <w:p>
      <w:pPr>
        <w:pStyle w:val="BodyText"/>
        <w:ind w:left="430"/>
        <w:rPr>
          <w:sz w:val="20"/>
        </w:rPr>
      </w:pPr>
      <w:r>
        <w:rPr>
          <w:sz w:val="20"/>
        </w:rPr>
        <w:drawing>
          <wp:inline distT="0" distB="0" distL="0" distR="0">
            <wp:extent cx="5186303" cy="3686175"/>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86" cstate="print"/>
                    <a:stretch>
                      <a:fillRect/>
                    </a:stretch>
                  </pic:blipFill>
                  <pic:spPr>
                    <a:xfrm>
                      <a:off x="0" y="0"/>
                      <a:ext cx="5186303" cy="3686175"/>
                    </a:xfrm>
                    <a:prstGeom prst="rect">
                      <a:avLst/>
                    </a:prstGeom>
                  </pic:spPr>
                </pic:pic>
              </a:graphicData>
            </a:graphic>
          </wp:inline>
        </w:drawing>
      </w:r>
      <w:r>
        <w:rPr>
          <w:sz w:val="20"/>
        </w:rPr>
      </w:r>
    </w:p>
    <w:p>
      <w:pPr>
        <w:pStyle w:val="BodyText"/>
        <w:spacing w:before="134"/>
        <w:rPr>
          <w:b/>
        </w:rPr>
      </w:pPr>
    </w:p>
    <w:p>
      <w:pPr>
        <w:spacing w:line="480" w:lineRule="auto" w:before="0"/>
        <w:ind w:left="420" w:right="0" w:firstLine="0"/>
        <w:jc w:val="left"/>
        <w:rPr>
          <w:b/>
          <w:sz w:val="24"/>
        </w:rPr>
      </w:pPr>
      <w:r>
        <w:rPr>
          <w:b/>
          <w:sz w:val="24"/>
        </w:rPr>
        <w:t>Figure</w:t>
      </w:r>
      <w:r>
        <w:rPr>
          <w:b/>
          <w:spacing w:val="69"/>
          <w:sz w:val="24"/>
        </w:rPr>
        <w:t> </w:t>
      </w:r>
      <w:r>
        <w:rPr>
          <w:b/>
          <w:sz w:val="24"/>
        </w:rPr>
        <w:t>4.12</w:t>
      </w:r>
      <w:r>
        <w:rPr>
          <w:b/>
          <w:spacing w:val="70"/>
          <w:sz w:val="24"/>
        </w:rPr>
        <w:t> </w:t>
      </w:r>
      <w:r>
        <w:rPr>
          <w:b/>
          <w:sz w:val="24"/>
        </w:rPr>
        <w:t>Mean</w:t>
      </w:r>
      <w:r>
        <w:rPr>
          <w:b/>
          <w:spacing w:val="70"/>
          <w:sz w:val="24"/>
        </w:rPr>
        <w:t> </w:t>
      </w:r>
      <w:r>
        <w:rPr>
          <w:b/>
          <w:sz w:val="24"/>
        </w:rPr>
        <w:t>concentration</w:t>
      </w:r>
      <w:r>
        <w:rPr>
          <w:b/>
          <w:spacing w:val="71"/>
          <w:sz w:val="24"/>
        </w:rPr>
        <w:t> </w:t>
      </w:r>
      <w:r>
        <w:rPr>
          <w:b/>
          <w:sz w:val="24"/>
        </w:rPr>
        <w:t>of</w:t>
      </w:r>
      <w:r>
        <w:rPr>
          <w:b/>
          <w:spacing w:val="68"/>
          <w:sz w:val="24"/>
        </w:rPr>
        <w:t> </w:t>
      </w:r>
      <w:r>
        <w:rPr>
          <w:b/>
          <w:sz w:val="24"/>
        </w:rPr>
        <w:t>copper</w:t>
      </w:r>
      <w:r>
        <w:rPr>
          <w:b/>
          <w:spacing w:val="65"/>
          <w:sz w:val="24"/>
        </w:rPr>
        <w:t> </w:t>
      </w:r>
      <w:r>
        <w:rPr>
          <w:b/>
          <w:sz w:val="24"/>
        </w:rPr>
        <w:t>in</w:t>
      </w:r>
      <w:r>
        <w:rPr>
          <w:b/>
          <w:spacing w:val="70"/>
          <w:sz w:val="24"/>
        </w:rPr>
        <w:t> </w:t>
      </w:r>
      <w:r>
        <w:rPr>
          <w:b/>
          <w:sz w:val="24"/>
        </w:rPr>
        <w:t>forage</w:t>
      </w:r>
      <w:r>
        <w:rPr>
          <w:b/>
          <w:spacing w:val="69"/>
          <w:sz w:val="24"/>
        </w:rPr>
        <w:t> </w:t>
      </w:r>
      <w:r>
        <w:rPr>
          <w:b/>
          <w:sz w:val="24"/>
        </w:rPr>
        <w:t>grasses</w:t>
      </w:r>
      <w:r>
        <w:rPr>
          <w:b/>
          <w:spacing w:val="69"/>
          <w:sz w:val="24"/>
        </w:rPr>
        <w:t> </w:t>
      </w:r>
      <w:r>
        <w:rPr>
          <w:b/>
          <w:sz w:val="24"/>
        </w:rPr>
        <w:t>across</w:t>
      </w:r>
      <w:r>
        <w:rPr>
          <w:b/>
          <w:spacing w:val="69"/>
          <w:sz w:val="24"/>
        </w:rPr>
        <w:t> </w:t>
      </w:r>
      <w:r>
        <w:rPr>
          <w:b/>
          <w:sz w:val="24"/>
        </w:rPr>
        <w:t>grazing</w:t>
      </w:r>
      <w:r>
        <w:rPr>
          <w:b/>
          <w:spacing w:val="70"/>
          <w:sz w:val="24"/>
        </w:rPr>
        <w:t> </w:t>
      </w:r>
      <w:r>
        <w:rPr>
          <w:b/>
          <w:sz w:val="24"/>
        </w:rPr>
        <w:t>areas</w:t>
      </w:r>
      <w:r>
        <w:rPr>
          <w:b/>
          <w:spacing w:val="69"/>
          <w:sz w:val="24"/>
        </w:rPr>
        <w:t> </w:t>
      </w:r>
      <w:r>
        <w:rPr>
          <w:b/>
          <w:sz w:val="24"/>
        </w:rPr>
        <w:t>in Northern Nigeria and maximum permissible limit (MPL) by European Union, 2007</w:t>
      </w:r>
    </w:p>
    <w:p>
      <w:pPr>
        <w:spacing w:after="0" w:line="480" w:lineRule="auto"/>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2"/>
        <w:rPr>
          <w:b/>
          <w:sz w:val="20"/>
        </w:rPr>
      </w:pPr>
    </w:p>
    <w:p>
      <w:pPr>
        <w:pStyle w:val="BodyText"/>
        <w:ind w:left="431"/>
        <w:rPr>
          <w:sz w:val="20"/>
        </w:rPr>
      </w:pPr>
      <w:r>
        <w:rPr>
          <w:sz w:val="20"/>
        </w:rPr>
        <w:drawing>
          <wp:inline distT="0" distB="0" distL="0" distR="0">
            <wp:extent cx="5569632" cy="3565493"/>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87" cstate="print"/>
                    <a:stretch>
                      <a:fillRect/>
                    </a:stretch>
                  </pic:blipFill>
                  <pic:spPr>
                    <a:xfrm>
                      <a:off x="0" y="0"/>
                      <a:ext cx="5569632" cy="3565493"/>
                    </a:xfrm>
                    <a:prstGeom prst="rect">
                      <a:avLst/>
                    </a:prstGeom>
                  </pic:spPr>
                </pic:pic>
              </a:graphicData>
            </a:graphic>
          </wp:inline>
        </w:drawing>
      </w:r>
      <w:r>
        <w:rPr>
          <w:sz w:val="20"/>
        </w:rPr>
      </w:r>
    </w:p>
    <w:p>
      <w:pPr>
        <w:spacing w:line="480" w:lineRule="auto" w:before="269"/>
        <w:ind w:left="420" w:right="0" w:firstLine="0"/>
        <w:jc w:val="left"/>
        <w:rPr>
          <w:b/>
          <w:sz w:val="24"/>
        </w:rPr>
      </w:pPr>
      <w:r>
        <w:rPr>
          <w:b/>
          <w:sz w:val="24"/>
        </w:rPr>
        <w:t>Figure</w:t>
      </w:r>
      <w:r>
        <w:rPr>
          <w:b/>
          <w:spacing w:val="77"/>
          <w:sz w:val="24"/>
        </w:rPr>
        <w:t> </w:t>
      </w:r>
      <w:r>
        <w:rPr>
          <w:b/>
          <w:sz w:val="24"/>
        </w:rPr>
        <w:t>4.13</w:t>
      </w:r>
      <w:r>
        <w:rPr>
          <w:b/>
          <w:spacing w:val="74"/>
          <w:sz w:val="24"/>
        </w:rPr>
        <w:t> </w:t>
      </w:r>
      <w:r>
        <w:rPr>
          <w:b/>
          <w:sz w:val="24"/>
        </w:rPr>
        <w:t>Mean</w:t>
      </w:r>
      <w:r>
        <w:rPr>
          <w:b/>
          <w:spacing w:val="79"/>
          <w:sz w:val="24"/>
        </w:rPr>
        <w:t> </w:t>
      </w:r>
      <w:r>
        <w:rPr>
          <w:b/>
          <w:sz w:val="24"/>
        </w:rPr>
        <w:t>concentration</w:t>
      </w:r>
      <w:r>
        <w:rPr>
          <w:b/>
          <w:spacing w:val="79"/>
          <w:sz w:val="24"/>
        </w:rPr>
        <w:t> </w:t>
      </w:r>
      <w:r>
        <w:rPr>
          <w:b/>
          <w:sz w:val="24"/>
        </w:rPr>
        <w:t>of</w:t>
      </w:r>
      <w:r>
        <w:rPr>
          <w:b/>
          <w:spacing w:val="75"/>
          <w:sz w:val="24"/>
        </w:rPr>
        <w:t> </w:t>
      </w:r>
      <w:r>
        <w:rPr>
          <w:b/>
          <w:sz w:val="24"/>
        </w:rPr>
        <w:t>nickel</w:t>
      </w:r>
      <w:r>
        <w:rPr>
          <w:b/>
          <w:spacing w:val="75"/>
          <w:sz w:val="24"/>
        </w:rPr>
        <w:t> </w:t>
      </w:r>
      <w:r>
        <w:rPr>
          <w:b/>
          <w:sz w:val="24"/>
        </w:rPr>
        <w:t>in</w:t>
      </w:r>
      <w:r>
        <w:rPr>
          <w:b/>
          <w:spacing w:val="79"/>
          <w:sz w:val="24"/>
        </w:rPr>
        <w:t> </w:t>
      </w:r>
      <w:r>
        <w:rPr>
          <w:b/>
          <w:sz w:val="24"/>
        </w:rPr>
        <w:t>forage</w:t>
      </w:r>
      <w:r>
        <w:rPr>
          <w:b/>
          <w:spacing w:val="77"/>
          <w:sz w:val="24"/>
        </w:rPr>
        <w:t> </w:t>
      </w:r>
      <w:r>
        <w:rPr>
          <w:b/>
          <w:sz w:val="24"/>
        </w:rPr>
        <w:t>grasses</w:t>
      </w:r>
      <w:r>
        <w:rPr>
          <w:b/>
          <w:spacing w:val="76"/>
          <w:sz w:val="24"/>
        </w:rPr>
        <w:t> </w:t>
      </w:r>
      <w:r>
        <w:rPr>
          <w:b/>
          <w:sz w:val="24"/>
        </w:rPr>
        <w:t>across</w:t>
      </w:r>
      <w:r>
        <w:rPr>
          <w:b/>
          <w:spacing w:val="76"/>
          <w:sz w:val="24"/>
        </w:rPr>
        <w:t> </w:t>
      </w:r>
      <w:r>
        <w:rPr>
          <w:b/>
          <w:sz w:val="24"/>
        </w:rPr>
        <w:t>grazing</w:t>
      </w:r>
      <w:r>
        <w:rPr>
          <w:b/>
          <w:spacing w:val="78"/>
          <w:sz w:val="24"/>
        </w:rPr>
        <w:t> </w:t>
      </w:r>
      <w:r>
        <w:rPr>
          <w:b/>
          <w:sz w:val="24"/>
        </w:rPr>
        <w:t>areas</w:t>
      </w:r>
      <w:r>
        <w:rPr>
          <w:b/>
          <w:spacing w:val="76"/>
          <w:sz w:val="24"/>
        </w:rPr>
        <w:t> </w:t>
      </w:r>
      <w:r>
        <w:rPr>
          <w:b/>
          <w:sz w:val="24"/>
        </w:rPr>
        <w:t>in Northern Nigeria and maximum permissible limit (MPL) by European Union, 2007</w:t>
      </w:r>
    </w:p>
    <w:p>
      <w:pPr>
        <w:spacing w:after="0" w:line="480" w:lineRule="auto"/>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2"/>
        <w:rPr>
          <w:b/>
          <w:sz w:val="20"/>
        </w:rPr>
      </w:pPr>
    </w:p>
    <w:p>
      <w:pPr>
        <w:pStyle w:val="BodyText"/>
        <w:ind w:left="431"/>
        <w:rPr>
          <w:sz w:val="20"/>
        </w:rPr>
      </w:pPr>
      <w:r>
        <w:rPr>
          <w:sz w:val="20"/>
        </w:rPr>
        <w:drawing>
          <wp:inline distT="0" distB="0" distL="0" distR="0">
            <wp:extent cx="5373318" cy="407193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88" cstate="print"/>
                    <a:stretch>
                      <a:fillRect/>
                    </a:stretch>
                  </pic:blipFill>
                  <pic:spPr>
                    <a:xfrm>
                      <a:off x="0" y="0"/>
                      <a:ext cx="5373318" cy="4071937"/>
                    </a:xfrm>
                    <a:prstGeom prst="rect">
                      <a:avLst/>
                    </a:prstGeom>
                  </pic:spPr>
                </pic:pic>
              </a:graphicData>
            </a:graphic>
          </wp:inline>
        </w:drawing>
      </w:r>
      <w:r>
        <w:rPr>
          <w:sz w:val="20"/>
        </w:rPr>
      </w:r>
    </w:p>
    <w:p>
      <w:pPr>
        <w:spacing w:line="480" w:lineRule="auto" w:before="235"/>
        <w:ind w:left="420" w:right="765" w:firstLine="0"/>
        <w:jc w:val="left"/>
        <w:rPr>
          <w:b/>
          <w:sz w:val="24"/>
        </w:rPr>
      </w:pPr>
      <w:r>
        <w:rPr>
          <w:b/>
          <w:sz w:val="24"/>
        </w:rPr>
        <w:t>Figure 4.14 Mean concentration of lead in forage grasses across grazing areas in Northern Nigeria and maximum permissible limit (MPL) by European Union, 2007</w:t>
      </w:r>
    </w:p>
    <w:p>
      <w:pPr>
        <w:spacing w:after="0" w:line="480" w:lineRule="auto"/>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spacing w:before="116"/>
        <w:rPr>
          <w:b/>
          <w:sz w:val="20"/>
        </w:rPr>
      </w:pPr>
    </w:p>
    <w:p>
      <w:pPr>
        <w:pStyle w:val="BodyText"/>
        <w:ind w:left="431"/>
        <w:rPr>
          <w:sz w:val="20"/>
        </w:rPr>
      </w:pPr>
      <w:r>
        <w:rPr>
          <w:sz w:val="20"/>
        </w:rPr>
        <w:drawing>
          <wp:inline distT="0" distB="0" distL="0" distR="0">
            <wp:extent cx="5471016" cy="3780282"/>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89" cstate="print"/>
                    <a:stretch>
                      <a:fillRect/>
                    </a:stretch>
                  </pic:blipFill>
                  <pic:spPr>
                    <a:xfrm>
                      <a:off x="0" y="0"/>
                      <a:ext cx="5471016" cy="3780282"/>
                    </a:xfrm>
                    <a:prstGeom prst="rect">
                      <a:avLst/>
                    </a:prstGeom>
                  </pic:spPr>
                </pic:pic>
              </a:graphicData>
            </a:graphic>
          </wp:inline>
        </w:drawing>
      </w:r>
      <w:r>
        <w:rPr>
          <w:sz w:val="20"/>
        </w:rPr>
      </w:r>
    </w:p>
    <w:p>
      <w:pPr>
        <w:spacing w:line="480" w:lineRule="auto" w:before="237"/>
        <w:ind w:left="420" w:right="0" w:firstLine="0"/>
        <w:jc w:val="left"/>
        <w:rPr>
          <w:b/>
          <w:sz w:val="24"/>
        </w:rPr>
      </w:pPr>
      <w:r>
        <w:rPr>
          <w:b/>
          <w:sz w:val="24"/>
        </w:rPr>
        <w:t>Figure</w:t>
      </w:r>
      <w:r>
        <w:rPr>
          <w:b/>
          <w:spacing w:val="65"/>
          <w:sz w:val="24"/>
        </w:rPr>
        <w:t> </w:t>
      </w:r>
      <w:r>
        <w:rPr>
          <w:b/>
          <w:sz w:val="24"/>
        </w:rPr>
        <w:t>4.15</w:t>
      </w:r>
      <w:r>
        <w:rPr>
          <w:b/>
          <w:spacing w:val="66"/>
          <w:sz w:val="24"/>
        </w:rPr>
        <w:t> </w:t>
      </w:r>
      <w:r>
        <w:rPr>
          <w:b/>
          <w:sz w:val="24"/>
        </w:rPr>
        <w:t>Mean</w:t>
      </w:r>
      <w:r>
        <w:rPr>
          <w:b/>
          <w:spacing w:val="67"/>
          <w:sz w:val="24"/>
        </w:rPr>
        <w:t> </w:t>
      </w:r>
      <w:r>
        <w:rPr>
          <w:b/>
          <w:sz w:val="24"/>
        </w:rPr>
        <w:t>concentration</w:t>
      </w:r>
      <w:r>
        <w:rPr>
          <w:b/>
          <w:spacing w:val="67"/>
          <w:sz w:val="24"/>
        </w:rPr>
        <w:t> </w:t>
      </w:r>
      <w:r>
        <w:rPr>
          <w:b/>
          <w:sz w:val="24"/>
        </w:rPr>
        <w:t>of</w:t>
      </w:r>
      <w:r>
        <w:rPr>
          <w:b/>
          <w:spacing w:val="67"/>
          <w:sz w:val="24"/>
        </w:rPr>
        <w:t> </w:t>
      </w:r>
      <w:r>
        <w:rPr>
          <w:b/>
          <w:sz w:val="24"/>
        </w:rPr>
        <w:t>arsenic</w:t>
      </w:r>
      <w:r>
        <w:rPr>
          <w:b/>
          <w:spacing w:val="70"/>
          <w:sz w:val="24"/>
        </w:rPr>
        <w:t> </w:t>
      </w:r>
      <w:r>
        <w:rPr>
          <w:b/>
          <w:sz w:val="24"/>
        </w:rPr>
        <w:t>in</w:t>
      </w:r>
      <w:r>
        <w:rPr>
          <w:b/>
          <w:spacing w:val="67"/>
          <w:sz w:val="24"/>
        </w:rPr>
        <w:t> </w:t>
      </w:r>
      <w:r>
        <w:rPr>
          <w:b/>
          <w:sz w:val="24"/>
        </w:rPr>
        <w:t>forage</w:t>
      </w:r>
      <w:r>
        <w:rPr>
          <w:b/>
          <w:spacing w:val="69"/>
          <w:sz w:val="24"/>
        </w:rPr>
        <w:t> </w:t>
      </w:r>
      <w:r>
        <w:rPr>
          <w:b/>
          <w:sz w:val="24"/>
        </w:rPr>
        <w:t>grasses</w:t>
      </w:r>
      <w:r>
        <w:rPr>
          <w:b/>
          <w:spacing w:val="68"/>
          <w:sz w:val="24"/>
        </w:rPr>
        <w:t> </w:t>
      </w:r>
      <w:r>
        <w:rPr>
          <w:b/>
          <w:sz w:val="24"/>
        </w:rPr>
        <w:t>across</w:t>
      </w:r>
      <w:r>
        <w:rPr>
          <w:b/>
          <w:spacing w:val="68"/>
          <w:sz w:val="24"/>
        </w:rPr>
        <w:t> </w:t>
      </w:r>
      <w:r>
        <w:rPr>
          <w:b/>
          <w:sz w:val="24"/>
        </w:rPr>
        <w:t>grazing</w:t>
      </w:r>
      <w:r>
        <w:rPr>
          <w:b/>
          <w:spacing w:val="66"/>
          <w:sz w:val="24"/>
        </w:rPr>
        <w:t> </w:t>
      </w:r>
      <w:r>
        <w:rPr>
          <w:b/>
          <w:sz w:val="24"/>
        </w:rPr>
        <w:t>areas</w:t>
      </w:r>
      <w:r>
        <w:rPr>
          <w:b/>
          <w:spacing w:val="40"/>
          <w:sz w:val="24"/>
        </w:rPr>
        <w:t> </w:t>
      </w:r>
      <w:r>
        <w:rPr>
          <w:b/>
          <w:sz w:val="24"/>
        </w:rPr>
        <w:t>in Northern Nigeria and maximum permissible limit (MPL) by European Union, 2007</w:t>
      </w:r>
    </w:p>
    <w:p>
      <w:pPr>
        <w:spacing w:after="0" w:line="480" w:lineRule="auto"/>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7"/>
        <w:rPr>
          <w:b/>
          <w:sz w:val="20"/>
        </w:rPr>
      </w:pPr>
    </w:p>
    <w:p>
      <w:pPr>
        <w:pStyle w:val="BodyText"/>
        <w:ind w:left="430"/>
        <w:rPr>
          <w:sz w:val="20"/>
        </w:rPr>
      </w:pPr>
      <w:r>
        <w:rPr>
          <w:sz w:val="20"/>
        </w:rPr>
        <w:drawing>
          <wp:inline distT="0" distB="0" distL="0" distR="0">
            <wp:extent cx="5441781" cy="3264789"/>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90" cstate="print"/>
                    <a:stretch>
                      <a:fillRect/>
                    </a:stretch>
                  </pic:blipFill>
                  <pic:spPr>
                    <a:xfrm>
                      <a:off x="0" y="0"/>
                      <a:ext cx="5441781" cy="3264789"/>
                    </a:xfrm>
                    <a:prstGeom prst="rect">
                      <a:avLst/>
                    </a:prstGeom>
                  </pic:spPr>
                </pic:pic>
              </a:graphicData>
            </a:graphic>
          </wp:inline>
        </w:drawing>
      </w:r>
      <w:r>
        <w:rPr>
          <w:sz w:val="20"/>
        </w:rPr>
      </w:r>
    </w:p>
    <w:p>
      <w:pPr>
        <w:spacing w:before="257"/>
        <w:ind w:left="420" w:right="0" w:firstLine="0"/>
        <w:jc w:val="left"/>
        <w:rPr>
          <w:b/>
          <w:sz w:val="24"/>
        </w:rPr>
      </w:pPr>
      <w:r>
        <w:rPr>
          <w:b/>
          <w:sz w:val="24"/>
        </w:rPr>
        <w:t>Figure</w:t>
      </w:r>
      <w:r>
        <w:rPr>
          <w:b/>
          <w:spacing w:val="-3"/>
          <w:sz w:val="24"/>
        </w:rPr>
        <w:t> </w:t>
      </w:r>
      <w:r>
        <w:rPr>
          <w:b/>
          <w:sz w:val="24"/>
        </w:rPr>
        <w:t>4.16</w:t>
      </w:r>
      <w:r>
        <w:rPr>
          <w:b/>
          <w:spacing w:val="-7"/>
          <w:sz w:val="24"/>
        </w:rPr>
        <w:t> </w:t>
      </w:r>
      <w:r>
        <w:rPr>
          <w:b/>
          <w:sz w:val="24"/>
        </w:rPr>
        <w:t>Mean</w:t>
      </w:r>
      <w:r>
        <w:rPr>
          <w:b/>
          <w:spacing w:val="-2"/>
          <w:sz w:val="24"/>
        </w:rPr>
        <w:t> </w:t>
      </w:r>
      <w:r>
        <w:rPr>
          <w:b/>
          <w:sz w:val="24"/>
        </w:rPr>
        <w:t>zinc</w:t>
      </w:r>
      <w:r>
        <w:rPr>
          <w:b/>
          <w:spacing w:val="-3"/>
          <w:sz w:val="24"/>
        </w:rPr>
        <w:t> </w:t>
      </w:r>
      <w:r>
        <w:rPr>
          <w:b/>
          <w:sz w:val="24"/>
        </w:rPr>
        <w:t>concentrations</w:t>
      </w:r>
      <w:r>
        <w:rPr>
          <w:b/>
          <w:spacing w:val="-4"/>
          <w:sz w:val="24"/>
        </w:rPr>
        <w:t> </w:t>
      </w:r>
      <w:r>
        <w:rPr>
          <w:b/>
          <w:sz w:val="24"/>
        </w:rPr>
        <w:t>in</w:t>
      </w:r>
      <w:r>
        <w:rPr>
          <w:b/>
          <w:spacing w:val="-1"/>
          <w:sz w:val="24"/>
        </w:rPr>
        <w:t> </w:t>
      </w:r>
      <w:r>
        <w:rPr>
          <w:b/>
          <w:sz w:val="24"/>
        </w:rPr>
        <w:t>poultry</w:t>
      </w:r>
      <w:r>
        <w:rPr>
          <w:b/>
          <w:spacing w:val="-2"/>
          <w:sz w:val="24"/>
        </w:rPr>
        <w:t> </w:t>
      </w:r>
      <w:r>
        <w:rPr>
          <w:b/>
          <w:sz w:val="24"/>
        </w:rPr>
        <w:t>and</w:t>
      </w:r>
      <w:r>
        <w:rPr>
          <w:b/>
          <w:spacing w:val="-2"/>
          <w:sz w:val="24"/>
        </w:rPr>
        <w:t> </w:t>
      </w:r>
      <w:r>
        <w:rPr>
          <w:b/>
          <w:sz w:val="24"/>
        </w:rPr>
        <w:t>cattle</w:t>
      </w:r>
      <w:r>
        <w:rPr>
          <w:b/>
          <w:spacing w:val="-3"/>
          <w:sz w:val="24"/>
        </w:rPr>
        <w:t> </w:t>
      </w:r>
      <w:r>
        <w:rPr>
          <w:b/>
          <w:sz w:val="24"/>
        </w:rPr>
        <w:t>manure</w:t>
      </w:r>
      <w:r>
        <w:rPr>
          <w:b/>
          <w:spacing w:val="-3"/>
          <w:sz w:val="24"/>
        </w:rPr>
        <w:t> </w:t>
      </w:r>
      <w:r>
        <w:rPr>
          <w:b/>
          <w:sz w:val="24"/>
        </w:rPr>
        <w:t>in</w:t>
      </w:r>
      <w:r>
        <w:rPr>
          <w:b/>
          <w:spacing w:val="-1"/>
          <w:sz w:val="24"/>
        </w:rPr>
        <w:t> </w:t>
      </w:r>
      <w:r>
        <w:rPr>
          <w:b/>
          <w:sz w:val="24"/>
        </w:rPr>
        <w:t>Northern</w:t>
      </w:r>
      <w:r>
        <w:rPr>
          <w:b/>
          <w:spacing w:val="-2"/>
          <w:sz w:val="24"/>
        </w:rPr>
        <w:t> Nigeria</w:t>
      </w:r>
    </w:p>
    <w:p>
      <w:pPr>
        <w:spacing w:after="0"/>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2"/>
        <w:rPr>
          <w:b/>
          <w:sz w:val="20"/>
        </w:rPr>
      </w:pPr>
    </w:p>
    <w:p>
      <w:pPr>
        <w:pStyle w:val="BodyText"/>
        <w:ind w:left="430"/>
        <w:rPr>
          <w:sz w:val="20"/>
        </w:rPr>
      </w:pPr>
      <w:r>
        <w:rPr>
          <w:sz w:val="20"/>
        </w:rPr>
        <w:drawing>
          <wp:inline distT="0" distB="0" distL="0" distR="0">
            <wp:extent cx="5457967" cy="335070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91" cstate="print"/>
                    <a:stretch>
                      <a:fillRect/>
                    </a:stretch>
                  </pic:blipFill>
                  <pic:spPr>
                    <a:xfrm>
                      <a:off x="0" y="0"/>
                      <a:ext cx="5457967" cy="3350704"/>
                    </a:xfrm>
                    <a:prstGeom prst="rect">
                      <a:avLst/>
                    </a:prstGeom>
                  </pic:spPr>
                </pic:pic>
              </a:graphicData>
            </a:graphic>
          </wp:inline>
        </w:drawing>
      </w:r>
      <w:r>
        <w:rPr>
          <w:sz w:val="20"/>
        </w:rPr>
      </w:r>
    </w:p>
    <w:p>
      <w:pPr>
        <w:spacing w:before="243"/>
        <w:ind w:left="420" w:right="0" w:firstLine="0"/>
        <w:jc w:val="left"/>
        <w:rPr>
          <w:b/>
          <w:sz w:val="24"/>
        </w:rPr>
      </w:pPr>
      <w:r>
        <w:rPr>
          <w:b/>
          <w:sz w:val="24"/>
        </w:rPr>
        <w:t>Figure</w:t>
      </w:r>
      <w:r>
        <w:rPr>
          <w:b/>
          <w:spacing w:val="-3"/>
          <w:sz w:val="24"/>
        </w:rPr>
        <w:t> </w:t>
      </w:r>
      <w:r>
        <w:rPr>
          <w:b/>
          <w:sz w:val="24"/>
        </w:rPr>
        <w:t>4.17</w:t>
      </w:r>
      <w:r>
        <w:rPr>
          <w:b/>
          <w:spacing w:val="-7"/>
          <w:sz w:val="24"/>
        </w:rPr>
        <w:t> </w:t>
      </w:r>
      <w:r>
        <w:rPr>
          <w:b/>
          <w:sz w:val="24"/>
        </w:rPr>
        <w:t>Mean</w:t>
      </w:r>
      <w:r>
        <w:rPr>
          <w:b/>
          <w:spacing w:val="-2"/>
          <w:sz w:val="24"/>
        </w:rPr>
        <w:t> </w:t>
      </w:r>
      <w:r>
        <w:rPr>
          <w:b/>
          <w:sz w:val="24"/>
        </w:rPr>
        <w:t>copper</w:t>
      </w:r>
      <w:r>
        <w:rPr>
          <w:b/>
          <w:spacing w:val="-7"/>
          <w:sz w:val="24"/>
        </w:rPr>
        <w:t> </w:t>
      </w:r>
      <w:r>
        <w:rPr>
          <w:b/>
          <w:sz w:val="24"/>
        </w:rPr>
        <w:t>concentrations</w:t>
      </w:r>
      <w:r>
        <w:rPr>
          <w:b/>
          <w:spacing w:val="-4"/>
          <w:sz w:val="24"/>
        </w:rPr>
        <w:t> </w:t>
      </w:r>
      <w:r>
        <w:rPr>
          <w:b/>
          <w:sz w:val="24"/>
        </w:rPr>
        <w:t>in</w:t>
      </w:r>
      <w:r>
        <w:rPr>
          <w:b/>
          <w:spacing w:val="-1"/>
          <w:sz w:val="24"/>
        </w:rPr>
        <w:t> </w:t>
      </w:r>
      <w:r>
        <w:rPr>
          <w:b/>
          <w:sz w:val="24"/>
        </w:rPr>
        <w:t>poultry</w:t>
      </w:r>
      <w:r>
        <w:rPr>
          <w:b/>
          <w:spacing w:val="-1"/>
          <w:sz w:val="24"/>
        </w:rPr>
        <w:t> </w:t>
      </w:r>
      <w:r>
        <w:rPr>
          <w:b/>
          <w:sz w:val="24"/>
        </w:rPr>
        <w:t>and</w:t>
      </w:r>
      <w:r>
        <w:rPr>
          <w:b/>
          <w:spacing w:val="-2"/>
          <w:sz w:val="24"/>
        </w:rPr>
        <w:t> </w:t>
      </w:r>
      <w:r>
        <w:rPr>
          <w:b/>
          <w:sz w:val="24"/>
        </w:rPr>
        <w:t>cattle</w:t>
      </w:r>
      <w:r>
        <w:rPr>
          <w:b/>
          <w:spacing w:val="-3"/>
          <w:sz w:val="24"/>
        </w:rPr>
        <w:t> </w:t>
      </w:r>
      <w:r>
        <w:rPr>
          <w:b/>
          <w:sz w:val="24"/>
        </w:rPr>
        <w:t>manure</w:t>
      </w:r>
      <w:r>
        <w:rPr>
          <w:b/>
          <w:spacing w:val="-3"/>
          <w:sz w:val="24"/>
        </w:rPr>
        <w:t> </w:t>
      </w:r>
      <w:r>
        <w:rPr>
          <w:b/>
          <w:sz w:val="24"/>
        </w:rPr>
        <w:t>in</w:t>
      </w:r>
      <w:r>
        <w:rPr>
          <w:b/>
          <w:spacing w:val="-1"/>
          <w:sz w:val="24"/>
        </w:rPr>
        <w:t> </w:t>
      </w:r>
      <w:r>
        <w:rPr>
          <w:b/>
          <w:sz w:val="24"/>
        </w:rPr>
        <w:t>Northern</w:t>
      </w:r>
      <w:r>
        <w:rPr>
          <w:b/>
          <w:spacing w:val="-1"/>
          <w:sz w:val="24"/>
        </w:rPr>
        <w:t> </w:t>
      </w:r>
      <w:r>
        <w:rPr>
          <w:b/>
          <w:spacing w:val="-2"/>
          <w:sz w:val="24"/>
        </w:rPr>
        <w:t>Nigeria</w:t>
      </w:r>
    </w:p>
    <w:p>
      <w:pPr>
        <w:spacing w:after="0"/>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86"/>
        <w:rPr>
          <w:b/>
          <w:sz w:val="20"/>
        </w:rPr>
      </w:pPr>
    </w:p>
    <w:p>
      <w:pPr>
        <w:pStyle w:val="BodyText"/>
        <w:ind w:left="430"/>
        <w:rPr>
          <w:sz w:val="20"/>
        </w:rPr>
      </w:pPr>
      <w:r>
        <w:rPr>
          <w:sz w:val="20"/>
        </w:rPr>
        <w:drawing>
          <wp:inline distT="0" distB="0" distL="0" distR="0">
            <wp:extent cx="5668801" cy="330774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92" cstate="print"/>
                    <a:stretch>
                      <a:fillRect/>
                    </a:stretch>
                  </pic:blipFill>
                  <pic:spPr>
                    <a:xfrm>
                      <a:off x="0" y="0"/>
                      <a:ext cx="5668801" cy="3307746"/>
                    </a:xfrm>
                    <a:prstGeom prst="rect">
                      <a:avLst/>
                    </a:prstGeom>
                  </pic:spPr>
                </pic:pic>
              </a:graphicData>
            </a:graphic>
          </wp:inline>
        </w:drawing>
      </w:r>
      <w:r>
        <w:rPr>
          <w:sz w:val="20"/>
        </w:rPr>
      </w:r>
    </w:p>
    <w:p>
      <w:pPr>
        <w:spacing w:before="271"/>
        <w:ind w:left="420" w:right="0" w:firstLine="0"/>
        <w:jc w:val="left"/>
        <w:rPr>
          <w:b/>
          <w:sz w:val="24"/>
        </w:rPr>
      </w:pPr>
      <w:r>
        <w:rPr>
          <w:b/>
          <w:sz w:val="24"/>
        </w:rPr>
        <w:t>Figure</w:t>
      </w:r>
      <w:r>
        <w:rPr>
          <w:b/>
          <w:spacing w:val="-3"/>
          <w:sz w:val="24"/>
        </w:rPr>
        <w:t> </w:t>
      </w:r>
      <w:r>
        <w:rPr>
          <w:b/>
          <w:sz w:val="24"/>
        </w:rPr>
        <w:t>4.18</w:t>
      </w:r>
      <w:r>
        <w:rPr>
          <w:b/>
          <w:spacing w:val="-7"/>
          <w:sz w:val="24"/>
        </w:rPr>
        <w:t> </w:t>
      </w:r>
      <w:r>
        <w:rPr>
          <w:b/>
          <w:sz w:val="24"/>
        </w:rPr>
        <w:t>Mean</w:t>
      </w:r>
      <w:r>
        <w:rPr>
          <w:b/>
          <w:spacing w:val="-1"/>
          <w:sz w:val="24"/>
        </w:rPr>
        <w:t> </w:t>
      </w:r>
      <w:r>
        <w:rPr>
          <w:b/>
          <w:sz w:val="24"/>
        </w:rPr>
        <w:t>nickel</w:t>
      </w:r>
      <w:r>
        <w:rPr>
          <w:b/>
          <w:spacing w:val="-7"/>
          <w:sz w:val="24"/>
        </w:rPr>
        <w:t> </w:t>
      </w:r>
      <w:r>
        <w:rPr>
          <w:b/>
          <w:sz w:val="24"/>
        </w:rPr>
        <w:t>concentrations</w:t>
      </w:r>
      <w:r>
        <w:rPr>
          <w:b/>
          <w:spacing w:val="-3"/>
          <w:sz w:val="24"/>
        </w:rPr>
        <w:t> </w:t>
      </w:r>
      <w:r>
        <w:rPr>
          <w:b/>
          <w:sz w:val="24"/>
        </w:rPr>
        <w:t>in</w:t>
      </w:r>
      <w:r>
        <w:rPr>
          <w:b/>
          <w:spacing w:val="-1"/>
          <w:sz w:val="24"/>
        </w:rPr>
        <w:t> </w:t>
      </w:r>
      <w:r>
        <w:rPr>
          <w:b/>
          <w:sz w:val="24"/>
        </w:rPr>
        <w:t>poultry</w:t>
      </w:r>
      <w:r>
        <w:rPr>
          <w:b/>
          <w:spacing w:val="-2"/>
          <w:sz w:val="24"/>
        </w:rPr>
        <w:t> </w:t>
      </w:r>
      <w:r>
        <w:rPr>
          <w:b/>
          <w:sz w:val="24"/>
        </w:rPr>
        <w:t>and</w:t>
      </w:r>
      <w:r>
        <w:rPr>
          <w:b/>
          <w:spacing w:val="-2"/>
          <w:sz w:val="24"/>
        </w:rPr>
        <w:t> </w:t>
      </w:r>
      <w:r>
        <w:rPr>
          <w:b/>
          <w:sz w:val="24"/>
        </w:rPr>
        <w:t>cattle</w:t>
      </w:r>
      <w:r>
        <w:rPr>
          <w:b/>
          <w:spacing w:val="-2"/>
          <w:sz w:val="24"/>
        </w:rPr>
        <w:t> </w:t>
      </w:r>
      <w:r>
        <w:rPr>
          <w:b/>
          <w:sz w:val="24"/>
        </w:rPr>
        <w:t>manure</w:t>
      </w:r>
      <w:r>
        <w:rPr>
          <w:b/>
          <w:spacing w:val="-3"/>
          <w:sz w:val="24"/>
        </w:rPr>
        <w:t> </w:t>
      </w:r>
      <w:r>
        <w:rPr>
          <w:b/>
          <w:sz w:val="24"/>
        </w:rPr>
        <w:t>in</w:t>
      </w:r>
      <w:r>
        <w:rPr>
          <w:b/>
          <w:spacing w:val="-1"/>
          <w:sz w:val="24"/>
        </w:rPr>
        <w:t> </w:t>
      </w:r>
      <w:r>
        <w:rPr>
          <w:b/>
          <w:sz w:val="24"/>
        </w:rPr>
        <w:t>Northern</w:t>
      </w:r>
      <w:r>
        <w:rPr>
          <w:b/>
          <w:spacing w:val="-1"/>
          <w:sz w:val="24"/>
        </w:rPr>
        <w:t> </w:t>
      </w:r>
      <w:r>
        <w:rPr>
          <w:b/>
          <w:spacing w:val="-2"/>
          <w:sz w:val="24"/>
        </w:rPr>
        <w:t>Nigeria</w:t>
      </w:r>
    </w:p>
    <w:p>
      <w:pPr>
        <w:spacing w:after="0"/>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4"/>
        <w:rPr>
          <w:b/>
          <w:sz w:val="20"/>
        </w:rPr>
      </w:pPr>
    </w:p>
    <w:p>
      <w:pPr>
        <w:pStyle w:val="BodyText"/>
        <w:ind w:left="430"/>
        <w:rPr>
          <w:sz w:val="20"/>
        </w:rPr>
      </w:pPr>
      <w:r>
        <w:rPr>
          <w:sz w:val="20"/>
        </w:rPr>
        <w:drawing>
          <wp:inline distT="0" distB="0" distL="0" distR="0">
            <wp:extent cx="5759466" cy="3264789"/>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93" cstate="print"/>
                    <a:stretch>
                      <a:fillRect/>
                    </a:stretch>
                  </pic:blipFill>
                  <pic:spPr>
                    <a:xfrm>
                      <a:off x="0" y="0"/>
                      <a:ext cx="5759466" cy="3264789"/>
                    </a:xfrm>
                    <a:prstGeom prst="rect">
                      <a:avLst/>
                    </a:prstGeom>
                  </pic:spPr>
                </pic:pic>
              </a:graphicData>
            </a:graphic>
          </wp:inline>
        </w:drawing>
      </w:r>
      <w:r>
        <w:rPr>
          <w:sz w:val="20"/>
        </w:rPr>
      </w:r>
    </w:p>
    <w:p>
      <w:pPr>
        <w:spacing w:before="228"/>
        <w:ind w:left="420" w:right="0" w:firstLine="0"/>
        <w:jc w:val="left"/>
        <w:rPr>
          <w:b/>
          <w:sz w:val="24"/>
        </w:rPr>
      </w:pPr>
      <w:r>
        <w:rPr>
          <w:b/>
          <w:sz w:val="24"/>
        </w:rPr>
        <w:t>Figure</w:t>
      </w:r>
      <w:r>
        <w:rPr>
          <w:b/>
          <w:spacing w:val="-3"/>
          <w:sz w:val="24"/>
        </w:rPr>
        <w:t> </w:t>
      </w:r>
      <w:r>
        <w:rPr>
          <w:b/>
          <w:sz w:val="24"/>
        </w:rPr>
        <w:t>4.19</w:t>
      </w:r>
      <w:r>
        <w:rPr>
          <w:b/>
          <w:spacing w:val="-7"/>
          <w:sz w:val="24"/>
        </w:rPr>
        <w:t> </w:t>
      </w:r>
      <w:r>
        <w:rPr>
          <w:b/>
          <w:sz w:val="24"/>
        </w:rPr>
        <w:t>Mean</w:t>
      </w:r>
      <w:r>
        <w:rPr>
          <w:b/>
          <w:spacing w:val="-1"/>
          <w:sz w:val="24"/>
        </w:rPr>
        <w:t> </w:t>
      </w:r>
      <w:r>
        <w:rPr>
          <w:b/>
          <w:sz w:val="24"/>
        </w:rPr>
        <w:t>lead</w:t>
      </w:r>
      <w:r>
        <w:rPr>
          <w:b/>
          <w:spacing w:val="-2"/>
          <w:sz w:val="24"/>
        </w:rPr>
        <w:t> </w:t>
      </w:r>
      <w:r>
        <w:rPr>
          <w:b/>
          <w:sz w:val="24"/>
        </w:rPr>
        <w:t>concentrations</w:t>
      </w:r>
      <w:r>
        <w:rPr>
          <w:b/>
          <w:spacing w:val="-4"/>
          <w:sz w:val="24"/>
        </w:rPr>
        <w:t> </w:t>
      </w:r>
      <w:r>
        <w:rPr>
          <w:b/>
          <w:sz w:val="24"/>
        </w:rPr>
        <w:t>in</w:t>
      </w:r>
      <w:r>
        <w:rPr>
          <w:b/>
          <w:spacing w:val="-5"/>
          <w:sz w:val="24"/>
        </w:rPr>
        <w:t> </w:t>
      </w:r>
      <w:r>
        <w:rPr>
          <w:b/>
          <w:sz w:val="24"/>
        </w:rPr>
        <w:t>poultry</w:t>
      </w:r>
      <w:r>
        <w:rPr>
          <w:b/>
          <w:spacing w:val="-2"/>
          <w:sz w:val="24"/>
        </w:rPr>
        <w:t> </w:t>
      </w:r>
      <w:r>
        <w:rPr>
          <w:b/>
          <w:sz w:val="24"/>
        </w:rPr>
        <w:t>and</w:t>
      </w:r>
      <w:r>
        <w:rPr>
          <w:b/>
          <w:spacing w:val="-2"/>
          <w:sz w:val="24"/>
        </w:rPr>
        <w:t> </w:t>
      </w:r>
      <w:r>
        <w:rPr>
          <w:b/>
          <w:sz w:val="24"/>
        </w:rPr>
        <w:t>cattle</w:t>
      </w:r>
      <w:r>
        <w:rPr>
          <w:b/>
          <w:spacing w:val="-2"/>
          <w:sz w:val="24"/>
        </w:rPr>
        <w:t> </w:t>
      </w:r>
      <w:r>
        <w:rPr>
          <w:b/>
          <w:sz w:val="24"/>
        </w:rPr>
        <w:t>manure</w:t>
      </w:r>
      <w:r>
        <w:rPr>
          <w:b/>
          <w:spacing w:val="-3"/>
          <w:sz w:val="24"/>
        </w:rPr>
        <w:t> </w:t>
      </w:r>
      <w:r>
        <w:rPr>
          <w:b/>
          <w:sz w:val="24"/>
        </w:rPr>
        <w:t>in</w:t>
      </w:r>
      <w:r>
        <w:rPr>
          <w:b/>
          <w:spacing w:val="-1"/>
          <w:sz w:val="24"/>
        </w:rPr>
        <w:t> </w:t>
      </w:r>
      <w:r>
        <w:rPr>
          <w:b/>
          <w:sz w:val="24"/>
        </w:rPr>
        <w:t>Northern</w:t>
      </w:r>
      <w:r>
        <w:rPr>
          <w:b/>
          <w:spacing w:val="-1"/>
          <w:sz w:val="24"/>
        </w:rPr>
        <w:t> </w:t>
      </w:r>
      <w:r>
        <w:rPr>
          <w:b/>
          <w:spacing w:val="-2"/>
          <w:sz w:val="24"/>
        </w:rPr>
        <w:t>Nigeria</w:t>
      </w:r>
    </w:p>
    <w:p>
      <w:pPr>
        <w:spacing w:after="0"/>
        <w:jc w:val="left"/>
        <w:rPr>
          <w:sz w:val="24"/>
        </w:rPr>
        <w:sectPr>
          <w:pgSz w:w="12240" w:h="15840"/>
          <w:pgMar w:header="0" w:footer="1012" w:top="1820" w:bottom="1200" w:left="102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2"/>
        <w:rPr>
          <w:b/>
          <w:sz w:val="20"/>
        </w:rPr>
      </w:pPr>
    </w:p>
    <w:p>
      <w:pPr>
        <w:pStyle w:val="BodyText"/>
        <w:ind w:left="430"/>
        <w:rPr>
          <w:sz w:val="20"/>
        </w:rPr>
      </w:pPr>
      <w:r>
        <w:rPr>
          <w:sz w:val="20"/>
        </w:rPr>
        <w:drawing>
          <wp:inline distT="0" distB="0" distL="0" distR="0">
            <wp:extent cx="5760467" cy="3436620"/>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94" cstate="print"/>
                    <a:stretch>
                      <a:fillRect/>
                    </a:stretch>
                  </pic:blipFill>
                  <pic:spPr>
                    <a:xfrm>
                      <a:off x="0" y="0"/>
                      <a:ext cx="5760467" cy="3436620"/>
                    </a:xfrm>
                    <a:prstGeom prst="rect">
                      <a:avLst/>
                    </a:prstGeom>
                  </pic:spPr>
                </pic:pic>
              </a:graphicData>
            </a:graphic>
          </wp:inline>
        </w:drawing>
      </w:r>
      <w:r>
        <w:rPr>
          <w:sz w:val="20"/>
        </w:rPr>
      </w:r>
    </w:p>
    <w:p>
      <w:pPr>
        <w:spacing w:before="228"/>
        <w:ind w:left="420" w:right="0" w:firstLine="0"/>
        <w:jc w:val="left"/>
        <w:rPr>
          <w:b/>
          <w:sz w:val="24"/>
        </w:rPr>
      </w:pPr>
      <w:r>
        <w:rPr>
          <w:b/>
          <w:sz w:val="24"/>
        </w:rPr>
        <w:t>Figure</w:t>
      </w:r>
      <w:r>
        <w:rPr>
          <w:b/>
          <w:spacing w:val="-3"/>
          <w:sz w:val="24"/>
        </w:rPr>
        <w:t> </w:t>
      </w:r>
      <w:r>
        <w:rPr>
          <w:b/>
          <w:sz w:val="24"/>
        </w:rPr>
        <w:t>4.20</w:t>
      </w:r>
      <w:r>
        <w:rPr>
          <w:b/>
          <w:spacing w:val="-7"/>
          <w:sz w:val="24"/>
        </w:rPr>
        <w:t> </w:t>
      </w:r>
      <w:r>
        <w:rPr>
          <w:b/>
          <w:sz w:val="24"/>
        </w:rPr>
        <w:t>Mean</w:t>
      </w:r>
      <w:r>
        <w:rPr>
          <w:b/>
          <w:spacing w:val="-2"/>
          <w:sz w:val="24"/>
        </w:rPr>
        <w:t> </w:t>
      </w:r>
      <w:r>
        <w:rPr>
          <w:b/>
          <w:sz w:val="24"/>
        </w:rPr>
        <w:t>arsenic</w:t>
      </w:r>
      <w:r>
        <w:rPr>
          <w:b/>
          <w:spacing w:val="-3"/>
          <w:sz w:val="24"/>
        </w:rPr>
        <w:t> </w:t>
      </w:r>
      <w:r>
        <w:rPr>
          <w:b/>
          <w:sz w:val="24"/>
        </w:rPr>
        <w:t>concentrations</w:t>
      </w:r>
      <w:r>
        <w:rPr>
          <w:b/>
          <w:spacing w:val="1"/>
          <w:sz w:val="24"/>
        </w:rPr>
        <w:t> </w:t>
      </w:r>
      <w:r>
        <w:rPr>
          <w:b/>
          <w:sz w:val="24"/>
        </w:rPr>
        <w:t>in</w:t>
      </w:r>
      <w:r>
        <w:rPr>
          <w:b/>
          <w:spacing w:val="-1"/>
          <w:sz w:val="24"/>
        </w:rPr>
        <w:t> </w:t>
      </w:r>
      <w:r>
        <w:rPr>
          <w:b/>
          <w:sz w:val="24"/>
        </w:rPr>
        <w:t>poultry</w:t>
      </w:r>
      <w:r>
        <w:rPr>
          <w:b/>
          <w:spacing w:val="-2"/>
          <w:sz w:val="24"/>
        </w:rPr>
        <w:t> </w:t>
      </w:r>
      <w:r>
        <w:rPr>
          <w:b/>
          <w:sz w:val="24"/>
        </w:rPr>
        <w:t>and</w:t>
      </w:r>
      <w:r>
        <w:rPr>
          <w:b/>
          <w:spacing w:val="-2"/>
          <w:sz w:val="24"/>
        </w:rPr>
        <w:t> </w:t>
      </w:r>
      <w:r>
        <w:rPr>
          <w:b/>
          <w:sz w:val="24"/>
        </w:rPr>
        <w:t>cattle</w:t>
      </w:r>
      <w:r>
        <w:rPr>
          <w:b/>
          <w:spacing w:val="-3"/>
          <w:sz w:val="24"/>
        </w:rPr>
        <w:t> </w:t>
      </w:r>
      <w:r>
        <w:rPr>
          <w:b/>
          <w:sz w:val="24"/>
        </w:rPr>
        <w:t>manure</w:t>
      </w:r>
      <w:r>
        <w:rPr>
          <w:b/>
          <w:spacing w:val="-3"/>
          <w:sz w:val="24"/>
        </w:rPr>
        <w:t> </w:t>
      </w:r>
      <w:r>
        <w:rPr>
          <w:b/>
          <w:sz w:val="24"/>
        </w:rPr>
        <w:t>in</w:t>
      </w:r>
      <w:r>
        <w:rPr>
          <w:b/>
          <w:spacing w:val="-1"/>
          <w:sz w:val="24"/>
        </w:rPr>
        <w:t> </w:t>
      </w:r>
      <w:r>
        <w:rPr>
          <w:b/>
          <w:sz w:val="24"/>
        </w:rPr>
        <w:t>Northern</w:t>
      </w:r>
      <w:r>
        <w:rPr>
          <w:b/>
          <w:spacing w:val="-1"/>
          <w:sz w:val="24"/>
        </w:rPr>
        <w:t>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rPr>
      </w:pPr>
    </w:p>
    <w:p>
      <w:pPr>
        <w:spacing w:before="0"/>
        <w:ind w:left="420" w:right="0" w:firstLine="0"/>
        <w:jc w:val="left"/>
        <w:rPr>
          <w:b/>
          <w:sz w:val="24"/>
        </w:rPr>
      </w:pPr>
      <w:r>
        <w:rPr>
          <w:b/>
          <w:sz w:val="24"/>
        </w:rPr>
        <w:t>Table</w:t>
      </w:r>
      <w:r>
        <w:rPr>
          <w:b/>
          <w:spacing w:val="-4"/>
          <w:sz w:val="24"/>
        </w:rPr>
        <w:t> </w:t>
      </w:r>
      <w:r>
        <w:rPr>
          <w:b/>
          <w:sz w:val="24"/>
        </w:rPr>
        <w:t>4.6</w:t>
      </w:r>
      <w:r>
        <w:rPr>
          <w:b/>
          <w:spacing w:val="-1"/>
          <w:sz w:val="24"/>
        </w:rPr>
        <w:t> </w:t>
      </w:r>
      <w:r>
        <w:rPr>
          <w:b/>
          <w:sz w:val="24"/>
        </w:rPr>
        <w:t>Levels</w:t>
      </w:r>
      <w:r>
        <w:rPr>
          <w:b/>
          <w:spacing w:val="-3"/>
          <w:sz w:val="24"/>
        </w:rPr>
        <w:t> </w:t>
      </w:r>
      <w:r>
        <w:rPr>
          <w:b/>
          <w:sz w:val="24"/>
        </w:rPr>
        <w:t>of</w:t>
      </w:r>
      <w:r>
        <w:rPr>
          <w:b/>
          <w:spacing w:val="-4"/>
          <w:sz w:val="24"/>
        </w:rPr>
        <w:t> </w:t>
      </w:r>
      <w:r>
        <w:rPr>
          <w:b/>
          <w:sz w:val="24"/>
        </w:rPr>
        <w:t>pH and</w:t>
      </w:r>
      <w:r>
        <w:rPr>
          <w:b/>
          <w:spacing w:val="-1"/>
          <w:sz w:val="24"/>
        </w:rPr>
        <w:t> </w:t>
      </w:r>
      <w:r>
        <w:rPr>
          <w:b/>
          <w:sz w:val="24"/>
        </w:rPr>
        <w:t>TemperatureºC</w:t>
      </w:r>
      <w:r>
        <w:rPr>
          <w:b/>
          <w:spacing w:val="-2"/>
          <w:sz w:val="24"/>
        </w:rPr>
        <w:t> </w:t>
      </w:r>
      <w:r>
        <w:rPr>
          <w:b/>
          <w:sz w:val="24"/>
        </w:rPr>
        <w:t>measured</w:t>
      </w:r>
      <w:r>
        <w:rPr>
          <w:b/>
          <w:spacing w:val="-1"/>
          <w:sz w:val="24"/>
        </w:rPr>
        <w:t> </w:t>
      </w:r>
      <w:r>
        <w:rPr>
          <w:b/>
          <w:sz w:val="24"/>
        </w:rPr>
        <w:t>in Water</w:t>
      </w:r>
      <w:r>
        <w:rPr>
          <w:b/>
          <w:spacing w:val="-6"/>
          <w:sz w:val="24"/>
        </w:rPr>
        <w:t> </w:t>
      </w:r>
      <w:r>
        <w:rPr>
          <w:b/>
          <w:spacing w:val="-2"/>
          <w:sz w:val="24"/>
        </w:rPr>
        <w:t>samples</w:t>
      </w:r>
    </w:p>
    <w:p>
      <w:pPr>
        <w:spacing w:after="0"/>
        <w:jc w:val="left"/>
        <w:rPr>
          <w:sz w:val="24"/>
        </w:rPr>
        <w:sectPr>
          <w:pgSz w:w="12240" w:h="15840"/>
          <w:pgMar w:header="0" w:footer="1012" w:top="1820" w:bottom="1200" w:left="1020" w:right="720"/>
        </w:sectPr>
      </w:pPr>
    </w:p>
    <w:p>
      <w:pPr>
        <w:pStyle w:val="BodyText"/>
        <w:spacing w:before="5"/>
        <w:rPr>
          <w:b/>
          <w:sz w:val="12"/>
        </w:rPr>
      </w:pPr>
    </w:p>
    <w:tbl>
      <w:tblPr>
        <w:tblW w:w="0" w:type="auto"/>
        <w:jc w:val="left"/>
        <w:tblInd w:w="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5"/>
        <w:gridCol w:w="1909"/>
        <w:gridCol w:w="1774"/>
        <w:gridCol w:w="2458"/>
        <w:gridCol w:w="2204"/>
      </w:tblGrid>
      <w:tr>
        <w:trPr>
          <w:trHeight w:val="1061" w:hRule="atLeast"/>
        </w:trPr>
        <w:tc>
          <w:tcPr>
            <w:tcW w:w="1075" w:type="dxa"/>
            <w:tcBorders>
              <w:top w:val="single" w:sz="4" w:space="0" w:color="000000"/>
              <w:bottom w:val="single" w:sz="4" w:space="0" w:color="000000"/>
            </w:tcBorders>
          </w:tcPr>
          <w:p>
            <w:pPr>
              <w:pStyle w:val="TableParagraph"/>
              <w:spacing w:before="253"/>
              <w:rPr>
                <w:b/>
                <w:sz w:val="24"/>
              </w:rPr>
            </w:pPr>
          </w:p>
          <w:p>
            <w:pPr>
              <w:pStyle w:val="TableParagraph"/>
              <w:spacing w:before="1"/>
              <w:ind w:right="335"/>
              <w:jc w:val="right"/>
              <w:rPr>
                <w:sz w:val="24"/>
              </w:rPr>
            </w:pPr>
            <w:r>
              <w:rPr>
                <w:spacing w:val="-2"/>
                <w:sz w:val="24"/>
              </w:rPr>
              <w:t>River</w:t>
            </w:r>
          </w:p>
        </w:tc>
        <w:tc>
          <w:tcPr>
            <w:tcW w:w="1909" w:type="dxa"/>
            <w:tcBorders>
              <w:top w:val="single" w:sz="4" w:space="0" w:color="000000"/>
              <w:bottom w:val="single" w:sz="4" w:space="0" w:color="000000"/>
            </w:tcBorders>
          </w:tcPr>
          <w:p>
            <w:pPr>
              <w:pStyle w:val="TableParagraph"/>
              <w:spacing w:before="15"/>
              <w:ind w:left="879"/>
              <w:rPr>
                <w:sz w:val="24"/>
              </w:rPr>
            </w:pPr>
            <w:r>
              <w:rPr>
                <w:sz w:val="24"/>
              </w:rPr>
              <w:t>Mean</w:t>
            </w:r>
            <w:r>
              <w:rPr>
                <w:spacing w:val="-8"/>
                <w:sz w:val="24"/>
              </w:rPr>
              <w:t> </w:t>
            </w:r>
            <w:r>
              <w:rPr>
                <w:spacing w:val="-5"/>
                <w:sz w:val="24"/>
              </w:rPr>
              <w:t>pH</w:t>
            </w:r>
          </w:p>
          <w:p>
            <w:pPr>
              <w:pStyle w:val="TableParagraph"/>
              <w:spacing w:before="239"/>
              <w:ind w:left="448"/>
              <w:rPr>
                <w:sz w:val="24"/>
              </w:rPr>
            </w:pPr>
            <w:r>
              <w:rPr>
                <w:spacing w:val="-2"/>
                <w:sz w:val="24"/>
              </w:rPr>
              <w:t>Raining</w:t>
            </w:r>
          </w:p>
        </w:tc>
        <w:tc>
          <w:tcPr>
            <w:tcW w:w="1774" w:type="dxa"/>
            <w:tcBorders>
              <w:top w:val="single" w:sz="4" w:space="0" w:color="000000"/>
              <w:bottom w:val="single" w:sz="4" w:space="0" w:color="000000"/>
            </w:tcBorders>
          </w:tcPr>
          <w:p>
            <w:pPr>
              <w:pStyle w:val="TableParagraph"/>
              <w:spacing w:before="253"/>
              <w:rPr>
                <w:b/>
                <w:sz w:val="24"/>
              </w:rPr>
            </w:pPr>
          </w:p>
          <w:p>
            <w:pPr>
              <w:pStyle w:val="TableParagraph"/>
              <w:spacing w:before="1"/>
              <w:ind w:left="291"/>
              <w:rPr>
                <w:sz w:val="24"/>
              </w:rPr>
            </w:pPr>
            <w:r>
              <w:rPr>
                <w:spacing w:val="-5"/>
                <w:sz w:val="24"/>
              </w:rPr>
              <w:t>Dry</w:t>
            </w:r>
          </w:p>
        </w:tc>
        <w:tc>
          <w:tcPr>
            <w:tcW w:w="2458" w:type="dxa"/>
            <w:tcBorders>
              <w:top w:val="single" w:sz="4" w:space="0" w:color="000000"/>
              <w:bottom w:val="single" w:sz="4" w:space="0" w:color="000000"/>
            </w:tcBorders>
          </w:tcPr>
          <w:p>
            <w:pPr>
              <w:pStyle w:val="TableParagraph"/>
              <w:spacing w:line="436" w:lineRule="auto" w:before="15"/>
              <w:ind w:left="989" w:right="179" w:hanging="73"/>
              <w:rPr>
                <w:sz w:val="24"/>
              </w:rPr>
            </w:pPr>
            <w:r>
              <w:rPr>
                <w:sz w:val="24"/>
              </w:rPr>
              <w:t>Mean</w:t>
            </w:r>
            <w:r>
              <w:rPr>
                <w:spacing w:val="-15"/>
                <w:sz w:val="24"/>
              </w:rPr>
              <w:t> </w:t>
            </w:r>
            <w:r>
              <w:rPr>
                <w:sz w:val="24"/>
              </w:rPr>
              <w:t>Tempº</w:t>
            </w:r>
            <w:r>
              <w:rPr>
                <w:rFonts w:ascii="Calibri" w:hAnsi="Calibri"/>
                <w:sz w:val="22"/>
              </w:rPr>
              <w:t>C </w:t>
            </w:r>
            <w:r>
              <w:rPr>
                <w:spacing w:val="-2"/>
                <w:sz w:val="24"/>
              </w:rPr>
              <w:t>Raining</w:t>
            </w:r>
          </w:p>
        </w:tc>
        <w:tc>
          <w:tcPr>
            <w:tcW w:w="2204" w:type="dxa"/>
            <w:tcBorders>
              <w:top w:val="single" w:sz="4" w:space="0" w:color="000000"/>
              <w:bottom w:val="single" w:sz="4" w:space="0" w:color="000000"/>
            </w:tcBorders>
          </w:tcPr>
          <w:p>
            <w:pPr>
              <w:pStyle w:val="TableParagraph"/>
              <w:spacing w:before="253"/>
              <w:rPr>
                <w:b/>
                <w:sz w:val="24"/>
              </w:rPr>
            </w:pPr>
          </w:p>
          <w:p>
            <w:pPr>
              <w:pStyle w:val="TableParagraph"/>
              <w:spacing w:before="1"/>
              <w:ind w:left="309"/>
              <w:rPr>
                <w:sz w:val="24"/>
              </w:rPr>
            </w:pPr>
            <w:r>
              <w:rPr>
                <w:spacing w:val="-5"/>
                <w:sz w:val="24"/>
              </w:rPr>
              <w:t>Dry</w:t>
            </w:r>
          </w:p>
        </w:tc>
      </w:tr>
      <w:tr>
        <w:trPr>
          <w:trHeight w:val="530" w:hRule="atLeast"/>
        </w:trPr>
        <w:tc>
          <w:tcPr>
            <w:tcW w:w="1075" w:type="dxa"/>
            <w:tcBorders>
              <w:top w:val="single" w:sz="4" w:space="0" w:color="000000"/>
            </w:tcBorders>
          </w:tcPr>
          <w:p>
            <w:pPr>
              <w:pStyle w:val="TableParagraph"/>
              <w:spacing w:before="11"/>
              <w:ind w:right="304"/>
              <w:jc w:val="right"/>
              <w:rPr>
                <w:sz w:val="24"/>
              </w:rPr>
            </w:pPr>
            <w:r>
              <w:rPr>
                <w:spacing w:val="-2"/>
                <w:sz w:val="24"/>
              </w:rPr>
              <w:t>Kaduna</w:t>
            </w:r>
          </w:p>
        </w:tc>
        <w:tc>
          <w:tcPr>
            <w:tcW w:w="1909" w:type="dxa"/>
            <w:tcBorders>
              <w:top w:val="single" w:sz="4" w:space="0" w:color="000000"/>
            </w:tcBorders>
          </w:tcPr>
          <w:p>
            <w:pPr>
              <w:pStyle w:val="TableParagraph"/>
              <w:spacing w:before="11"/>
              <w:ind w:right="575"/>
              <w:jc w:val="right"/>
              <w:rPr>
                <w:sz w:val="24"/>
              </w:rPr>
            </w:pPr>
            <w:r>
              <w:rPr>
                <w:sz w:val="24"/>
              </w:rPr>
              <w:t>5.7 ±</w:t>
            </w:r>
            <w:r>
              <w:rPr>
                <w:spacing w:val="-1"/>
                <w:sz w:val="24"/>
              </w:rPr>
              <w:t> </w:t>
            </w:r>
            <w:r>
              <w:rPr>
                <w:spacing w:val="-4"/>
                <w:sz w:val="24"/>
              </w:rPr>
              <w:t>0.02</w:t>
            </w:r>
          </w:p>
        </w:tc>
        <w:tc>
          <w:tcPr>
            <w:tcW w:w="1774" w:type="dxa"/>
            <w:tcBorders>
              <w:top w:val="single" w:sz="4" w:space="0" w:color="000000"/>
            </w:tcBorders>
          </w:tcPr>
          <w:p>
            <w:pPr>
              <w:pStyle w:val="TableParagraph"/>
              <w:spacing w:before="11"/>
              <w:ind w:left="140"/>
              <w:rPr>
                <w:sz w:val="24"/>
              </w:rPr>
            </w:pPr>
            <w:r>
              <w:rPr>
                <w:spacing w:val="-2"/>
                <w:sz w:val="24"/>
              </w:rPr>
              <w:t>6.1±1.44</w:t>
            </w:r>
          </w:p>
        </w:tc>
        <w:tc>
          <w:tcPr>
            <w:tcW w:w="2458" w:type="dxa"/>
            <w:tcBorders>
              <w:top w:val="single" w:sz="4" w:space="0" w:color="000000"/>
            </w:tcBorders>
          </w:tcPr>
          <w:p>
            <w:pPr>
              <w:pStyle w:val="TableParagraph"/>
              <w:spacing w:before="11"/>
              <w:ind w:left="835"/>
              <w:rPr>
                <w:sz w:val="24"/>
              </w:rPr>
            </w:pPr>
            <w:r>
              <w:rPr>
                <w:sz w:val="24"/>
              </w:rPr>
              <w:t>21</w:t>
            </w:r>
            <w:r>
              <w:rPr>
                <w:spacing w:val="2"/>
                <w:sz w:val="24"/>
              </w:rPr>
              <w:t> </w:t>
            </w:r>
            <w:r>
              <w:rPr>
                <w:sz w:val="24"/>
              </w:rPr>
              <w:t>± </w:t>
            </w:r>
            <w:r>
              <w:rPr>
                <w:spacing w:val="-2"/>
                <w:sz w:val="24"/>
              </w:rPr>
              <w:t>12.16</w:t>
            </w:r>
          </w:p>
        </w:tc>
        <w:tc>
          <w:tcPr>
            <w:tcW w:w="2204" w:type="dxa"/>
            <w:tcBorders>
              <w:top w:val="single" w:sz="4" w:space="0" w:color="000000"/>
            </w:tcBorders>
          </w:tcPr>
          <w:p>
            <w:pPr>
              <w:pStyle w:val="TableParagraph"/>
              <w:spacing w:before="11"/>
              <w:ind w:left="246"/>
              <w:rPr>
                <w:sz w:val="24"/>
              </w:rPr>
            </w:pPr>
            <w:r>
              <w:rPr>
                <w:spacing w:val="-2"/>
                <w:sz w:val="24"/>
              </w:rPr>
              <w:t>28±17.53</w:t>
            </w:r>
          </w:p>
        </w:tc>
      </w:tr>
      <w:tr>
        <w:trPr>
          <w:trHeight w:val="753" w:hRule="atLeast"/>
        </w:trPr>
        <w:tc>
          <w:tcPr>
            <w:tcW w:w="1075" w:type="dxa"/>
          </w:tcPr>
          <w:p>
            <w:pPr>
              <w:pStyle w:val="TableParagraph"/>
              <w:spacing w:before="233"/>
              <w:ind w:right="363"/>
              <w:jc w:val="right"/>
              <w:rPr>
                <w:sz w:val="24"/>
              </w:rPr>
            </w:pPr>
            <w:r>
              <w:rPr>
                <w:spacing w:val="-2"/>
                <w:sz w:val="24"/>
              </w:rPr>
              <w:t>Sokoto</w:t>
            </w:r>
          </w:p>
        </w:tc>
        <w:tc>
          <w:tcPr>
            <w:tcW w:w="1909" w:type="dxa"/>
          </w:tcPr>
          <w:p>
            <w:pPr>
              <w:pStyle w:val="TableParagraph"/>
              <w:spacing w:before="233"/>
              <w:ind w:right="580"/>
              <w:jc w:val="right"/>
              <w:rPr>
                <w:sz w:val="24"/>
              </w:rPr>
            </w:pPr>
            <w:r>
              <w:rPr>
                <w:sz w:val="24"/>
              </w:rPr>
              <w:t>5.8 ±</w:t>
            </w:r>
            <w:r>
              <w:rPr>
                <w:spacing w:val="-1"/>
                <w:sz w:val="24"/>
              </w:rPr>
              <w:t> </w:t>
            </w:r>
            <w:r>
              <w:rPr>
                <w:spacing w:val="-4"/>
                <w:sz w:val="24"/>
              </w:rPr>
              <w:t>0.11</w:t>
            </w:r>
          </w:p>
        </w:tc>
        <w:tc>
          <w:tcPr>
            <w:tcW w:w="1774" w:type="dxa"/>
          </w:tcPr>
          <w:p>
            <w:pPr>
              <w:pStyle w:val="TableParagraph"/>
              <w:spacing w:before="233"/>
              <w:ind w:left="136"/>
              <w:rPr>
                <w:sz w:val="24"/>
              </w:rPr>
            </w:pPr>
            <w:r>
              <w:rPr>
                <w:spacing w:val="-2"/>
                <w:sz w:val="24"/>
              </w:rPr>
              <w:t>5.9±2.05</w:t>
            </w:r>
          </w:p>
        </w:tc>
        <w:tc>
          <w:tcPr>
            <w:tcW w:w="2458" w:type="dxa"/>
          </w:tcPr>
          <w:p>
            <w:pPr>
              <w:pStyle w:val="TableParagraph"/>
              <w:spacing w:before="233"/>
              <w:ind w:left="825"/>
              <w:rPr>
                <w:sz w:val="24"/>
              </w:rPr>
            </w:pPr>
            <w:r>
              <w:rPr>
                <w:sz w:val="24"/>
              </w:rPr>
              <w:t>26</w:t>
            </w:r>
            <w:r>
              <w:rPr>
                <w:spacing w:val="2"/>
                <w:sz w:val="24"/>
              </w:rPr>
              <w:t> </w:t>
            </w:r>
            <w:r>
              <w:rPr>
                <w:sz w:val="24"/>
              </w:rPr>
              <w:t>± </w:t>
            </w:r>
            <w:r>
              <w:rPr>
                <w:spacing w:val="-4"/>
                <w:sz w:val="24"/>
              </w:rPr>
              <w:t>4.42</w:t>
            </w:r>
          </w:p>
        </w:tc>
        <w:tc>
          <w:tcPr>
            <w:tcW w:w="2204" w:type="dxa"/>
          </w:tcPr>
          <w:p>
            <w:pPr>
              <w:pStyle w:val="TableParagraph"/>
              <w:spacing w:before="233"/>
              <w:ind w:left="250"/>
              <w:rPr>
                <w:sz w:val="24"/>
              </w:rPr>
            </w:pPr>
            <w:r>
              <w:rPr>
                <w:spacing w:val="-2"/>
                <w:sz w:val="24"/>
              </w:rPr>
              <w:t>31±11.64</w:t>
            </w:r>
          </w:p>
        </w:tc>
      </w:tr>
      <w:tr>
        <w:trPr>
          <w:trHeight w:val="509" w:hRule="atLeast"/>
        </w:trPr>
        <w:tc>
          <w:tcPr>
            <w:tcW w:w="1075" w:type="dxa"/>
          </w:tcPr>
          <w:p>
            <w:pPr>
              <w:pStyle w:val="TableParagraph"/>
              <w:spacing w:line="256" w:lineRule="exact" w:before="234"/>
              <w:ind w:right="299"/>
              <w:jc w:val="right"/>
              <w:rPr>
                <w:sz w:val="24"/>
              </w:rPr>
            </w:pPr>
            <w:r>
              <w:rPr>
                <w:spacing w:val="-2"/>
                <w:sz w:val="24"/>
              </w:rPr>
              <w:t>Ngadda</w:t>
            </w:r>
          </w:p>
        </w:tc>
        <w:tc>
          <w:tcPr>
            <w:tcW w:w="1909" w:type="dxa"/>
          </w:tcPr>
          <w:p>
            <w:pPr>
              <w:pStyle w:val="TableParagraph"/>
              <w:spacing w:line="256" w:lineRule="exact" w:before="234"/>
              <w:ind w:right="574"/>
              <w:jc w:val="right"/>
              <w:rPr>
                <w:sz w:val="24"/>
              </w:rPr>
            </w:pPr>
            <w:r>
              <w:rPr>
                <w:sz w:val="24"/>
              </w:rPr>
              <w:t>5.</w:t>
            </w:r>
            <w:r>
              <w:rPr>
                <w:spacing w:val="-1"/>
                <w:sz w:val="24"/>
              </w:rPr>
              <w:t> </w:t>
            </w:r>
            <w:r>
              <w:rPr>
                <w:sz w:val="24"/>
              </w:rPr>
              <w:t>7</w:t>
            </w:r>
            <w:r>
              <w:rPr>
                <w:spacing w:val="2"/>
                <w:sz w:val="24"/>
              </w:rPr>
              <w:t> </w:t>
            </w:r>
            <w:r>
              <w:rPr>
                <w:sz w:val="24"/>
              </w:rPr>
              <w:t>± </w:t>
            </w:r>
            <w:r>
              <w:rPr>
                <w:spacing w:val="-4"/>
                <w:sz w:val="24"/>
              </w:rPr>
              <w:t>0.24</w:t>
            </w:r>
          </w:p>
        </w:tc>
        <w:tc>
          <w:tcPr>
            <w:tcW w:w="1774" w:type="dxa"/>
          </w:tcPr>
          <w:p>
            <w:pPr>
              <w:pStyle w:val="TableParagraph"/>
              <w:spacing w:line="256" w:lineRule="exact" w:before="234"/>
              <w:ind w:left="141"/>
              <w:rPr>
                <w:sz w:val="24"/>
              </w:rPr>
            </w:pPr>
            <w:r>
              <w:rPr>
                <w:spacing w:val="-2"/>
                <w:sz w:val="24"/>
              </w:rPr>
              <w:t>6.2±1.08</w:t>
            </w:r>
          </w:p>
        </w:tc>
        <w:tc>
          <w:tcPr>
            <w:tcW w:w="2458" w:type="dxa"/>
          </w:tcPr>
          <w:p>
            <w:pPr>
              <w:pStyle w:val="TableParagraph"/>
              <w:spacing w:line="256" w:lineRule="exact" w:before="234"/>
              <w:ind w:left="778"/>
              <w:rPr>
                <w:sz w:val="24"/>
              </w:rPr>
            </w:pPr>
            <w:r>
              <w:rPr>
                <w:sz w:val="24"/>
              </w:rPr>
              <w:t>28</w:t>
            </w:r>
            <w:r>
              <w:rPr>
                <w:spacing w:val="-3"/>
                <w:sz w:val="24"/>
              </w:rPr>
              <w:t> </w:t>
            </w:r>
            <w:r>
              <w:rPr>
                <w:sz w:val="24"/>
              </w:rPr>
              <w:t>± </w:t>
            </w:r>
            <w:r>
              <w:rPr>
                <w:spacing w:val="-4"/>
                <w:sz w:val="24"/>
              </w:rPr>
              <w:t>8.26</w:t>
            </w:r>
          </w:p>
        </w:tc>
        <w:tc>
          <w:tcPr>
            <w:tcW w:w="2204" w:type="dxa"/>
          </w:tcPr>
          <w:p>
            <w:pPr>
              <w:pStyle w:val="TableParagraph"/>
              <w:spacing w:line="256" w:lineRule="exact" w:before="234"/>
              <w:ind w:left="189"/>
              <w:rPr>
                <w:sz w:val="24"/>
              </w:rPr>
            </w:pPr>
            <w:r>
              <w:rPr>
                <w:sz w:val="24"/>
              </w:rPr>
              <w:t>36</w:t>
            </w:r>
            <w:r>
              <w:rPr>
                <w:spacing w:val="-3"/>
                <w:sz w:val="24"/>
              </w:rPr>
              <w:t> </w:t>
            </w:r>
            <w:r>
              <w:rPr>
                <w:spacing w:val="-2"/>
                <w:sz w:val="24"/>
              </w:rPr>
              <w:t>±42.01</w:t>
            </w:r>
          </w:p>
        </w:tc>
      </w:tr>
    </w:tbl>
    <w:p>
      <w:pPr>
        <w:pStyle w:val="BodyText"/>
        <w:spacing w:before="46"/>
        <w:rPr>
          <w:b/>
          <w:sz w:val="20"/>
        </w:rPr>
      </w:pPr>
      <w:r>
        <w:rPr/>
        <mc:AlternateContent>
          <mc:Choice Requires="wps">
            <w:drawing>
              <wp:anchor distT="0" distB="0" distL="0" distR="0" allowOverlap="1" layoutInCell="1" locked="0" behindDoc="1" simplePos="0" relativeHeight="487593984">
                <wp:simplePos x="0" y="0"/>
                <wp:positionH relativeFrom="page">
                  <wp:posOffset>896416</wp:posOffset>
                </wp:positionH>
                <wp:positionV relativeFrom="paragraph">
                  <wp:posOffset>190487</wp:posOffset>
                </wp:positionV>
                <wp:extent cx="5982335" cy="635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4.999023pt;width:471.05pt;height:.47998pt;mso-position-horizontal-relative:page;mso-position-vertical-relative:paragraph;z-index:-15722496;mso-wrap-distance-left:0;mso-wrap-distance-right:0" id="docshape20" filled="true" fillcolor="#000000" stroked="false">
                <v:fill type="solid"/>
                <w10:wrap type="topAndBottom"/>
              </v:rect>
            </w:pict>
          </mc:Fallback>
        </mc:AlternateContent>
      </w:r>
    </w:p>
    <w:p>
      <w:pPr>
        <w:spacing w:after="0"/>
        <w:rPr>
          <w:sz w:val="20"/>
        </w:rPr>
        <w:sectPr>
          <w:pgSz w:w="12240" w:h="15840"/>
          <w:pgMar w:header="0" w:footer="1012" w:top="1820" w:bottom="1200" w:left="1020" w:right="720"/>
        </w:sectPr>
      </w:pPr>
    </w:p>
    <w:p>
      <w:pPr>
        <w:pStyle w:val="BodyText"/>
        <w:spacing w:before="2"/>
        <w:rPr>
          <w:b/>
          <w:sz w:val="11"/>
        </w:rPr>
      </w:pPr>
    </w:p>
    <w:p>
      <w:pPr>
        <w:pStyle w:val="BodyText"/>
        <w:ind w:left="431"/>
        <w:rPr>
          <w:sz w:val="20"/>
        </w:rPr>
      </w:pPr>
      <w:r>
        <w:rPr>
          <w:sz w:val="20"/>
        </w:rPr>
        <w:drawing>
          <wp:inline distT="0" distB="0" distL="0" distR="0">
            <wp:extent cx="5294333" cy="3264789"/>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95" cstate="print"/>
                    <a:stretch>
                      <a:fillRect/>
                    </a:stretch>
                  </pic:blipFill>
                  <pic:spPr>
                    <a:xfrm>
                      <a:off x="0" y="0"/>
                      <a:ext cx="5294333" cy="3264789"/>
                    </a:xfrm>
                    <a:prstGeom prst="rect">
                      <a:avLst/>
                    </a:prstGeom>
                  </pic:spPr>
                </pic:pic>
              </a:graphicData>
            </a:graphic>
          </wp:inline>
        </w:drawing>
      </w:r>
      <w:r>
        <w:rPr>
          <w:sz w:val="20"/>
        </w:rPr>
      </w:r>
    </w:p>
    <w:p>
      <w:pPr>
        <w:spacing w:line="480" w:lineRule="auto" w:before="223"/>
        <w:ind w:left="420" w:right="600" w:firstLine="0"/>
        <w:jc w:val="left"/>
        <w:rPr>
          <w:b/>
          <w:sz w:val="24"/>
        </w:rPr>
      </w:pPr>
      <w:r>
        <w:rPr>
          <w:b/>
          <w:sz w:val="24"/>
        </w:rPr>
        <w:t>Figure</w:t>
      </w:r>
      <w:r>
        <w:rPr>
          <w:b/>
          <w:spacing w:val="27"/>
          <w:sz w:val="24"/>
        </w:rPr>
        <w:t> </w:t>
      </w:r>
      <w:r>
        <w:rPr>
          <w:b/>
          <w:sz w:val="24"/>
        </w:rPr>
        <w:t>4.21</w:t>
      </w:r>
      <w:r>
        <w:rPr>
          <w:b/>
          <w:spacing w:val="27"/>
          <w:sz w:val="24"/>
        </w:rPr>
        <w:t> </w:t>
      </w:r>
      <w:r>
        <w:rPr>
          <w:b/>
          <w:sz w:val="24"/>
        </w:rPr>
        <w:t>Seasonal</w:t>
      </w:r>
      <w:r>
        <w:rPr>
          <w:b/>
          <w:spacing w:val="24"/>
          <w:sz w:val="24"/>
        </w:rPr>
        <w:t> </w:t>
      </w:r>
      <w:r>
        <w:rPr>
          <w:b/>
          <w:sz w:val="24"/>
        </w:rPr>
        <w:t>mean</w:t>
      </w:r>
      <w:r>
        <w:rPr>
          <w:b/>
          <w:spacing w:val="28"/>
          <w:sz w:val="24"/>
        </w:rPr>
        <w:t> </w:t>
      </w:r>
      <w:r>
        <w:rPr>
          <w:b/>
          <w:sz w:val="24"/>
        </w:rPr>
        <w:t>concentrations</w:t>
      </w:r>
      <w:r>
        <w:rPr>
          <w:b/>
          <w:spacing w:val="25"/>
          <w:sz w:val="24"/>
        </w:rPr>
        <w:t> </w:t>
      </w:r>
      <w:r>
        <w:rPr>
          <w:b/>
          <w:sz w:val="24"/>
        </w:rPr>
        <w:t>of</w:t>
      </w:r>
      <w:r>
        <w:rPr>
          <w:b/>
          <w:spacing w:val="29"/>
          <w:sz w:val="24"/>
        </w:rPr>
        <w:t> </w:t>
      </w:r>
      <w:r>
        <w:rPr>
          <w:b/>
          <w:sz w:val="24"/>
        </w:rPr>
        <w:t>zinc</w:t>
      </w:r>
      <w:r>
        <w:rPr>
          <w:b/>
          <w:spacing w:val="27"/>
          <w:sz w:val="24"/>
        </w:rPr>
        <w:t> </w:t>
      </w:r>
      <w:r>
        <w:rPr>
          <w:b/>
          <w:sz w:val="24"/>
        </w:rPr>
        <w:t>in</w:t>
      </w:r>
      <w:r>
        <w:rPr>
          <w:b/>
          <w:spacing w:val="33"/>
          <w:sz w:val="24"/>
        </w:rPr>
        <w:t> </w:t>
      </w:r>
      <w:r>
        <w:rPr>
          <w:b/>
          <w:sz w:val="24"/>
        </w:rPr>
        <w:t>rivers</w:t>
      </w:r>
      <w:r>
        <w:rPr>
          <w:b/>
          <w:spacing w:val="25"/>
          <w:sz w:val="24"/>
        </w:rPr>
        <w:t> </w:t>
      </w:r>
      <w:r>
        <w:rPr>
          <w:b/>
          <w:sz w:val="24"/>
        </w:rPr>
        <w:t>Kaduna,</w:t>
      </w:r>
      <w:r>
        <w:rPr>
          <w:b/>
          <w:spacing w:val="30"/>
          <w:sz w:val="24"/>
        </w:rPr>
        <w:t> </w:t>
      </w:r>
      <w:r>
        <w:rPr>
          <w:b/>
          <w:sz w:val="24"/>
        </w:rPr>
        <w:t>Sokoto</w:t>
      </w:r>
      <w:r>
        <w:rPr>
          <w:b/>
          <w:spacing w:val="27"/>
          <w:sz w:val="24"/>
        </w:rPr>
        <w:t> </w:t>
      </w:r>
      <w:r>
        <w:rPr>
          <w:b/>
          <w:sz w:val="24"/>
        </w:rPr>
        <w:t>and</w:t>
      </w:r>
      <w:r>
        <w:rPr>
          <w:b/>
          <w:spacing w:val="28"/>
          <w:sz w:val="24"/>
        </w:rPr>
        <w:t> </w:t>
      </w:r>
      <w:r>
        <w:rPr>
          <w:b/>
          <w:sz w:val="24"/>
        </w:rPr>
        <w:t>Ngadda and maximum permissible limit (MPL) by World Health Organization, 2007.</w:t>
      </w:r>
    </w:p>
    <w:p>
      <w:pPr>
        <w:spacing w:after="0" w:line="480" w:lineRule="auto"/>
        <w:jc w:val="left"/>
        <w:rPr>
          <w:sz w:val="24"/>
        </w:rPr>
        <w:sectPr>
          <w:pgSz w:w="12240" w:h="15840"/>
          <w:pgMar w:header="0" w:footer="1012" w:top="1820" w:bottom="1200" w:left="1020" w:right="720"/>
        </w:sectPr>
      </w:pPr>
    </w:p>
    <w:p>
      <w:pPr>
        <w:pStyle w:val="BodyText"/>
        <w:spacing w:before="7"/>
        <w:rPr>
          <w:b/>
          <w:sz w:val="11"/>
        </w:rPr>
      </w:pPr>
    </w:p>
    <w:p>
      <w:pPr>
        <w:pStyle w:val="BodyText"/>
        <w:ind w:left="431"/>
        <w:rPr>
          <w:sz w:val="20"/>
        </w:rPr>
      </w:pPr>
      <w:r>
        <w:rPr>
          <w:sz w:val="20"/>
        </w:rPr>
        <w:drawing>
          <wp:inline distT="0" distB="0" distL="0" distR="0">
            <wp:extent cx="5487730" cy="3522535"/>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96" cstate="print"/>
                    <a:stretch>
                      <a:fillRect/>
                    </a:stretch>
                  </pic:blipFill>
                  <pic:spPr>
                    <a:xfrm>
                      <a:off x="0" y="0"/>
                      <a:ext cx="5487730" cy="3522535"/>
                    </a:xfrm>
                    <a:prstGeom prst="rect">
                      <a:avLst/>
                    </a:prstGeom>
                  </pic:spPr>
                </pic:pic>
              </a:graphicData>
            </a:graphic>
          </wp:inline>
        </w:drawing>
      </w:r>
      <w:r>
        <w:rPr>
          <w:sz w:val="20"/>
        </w:rPr>
      </w:r>
    </w:p>
    <w:p>
      <w:pPr>
        <w:spacing w:line="480" w:lineRule="auto" w:before="215"/>
        <w:ind w:left="420" w:right="765" w:firstLine="0"/>
        <w:jc w:val="left"/>
        <w:rPr>
          <w:b/>
          <w:sz w:val="24"/>
        </w:rPr>
      </w:pPr>
      <w:r>
        <w:rPr>
          <w:b/>
          <w:sz w:val="24"/>
        </w:rPr>
        <w:t>Figure 4.22 Seasonal mean concentrations of copper</w:t>
      </w:r>
      <w:r>
        <w:rPr>
          <w:b/>
          <w:spacing w:val="-1"/>
          <w:sz w:val="24"/>
        </w:rPr>
        <w:t> </w:t>
      </w:r>
      <w:r>
        <w:rPr>
          <w:b/>
          <w:sz w:val="24"/>
        </w:rPr>
        <w:t>in rivers Kaduna, Sokoto and Ngadda and maximum permissible limit (MPL) by World Health Organization, 2007.</w:t>
      </w:r>
    </w:p>
    <w:p>
      <w:pPr>
        <w:spacing w:after="0" w:line="480" w:lineRule="auto"/>
        <w:jc w:val="left"/>
        <w:rPr>
          <w:sz w:val="24"/>
        </w:rPr>
        <w:sectPr>
          <w:pgSz w:w="12240" w:h="15840"/>
          <w:pgMar w:header="0" w:footer="1012" w:top="1820" w:bottom="1200" w:left="1020" w:right="720"/>
        </w:sectPr>
      </w:pPr>
    </w:p>
    <w:p>
      <w:pPr>
        <w:pStyle w:val="BodyText"/>
        <w:ind w:left="431"/>
        <w:rPr>
          <w:sz w:val="20"/>
        </w:rPr>
      </w:pPr>
      <w:r>
        <w:rPr>
          <w:sz w:val="20"/>
        </w:rPr>
        <w:drawing>
          <wp:inline distT="0" distB="0" distL="0" distR="0">
            <wp:extent cx="5672467" cy="3565493"/>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97" cstate="print"/>
                    <a:stretch>
                      <a:fillRect/>
                    </a:stretch>
                  </pic:blipFill>
                  <pic:spPr>
                    <a:xfrm>
                      <a:off x="0" y="0"/>
                      <a:ext cx="5672467" cy="3565493"/>
                    </a:xfrm>
                    <a:prstGeom prst="rect">
                      <a:avLst/>
                    </a:prstGeom>
                  </pic:spPr>
                </pic:pic>
              </a:graphicData>
            </a:graphic>
          </wp:inline>
        </w:drawing>
      </w:r>
      <w:r>
        <w:rPr>
          <w:sz w:val="20"/>
        </w:rPr>
      </w:r>
    </w:p>
    <w:p>
      <w:pPr>
        <w:spacing w:line="480" w:lineRule="auto" w:before="226"/>
        <w:ind w:left="420" w:right="765" w:firstLine="0"/>
        <w:jc w:val="left"/>
        <w:rPr>
          <w:b/>
          <w:sz w:val="24"/>
        </w:rPr>
      </w:pPr>
      <w:r>
        <w:rPr>
          <w:b/>
          <w:sz w:val="24"/>
        </w:rPr>
        <w:t>Fiure.4.23 Seasonal mean concentrations of nickel in rivers Kaduna, Sokoto and Ngadda</w:t>
      </w:r>
      <w:r>
        <w:rPr>
          <w:b/>
          <w:spacing w:val="80"/>
          <w:sz w:val="24"/>
        </w:rPr>
        <w:t> </w:t>
      </w:r>
      <w:r>
        <w:rPr>
          <w:b/>
          <w:sz w:val="24"/>
        </w:rPr>
        <w:t>and maximum permissible limit (MPL) by World Health Organisation, 2007.</w:t>
      </w:r>
    </w:p>
    <w:p>
      <w:pPr>
        <w:spacing w:after="0" w:line="480" w:lineRule="auto"/>
        <w:jc w:val="left"/>
        <w:rPr>
          <w:sz w:val="24"/>
        </w:rPr>
        <w:sectPr>
          <w:pgSz w:w="12240" w:h="15840"/>
          <w:pgMar w:header="0" w:footer="1012" w:top="1420" w:bottom="1200" w:left="1020" w:right="720"/>
        </w:sectPr>
      </w:pPr>
    </w:p>
    <w:p>
      <w:pPr>
        <w:pStyle w:val="BodyText"/>
        <w:spacing w:before="7"/>
        <w:rPr>
          <w:b/>
          <w:sz w:val="11"/>
        </w:rPr>
      </w:pPr>
    </w:p>
    <w:p>
      <w:pPr>
        <w:pStyle w:val="BodyText"/>
        <w:ind w:left="431"/>
        <w:rPr>
          <w:sz w:val="20"/>
        </w:rPr>
      </w:pPr>
      <w:r>
        <w:rPr>
          <w:sz w:val="20"/>
        </w:rPr>
        <w:drawing>
          <wp:inline distT="0" distB="0" distL="0" distR="0">
            <wp:extent cx="5281180" cy="3651408"/>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98" cstate="print"/>
                    <a:stretch>
                      <a:fillRect/>
                    </a:stretch>
                  </pic:blipFill>
                  <pic:spPr>
                    <a:xfrm>
                      <a:off x="0" y="0"/>
                      <a:ext cx="5281180" cy="3651408"/>
                    </a:xfrm>
                    <a:prstGeom prst="rect">
                      <a:avLst/>
                    </a:prstGeom>
                  </pic:spPr>
                </pic:pic>
              </a:graphicData>
            </a:graphic>
          </wp:inline>
        </w:drawing>
      </w:r>
      <w:r>
        <w:rPr>
          <w:sz w:val="20"/>
        </w:rPr>
      </w:r>
    </w:p>
    <w:p>
      <w:pPr>
        <w:spacing w:line="480" w:lineRule="auto" w:before="252"/>
        <w:ind w:left="420" w:right="600" w:firstLine="0"/>
        <w:jc w:val="left"/>
        <w:rPr>
          <w:b/>
          <w:sz w:val="24"/>
        </w:rPr>
      </w:pPr>
      <w:r>
        <w:rPr>
          <w:b/>
          <w:sz w:val="24"/>
        </w:rPr>
        <w:t>Figure</w:t>
      </w:r>
      <w:r>
        <w:rPr>
          <w:b/>
          <w:spacing w:val="27"/>
          <w:sz w:val="24"/>
        </w:rPr>
        <w:t> </w:t>
      </w:r>
      <w:r>
        <w:rPr>
          <w:b/>
          <w:sz w:val="24"/>
        </w:rPr>
        <w:t>4.24</w:t>
      </w:r>
      <w:r>
        <w:rPr>
          <w:b/>
          <w:spacing w:val="27"/>
          <w:sz w:val="24"/>
        </w:rPr>
        <w:t> </w:t>
      </w:r>
      <w:r>
        <w:rPr>
          <w:b/>
          <w:sz w:val="24"/>
        </w:rPr>
        <w:t>Seasonal</w:t>
      </w:r>
      <w:r>
        <w:rPr>
          <w:b/>
          <w:spacing w:val="28"/>
          <w:sz w:val="24"/>
        </w:rPr>
        <w:t> </w:t>
      </w:r>
      <w:r>
        <w:rPr>
          <w:b/>
          <w:sz w:val="24"/>
        </w:rPr>
        <w:t>mean</w:t>
      </w:r>
      <w:r>
        <w:rPr>
          <w:b/>
          <w:spacing w:val="28"/>
          <w:sz w:val="24"/>
        </w:rPr>
        <w:t> </w:t>
      </w:r>
      <w:r>
        <w:rPr>
          <w:b/>
          <w:sz w:val="24"/>
        </w:rPr>
        <w:t>concentrations</w:t>
      </w:r>
      <w:r>
        <w:rPr>
          <w:b/>
          <w:spacing w:val="25"/>
          <w:sz w:val="24"/>
        </w:rPr>
        <w:t> </w:t>
      </w:r>
      <w:r>
        <w:rPr>
          <w:b/>
          <w:sz w:val="24"/>
        </w:rPr>
        <w:t>of</w:t>
      </w:r>
      <w:r>
        <w:rPr>
          <w:b/>
          <w:spacing w:val="29"/>
          <w:sz w:val="24"/>
        </w:rPr>
        <w:t> </w:t>
      </w:r>
      <w:r>
        <w:rPr>
          <w:b/>
          <w:sz w:val="24"/>
        </w:rPr>
        <w:t>lead</w:t>
      </w:r>
      <w:r>
        <w:rPr>
          <w:b/>
          <w:spacing w:val="28"/>
          <w:sz w:val="24"/>
        </w:rPr>
        <w:t> </w:t>
      </w:r>
      <w:r>
        <w:rPr>
          <w:b/>
          <w:sz w:val="24"/>
        </w:rPr>
        <w:t>in</w:t>
      </w:r>
      <w:r>
        <w:rPr>
          <w:b/>
          <w:spacing w:val="29"/>
          <w:sz w:val="24"/>
        </w:rPr>
        <w:t> </w:t>
      </w:r>
      <w:r>
        <w:rPr>
          <w:b/>
          <w:sz w:val="24"/>
        </w:rPr>
        <w:t>rivers</w:t>
      </w:r>
      <w:r>
        <w:rPr>
          <w:b/>
          <w:spacing w:val="25"/>
          <w:sz w:val="24"/>
        </w:rPr>
        <w:t> </w:t>
      </w:r>
      <w:r>
        <w:rPr>
          <w:b/>
          <w:sz w:val="24"/>
        </w:rPr>
        <w:t>Kaduna,</w:t>
      </w:r>
      <w:r>
        <w:rPr>
          <w:b/>
          <w:spacing w:val="30"/>
          <w:sz w:val="24"/>
        </w:rPr>
        <w:t> </w:t>
      </w:r>
      <w:r>
        <w:rPr>
          <w:b/>
          <w:sz w:val="24"/>
        </w:rPr>
        <w:t>Sokoto</w:t>
      </w:r>
      <w:r>
        <w:rPr>
          <w:b/>
          <w:spacing w:val="27"/>
          <w:sz w:val="24"/>
        </w:rPr>
        <w:t> </w:t>
      </w:r>
      <w:r>
        <w:rPr>
          <w:b/>
          <w:sz w:val="24"/>
        </w:rPr>
        <w:t>and</w:t>
      </w:r>
      <w:r>
        <w:rPr>
          <w:b/>
          <w:spacing w:val="28"/>
          <w:sz w:val="24"/>
        </w:rPr>
        <w:t> </w:t>
      </w:r>
      <w:r>
        <w:rPr>
          <w:b/>
          <w:sz w:val="24"/>
        </w:rPr>
        <w:t>Ngadda and maximum permissible limit (MPL) by World Health Organization, 2007.</w:t>
      </w:r>
    </w:p>
    <w:p>
      <w:pPr>
        <w:spacing w:after="0" w:line="480" w:lineRule="auto"/>
        <w:jc w:val="left"/>
        <w:rPr>
          <w:sz w:val="24"/>
        </w:rPr>
        <w:sectPr>
          <w:pgSz w:w="12240" w:h="15840"/>
          <w:pgMar w:header="0" w:footer="1012" w:top="1820" w:bottom="1200" w:left="1020" w:right="720"/>
        </w:sectPr>
      </w:pPr>
    </w:p>
    <w:p>
      <w:pPr>
        <w:pStyle w:val="BodyText"/>
        <w:ind w:left="431"/>
        <w:rPr>
          <w:sz w:val="20"/>
        </w:rPr>
      </w:pPr>
      <w:r>
        <w:rPr>
          <w:sz w:val="20"/>
        </w:rPr>
        <w:drawing>
          <wp:inline distT="0" distB="0" distL="0" distR="0">
            <wp:extent cx="5629492" cy="3608451"/>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99" cstate="print"/>
                    <a:stretch>
                      <a:fillRect/>
                    </a:stretch>
                  </pic:blipFill>
                  <pic:spPr>
                    <a:xfrm>
                      <a:off x="0" y="0"/>
                      <a:ext cx="5629492" cy="3608451"/>
                    </a:xfrm>
                    <a:prstGeom prst="rect">
                      <a:avLst/>
                    </a:prstGeom>
                  </pic:spPr>
                </pic:pic>
              </a:graphicData>
            </a:graphic>
          </wp:inline>
        </w:drawing>
      </w:r>
      <w:r>
        <w:rPr>
          <w:sz w:val="20"/>
        </w:rPr>
      </w:r>
    </w:p>
    <w:p>
      <w:pPr>
        <w:pStyle w:val="BodyText"/>
        <w:spacing w:before="2"/>
        <w:rPr>
          <w:b/>
        </w:rPr>
      </w:pPr>
    </w:p>
    <w:p>
      <w:pPr>
        <w:spacing w:line="480" w:lineRule="auto" w:before="0"/>
        <w:ind w:left="420" w:right="600" w:firstLine="0"/>
        <w:jc w:val="left"/>
        <w:rPr>
          <w:b/>
          <w:sz w:val="24"/>
        </w:rPr>
      </w:pPr>
      <w:r>
        <w:rPr>
          <w:b/>
          <w:sz w:val="24"/>
        </w:rPr>
        <w:t>Figure 4.25 Seasonal</w:t>
      </w:r>
      <w:r>
        <w:rPr>
          <w:b/>
          <w:spacing w:val="-2"/>
          <w:sz w:val="24"/>
        </w:rPr>
        <w:t> </w:t>
      </w:r>
      <w:r>
        <w:rPr>
          <w:b/>
          <w:sz w:val="24"/>
        </w:rPr>
        <w:t>mean concentrations of</w:t>
      </w:r>
      <w:r>
        <w:rPr>
          <w:b/>
          <w:spacing w:val="-1"/>
          <w:sz w:val="24"/>
        </w:rPr>
        <w:t> </w:t>
      </w:r>
      <w:r>
        <w:rPr>
          <w:b/>
          <w:sz w:val="24"/>
        </w:rPr>
        <w:t>arsenic in rivers Kaduna, Sokoto and Ngadda and maximum permissible limit (MPL) by World Health Organisation, 2007.</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4"/>
        <w:rPr>
          <w:b/>
        </w:rPr>
      </w:pPr>
    </w:p>
    <w:p>
      <w:pPr>
        <w:pStyle w:val="Heading1"/>
        <w:spacing w:before="1"/>
        <w:ind w:left="3301"/>
      </w:pPr>
      <w:bookmarkStart w:name="_TOC_250007" w:id="22"/>
      <w:r>
        <w:rPr/>
        <w:t>CHAPTER</w:t>
      </w:r>
      <w:r>
        <w:rPr>
          <w:spacing w:val="-8"/>
        </w:rPr>
        <w:t> </w:t>
      </w:r>
      <w:bookmarkEnd w:id="22"/>
      <w:r>
        <w:rPr>
          <w:spacing w:val="-4"/>
        </w:rPr>
        <w:t>FIVE</w:t>
      </w:r>
    </w:p>
    <w:p>
      <w:pPr>
        <w:spacing w:after="0"/>
        <w:sectPr>
          <w:pgSz w:w="12240" w:h="15840"/>
          <w:pgMar w:header="0" w:footer="1012" w:top="1420" w:bottom="1200" w:left="1020" w:right="720"/>
        </w:sectPr>
      </w:pPr>
    </w:p>
    <w:p>
      <w:pPr>
        <w:spacing w:before="72"/>
        <w:ind w:left="3301" w:right="0" w:firstLine="0"/>
        <w:jc w:val="left"/>
        <w:rPr>
          <w:b/>
          <w:sz w:val="24"/>
        </w:rPr>
      </w:pPr>
      <w:r>
        <w:rPr>
          <w:b/>
          <w:spacing w:val="-2"/>
          <w:sz w:val="24"/>
        </w:rPr>
        <w:t>DISCUSSION</w:t>
      </w:r>
    </w:p>
    <w:p>
      <w:pPr>
        <w:pStyle w:val="Heading2"/>
        <w:numPr>
          <w:ilvl w:val="1"/>
          <w:numId w:val="24"/>
        </w:numPr>
        <w:tabs>
          <w:tab w:pos="3117" w:val="left" w:leader="none"/>
        </w:tabs>
        <w:spacing w:line="240" w:lineRule="auto" w:before="242" w:after="0"/>
        <w:ind w:left="3117" w:right="0" w:hanging="2697"/>
        <w:jc w:val="both"/>
      </w:pPr>
      <w:bookmarkStart w:name="_TOC_250006" w:id="23"/>
      <w:r>
        <w:rPr/>
        <w:t>Method </w:t>
      </w:r>
      <w:bookmarkEnd w:id="23"/>
      <w:r>
        <w:rPr>
          <w:spacing w:val="-2"/>
        </w:rPr>
        <w:t>Validation</w:t>
      </w:r>
    </w:p>
    <w:p>
      <w:pPr>
        <w:pStyle w:val="BodyText"/>
        <w:spacing w:line="480" w:lineRule="auto" w:before="243"/>
        <w:ind w:left="420" w:right="717"/>
        <w:jc w:val="both"/>
      </w:pPr>
      <w:r>
        <w:rPr/>
        <w:t>The recovery for the metals examined ranged 92.07% to 101.02% for feeds and 92.22% to 103.13% for manures indicating good</w:t>
      </w:r>
      <w:r>
        <w:rPr>
          <w:spacing w:val="-1"/>
        </w:rPr>
        <w:t> </w:t>
      </w:r>
      <w:r>
        <w:rPr/>
        <w:t>recoveries of</w:t>
      </w:r>
      <w:r>
        <w:rPr>
          <w:spacing w:val="-4"/>
        </w:rPr>
        <w:t> </w:t>
      </w:r>
      <w:r>
        <w:rPr/>
        <w:t>the metals</w:t>
      </w:r>
      <w:r>
        <w:rPr>
          <w:spacing w:val="-3"/>
        </w:rPr>
        <w:t> </w:t>
      </w:r>
      <w:r>
        <w:rPr/>
        <w:t>(Table 4.1) thereby</w:t>
      </w:r>
      <w:r>
        <w:rPr>
          <w:spacing w:val="-6"/>
        </w:rPr>
        <w:t> </w:t>
      </w:r>
      <w:r>
        <w:rPr/>
        <w:t>demonstrating accuracy of the analytical method employed. The results of the recovery of the metals used in present</w:t>
      </w:r>
      <w:r>
        <w:rPr>
          <w:spacing w:val="40"/>
        </w:rPr>
        <w:t> </w:t>
      </w:r>
      <w:r>
        <w:rPr/>
        <w:t>investigation of the analytical technique were similar to the report by Okoye</w:t>
      </w:r>
      <w:r>
        <w:rPr>
          <w:spacing w:val="40"/>
        </w:rPr>
        <w:t> </w:t>
      </w:r>
      <w:r>
        <w:rPr>
          <w:i/>
        </w:rPr>
        <w:t>et al., </w:t>
      </w:r>
      <w:r>
        <w:rPr/>
        <w:t>(2011) in validating a method employed in metal analysis of poultry feeds sold in eastern</w:t>
      </w:r>
      <w:r>
        <w:rPr>
          <w:spacing w:val="40"/>
        </w:rPr>
        <w:t> </w:t>
      </w:r>
      <w:r>
        <w:rPr>
          <w:spacing w:val="-2"/>
        </w:rPr>
        <w:t>Nigeria.</w:t>
      </w:r>
    </w:p>
    <w:p>
      <w:pPr>
        <w:pStyle w:val="Heading2"/>
        <w:numPr>
          <w:ilvl w:val="1"/>
          <w:numId w:val="24"/>
        </w:numPr>
        <w:tabs>
          <w:tab w:pos="2461" w:val="left" w:leader="none"/>
        </w:tabs>
        <w:spacing w:line="240" w:lineRule="auto" w:before="199" w:after="0"/>
        <w:ind w:left="2461" w:right="0" w:hanging="2041"/>
        <w:jc w:val="both"/>
      </w:pPr>
      <w:r>
        <w:rPr/>
        <w:t>Heavy</w:t>
      </w:r>
      <w:r>
        <w:rPr>
          <w:spacing w:val="-6"/>
        </w:rPr>
        <w:t> </w:t>
      </w:r>
      <w:r>
        <w:rPr/>
        <w:t>Metals</w:t>
      </w:r>
      <w:r>
        <w:rPr>
          <w:spacing w:val="-2"/>
        </w:rPr>
        <w:t> </w:t>
      </w:r>
      <w:r>
        <w:rPr/>
        <w:t>in</w:t>
      </w:r>
      <w:r>
        <w:rPr>
          <w:spacing w:val="1"/>
        </w:rPr>
        <w:t> </w:t>
      </w:r>
      <w:r>
        <w:rPr/>
        <w:t>Livestock</w:t>
      </w:r>
      <w:r>
        <w:rPr>
          <w:spacing w:val="-3"/>
        </w:rPr>
        <w:t> </w:t>
      </w:r>
      <w:r>
        <w:rPr>
          <w:spacing w:val="-4"/>
        </w:rPr>
        <w:t>Feeds</w:t>
      </w:r>
    </w:p>
    <w:p>
      <w:pPr>
        <w:pStyle w:val="BodyText"/>
        <w:spacing w:before="62"/>
        <w:rPr>
          <w:b/>
        </w:rPr>
      </w:pPr>
    </w:p>
    <w:p>
      <w:pPr>
        <w:pStyle w:val="BodyText"/>
        <w:spacing w:line="480" w:lineRule="auto"/>
        <w:ind w:left="420" w:right="714"/>
        <w:jc w:val="both"/>
      </w:pPr>
      <w:r>
        <w:rPr/>
        <w:t>There are some heavy metals required as micro-nutrient in animal feeds but could be toxic at levels exceeding standard</w:t>
      </w:r>
      <w:r>
        <w:rPr>
          <w:spacing w:val="40"/>
        </w:rPr>
        <w:t> </w:t>
      </w:r>
      <w:r>
        <w:rPr/>
        <w:t>maximum acceptable limit stipulated for the</w:t>
      </w:r>
      <w:r>
        <w:rPr>
          <w:spacing w:val="40"/>
        </w:rPr>
        <w:t> </w:t>
      </w:r>
      <w:r>
        <w:rPr/>
        <w:t>metal in feeds. Copper and zinc are metals included in the requirement as micro-nutrient. The results obtained from</w:t>
      </w:r>
      <w:r>
        <w:rPr>
          <w:spacing w:val="-6"/>
        </w:rPr>
        <w:t> </w:t>
      </w:r>
      <w:r>
        <w:rPr/>
        <w:t>this study</w:t>
      </w:r>
      <w:r>
        <w:rPr>
          <w:spacing w:val="-4"/>
        </w:rPr>
        <w:t> </w:t>
      </w:r>
      <w:r>
        <w:rPr/>
        <w:t>on</w:t>
      </w:r>
      <w:r>
        <w:rPr>
          <w:spacing w:val="-4"/>
        </w:rPr>
        <w:t> </w:t>
      </w:r>
      <w:r>
        <w:rPr/>
        <w:t>compound fish</w:t>
      </w:r>
      <w:r>
        <w:rPr>
          <w:spacing w:val="-4"/>
        </w:rPr>
        <w:t> </w:t>
      </w:r>
      <w:r>
        <w:rPr/>
        <w:t>and poultry</w:t>
      </w:r>
      <w:r>
        <w:rPr>
          <w:spacing w:val="-4"/>
        </w:rPr>
        <w:t> </w:t>
      </w:r>
      <w:r>
        <w:rPr/>
        <w:t>feeds</w:t>
      </w:r>
      <w:r>
        <w:rPr>
          <w:spacing w:val="-1"/>
        </w:rPr>
        <w:t> </w:t>
      </w:r>
      <w:r>
        <w:rPr/>
        <w:t>showed that FA fish feeds and PA</w:t>
      </w:r>
      <w:r>
        <w:rPr>
          <w:spacing w:val="-5"/>
        </w:rPr>
        <w:t> </w:t>
      </w:r>
      <w:r>
        <w:rPr/>
        <w:t>poultry feed brands contain the highest concentrations of zinc and copper, however, as essential micro-nutrient the levels were far below the required limit in all brands of compound animal feeds sampled. Zinc (mostly in the form of zinc oxide) and copper (mostly in the form of copper sulphate) are added to compound fish and poultry feeds. There is no significant (p&lt;0.05) difference in levels of the respective metals</w:t>
      </w:r>
      <w:r>
        <w:rPr>
          <w:spacing w:val="-4"/>
        </w:rPr>
        <w:t> </w:t>
      </w:r>
      <w:r>
        <w:rPr/>
        <w:t>across</w:t>
      </w:r>
      <w:r>
        <w:rPr>
          <w:spacing w:val="-4"/>
        </w:rPr>
        <w:t> </w:t>
      </w:r>
      <w:r>
        <w:rPr/>
        <w:t>the</w:t>
      </w:r>
      <w:r>
        <w:rPr>
          <w:spacing w:val="-3"/>
        </w:rPr>
        <w:t> </w:t>
      </w:r>
      <w:r>
        <w:rPr/>
        <w:t>three</w:t>
      </w:r>
      <w:r>
        <w:rPr>
          <w:spacing w:val="-3"/>
        </w:rPr>
        <w:t> </w:t>
      </w:r>
      <w:r>
        <w:rPr/>
        <w:t>zones</w:t>
      </w:r>
      <w:r>
        <w:rPr>
          <w:spacing w:val="-4"/>
        </w:rPr>
        <w:t> </w:t>
      </w:r>
      <w:r>
        <w:rPr/>
        <w:t>of</w:t>
      </w:r>
      <w:r>
        <w:rPr>
          <w:spacing w:val="-9"/>
        </w:rPr>
        <w:t> </w:t>
      </w:r>
      <w:r>
        <w:rPr/>
        <w:t>Northern</w:t>
      </w:r>
      <w:r>
        <w:rPr>
          <w:spacing w:val="-6"/>
        </w:rPr>
        <w:t> </w:t>
      </w:r>
      <w:r>
        <w:rPr/>
        <w:t>Nigeria. The</w:t>
      </w:r>
      <w:r>
        <w:rPr>
          <w:spacing w:val="-3"/>
        </w:rPr>
        <w:t> </w:t>
      </w:r>
      <w:r>
        <w:rPr/>
        <w:t>values for</w:t>
      </w:r>
      <w:r>
        <w:rPr>
          <w:spacing w:val="-1"/>
        </w:rPr>
        <w:t> </w:t>
      </w:r>
      <w:r>
        <w:rPr/>
        <w:t>compound fish</w:t>
      </w:r>
      <w:r>
        <w:rPr>
          <w:spacing w:val="-2"/>
        </w:rPr>
        <w:t> </w:t>
      </w:r>
      <w:r>
        <w:rPr/>
        <w:t>feeds from this study were comparable higher than 1.21 – 3.32 mg/kg obtained by (Anhwange </w:t>
      </w:r>
      <w:r>
        <w:rPr>
          <w:i/>
        </w:rPr>
        <w:t>et al</w:t>
      </w:r>
      <w:r>
        <w:rPr/>
        <w:t>., 2012) in their analysis of fish feeds in Makurdi metropolis, north central Nigeria. The zinc and copper values obtained for poultry feeds were also lower than those obtained by Okoye </w:t>
      </w:r>
      <w:r>
        <w:rPr>
          <w:i/>
        </w:rPr>
        <w:t>et al., </w:t>
      </w:r>
      <w:r>
        <w:rPr/>
        <w:t>(2011) in eastern part of Nigeria. These essential trace mineral are required for many biological processes. Nickel has been implicated as an</w:t>
      </w:r>
      <w:r>
        <w:rPr>
          <w:spacing w:val="-4"/>
        </w:rPr>
        <w:t> </w:t>
      </w:r>
      <w:r>
        <w:rPr/>
        <w:t>essential</w:t>
      </w:r>
      <w:r>
        <w:rPr>
          <w:spacing w:val="-4"/>
        </w:rPr>
        <w:t> </w:t>
      </w:r>
      <w:r>
        <w:rPr/>
        <w:t>trace metal</w:t>
      </w:r>
      <w:r>
        <w:rPr>
          <w:spacing w:val="-4"/>
        </w:rPr>
        <w:t> </w:t>
      </w:r>
      <w:r>
        <w:rPr/>
        <w:t>in experimental</w:t>
      </w:r>
      <w:r>
        <w:rPr>
          <w:spacing w:val="-4"/>
        </w:rPr>
        <w:t> </w:t>
      </w:r>
      <w:r>
        <w:rPr/>
        <w:t>animals (Costa,</w:t>
      </w:r>
    </w:p>
    <w:p>
      <w:pPr>
        <w:spacing w:after="0" w:line="480" w:lineRule="auto"/>
        <w:jc w:val="both"/>
        <w:sectPr>
          <w:pgSz w:w="12240" w:h="15840"/>
          <w:pgMar w:header="0" w:footer="1012" w:top="1360" w:bottom="1200" w:left="1020" w:right="720"/>
        </w:sectPr>
      </w:pPr>
    </w:p>
    <w:p>
      <w:pPr>
        <w:pStyle w:val="BodyText"/>
        <w:spacing w:line="480" w:lineRule="auto" w:before="72"/>
        <w:ind w:left="420" w:right="716"/>
        <w:jc w:val="both"/>
      </w:pPr>
      <w:r>
        <w:rPr/>
        <w:t>2000). The nickel contents were higher in FC fish feed</w:t>
      </w:r>
      <w:r>
        <w:rPr>
          <w:spacing w:val="40"/>
        </w:rPr>
        <w:t> </w:t>
      </w:r>
      <w:r>
        <w:rPr/>
        <w:t>and PD poultry feed</w:t>
      </w:r>
      <w:r>
        <w:rPr>
          <w:spacing w:val="40"/>
        </w:rPr>
        <w:t> </w:t>
      </w:r>
      <w:r>
        <w:rPr/>
        <w:t>brands of all the compound feeds</w:t>
      </w:r>
      <w:r>
        <w:rPr>
          <w:spacing w:val="-1"/>
        </w:rPr>
        <w:t> </w:t>
      </w:r>
      <w:r>
        <w:rPr/>
        <w:t>sampled and were found to be within</w:t>
      </w:r>
      <w:r>
        <w:rPr>
          <w:spacing w:val="-2"/>
        </w:rPr>
        <w:t> </w:t>
      </w:r>
      <w:r>
        <w:rPr/>
        <w:t>required European</w:t>
      </w:r>
      <w:r>
        <w:rPr>
          <w:spacing w:val="-2"/>
        </w:rPr>
        <w:t> </w:t>
      </w:r>
      <w:r>
        <w:rPr/>
        <w:t>union</w:t>
      </w:r>
      <w:r>
        <w:rPr>
          <w:spacing w:val="-2"/>
        </w:rPr>
        <w:t> </w:t>
      </w:r>
      <w:r>
        <w:rPr/>
        <w:t>range. However, the difference in the recorded values could be as a result of unharmonised nutritional requirements of fish and poultry which differ from one area to another and errors during processing and mixing of ingredients in the feeds. Also, low concentrations of some of these essential metals as shown in this study, when compared with the recommended values stipulated by European Union, also revealed inadequate supplementation of these metals in the feed. Lead</w:t>
      </w:r>
      <w:r>
        <w:rPr>
          <w:spacing w:val="40"/>
        </w:rPr>
        <w:t> </w:t>
      </w:r>
      <w:r>
        <w:rPr/>
        <w:t>is a non-essential element that is of direct health concern to animals and humans (Costa, 2000). Highest concentrations were recorded in FA fish feeds and PD poultry feeds but were below the stipulated limits by European Union for leads in animal feeds and lower than 1.02 mg/kg</w:t>
      </w:r>
      <w:r>
        <w:rPr>
          <w:spacing w:val="40"/>
        </w:rPr>
        <w:t> </w:t>
      </w:r>
      <w:r>
        <w:rPr/>
        <w:t>reported by Anhwange </w:t>
      </w:r>
      <w:r>
        <w:rPr>
          <w:i/>
        </w:rPr>
        <w:t>et al</w:t>
      </w:r>
      <w:r>
        <w:rPr/>
        <w:t>.,( 2012) in their analysis of fish feeds in Makurdi metropolis. The levels were however lower than 2.86 mg/kg reported by Okoye </w:t>
      </w:r>
      <w:r>
        <w:rPr>
          <w:i/>
        </w:rPr>
        <w:t>et al</w:t>
      </w:r>
      <w:r>
        <w:rPr/>
        <w:t>.,( 2011) in poultry feeds analyzed in eastern part of Nigeria respectively. Arsenic concentrations were generally less than</w:t>
      </w:r>
    </w:p>
    <w:p>
      <w:pPr>
        <w:pStyle w:val="BodyText"/>
        <w:spacing w:line="480" w:lineRule="auto" w:before="3"/>
        <w:ind w:left="420" w:right="719"/>
        <w:jc w:val="both"/>
      </w:pPr>
      <w:r>
        <w:rPr/>
        <w:t>0.5 mg/kg in all fish and poultry feeds sampled as stipulated by European Union. Some organic arsenic compounds have been used in swine and poultry to improve weight gain (Giacomina </w:t>
      </w:r>
      <w:r>
        <w:rPr>
          <w:i/>
        </w:rPr>
        <w:t>et al., </w:t>
      </w:r>
      <w:r>
        <w:rPr/>
        <w:t>2007).</w:t>
      </w:r>
    </w:p>
    <w:p>
      <w:pPr>
        <w:pStyle w:val="BodyText"/>
        <w:spacing w:line="480" w:lineRule="auto" w:before="202"/>
        <w:ind w:left="420" w:right="715"/>
        <w:jc w:val="both"/>
      </w:pPr>
      <w:r>
        <w:rPr/>
        <w:t>The metal concentrations in forage grasses revealed that zinc, copper and nickel metal concentrations were highest in grazing grasses across Kagara (north central zone) but are lower than the respective metal concentrations stipulated by European Union in animal feeds.</w:t>
      </w:r>
      <w:r>
        <w:rPr>
          <w:spacing w:val="40"/>
        </w:rPr>
        <w:t> </w:t>
      </w:r>
      <w:r>
        <w:rPr/>
        <w:t>Mean forage zinc concentrations across northern Nigeria are in the range of 4.80 ± 2.43 - 7.08 ± 0.66 mg/kg. Zinc is present in the body as a co-factor for enzymes such as arginase and diaminase. It takes parts in the synthesis of DNA, proteins and insulin. It is an essential element required for many</w:t>
      </w:r>
      <w:r>
        <w:rPr>
          <w:spacing w:val="36"/>
        </w:rPr>
        <w:t> </w:t>
      </w:r>
      <w:r>
        <w:rPr/>
        <w:t>biological</w:t>
      </w:r>
      <w:r>
        <w:rPr>
          <w:spacing w:val="32"/>
        </w:rPr>
        <w:t> </w:t>
      </w:r>
      <w:r>
        <w:rPr/>
        <w:t>processes,</w:t>
      </w:r>
      <w:r>
        <w:rPr>
          <w:spacing w:val="40"/>
        </w:rPr>
        <w:t> </w:t>
      </w:r>
      <w:r>
        <w:rPr/>
        <w:t>including</w:t>
      </w:r>
      <w:r>
        <w:rPr>
          <w:spacing w:val="36"/>
        </w:rPr>
        <w:t> </w:t>
      </w:r>
      <w:r>
        <w:rPr/>
        <w:t>protein</w:t>
      </w:r>
      <w:r>
        <w:rPr>
          <w:spacing w:val="31"/>
        </w:rPr>
        <w:t> </w:t>
      </w:r>
      <w:r>
        <w:rPr/>
        <w:t>synthesis,</w:t>
      </w:r>
      <w:r>
        <w:rPr>
          <w:spacing w:val="38"/>
        </w:rPr>
        <w:t> </w:t>
      </w:r>
      <w:r>
        <w:rPr/>
        <w:t>carbohydrate</w:t>
      </w:r>
      <w:r>
        <w:rPr>
          <w:spacing w:val="39"/>
        </w:rPr>
        <w:t> </w:t>
      </w:r>
      <w:r>
        <w:rPr/>
        <w:t>metabolism,</w:t>
      </w:r>
      <w:r>
        <w:rPr>
          <w:spacing w:val="38"/>
        </w:rPr>
        <w:t> </w:t>
      </w:r>
      <w:r>
        <w:rPr/>
        <w:t>cell</w:t>
      </w:r>
      <w:r>
        <w:rPr>
          <w:spacing w:val="32"/>
        </w:rPr>
        <w:t> </w:t>
      </w:r>
      <w:r>
        <w:rPr/>
        <w:t>growth</w:t>
      </w:r>
    </w:p>
    <w:p>
      <w:pPr>
        <w:spacing w:after="0" w:line="480" w:lineRule="auto"/>
        <w:jc w:val="both"/>
        <w:sectPr>
          <w:pgSz w:w="12240" w:h="15840"/>
          <w:pgMar w:header="0" w:footer="1012" w:top="1360" w:bottom="1200" w:left="1020" w:right="720"/>
        </w:sectPr>
      </w:pPr>
    </w:p>
    <w:p>
      <w:pPr>
        <w:pStyle w:val="BodyText"/>
        <w:spacing w:line="480" w:lineRule="auto" w:before="72"/>
        <w:ind w:left="420" w:right="714"/>
        <w:jc w:val="both"/>
      </w:pPr>
      <w:r>
        <w:rPr/>
        <w:t>and cell division in humans and animals. High zinc levels between 80 mg/kg – 180 mg/kg was reported for forage grasses in Dareta village, Zamfara, North central, Nigeria by (Udiba </w:t>
      </w:r>
      <w:r>
        <w:rPr>
          <w:i/>
        </w:rPr>
        <w:t>et. al</w:t>
      </w:r>
      <w:r>
        <w:rPr/>
        <w:t>., 2013) after the remediation exercise due to lead poisoning crisis of 2010 in the area.</w:t>
      </w:r>
    </w:p>
    <w:p>
      <w:pPr>
        <w:pStyle w:val="BodyText"/>
        <w:spacing w:line="480" w:lineRule="auto" w:before="1"/>
        <w:ind w:left="420" w:right="725"/>
        <w:jc w:val="both"/>
      </w:pPr>
      <w:r>
        <w:rPr/>
        <w:t>Exposure</w:t>
      </w:r>
      <w:r>
        <w:rPr>
          <w:spacing w:val="-2"/>
        </w:rPr>
        <w:t> </w:t>
      </w:r>
      <w:r>
        <w:rPr/>
        <w:t>to excess amount of</w:t>
      </w:r>
      <w:r>
        <w:rPr>
          <w:spacing w:val="-9"/>
        </w:rPr>
        <w:t> </w:t>
      </w:r>
      <w:r>
        <w:rPr/>
        <w:t>zinc can</w:t>
      </w:r>
      <w:r>
        <w:rPr>
          <w:spacing w:val="-1"/>
        </w:rPr>
        <w:t> </w:t>
      </w:r>
      <w:r>
        <w:rPr/>
        <w:t>result to zinc poisoning, though</w:t>
      </w:r>
      <w:r>
        <w:rPr>
          <w:spacing w:val="-1"/>
        </w:rPr>
        <w:t> </w:t>
      </w:r>
      <w:r>
        <w:rPr/>
        <w:t>is most commonly</w:t>
      </w:r>
      <w:r>
        <w:rPr>
          <w:spacing w:val="-1"/>
        </w:rPr>
        <w:t> </w:t>
      </w:r>
      <w:r>
        <w:rPr/>
        <w:t>added as mineral supplements to the animal ration. The low concentration of zinc in this study implies that forage grasses sampled does not pose a toxicity</w:t>
      </w:r>
      <w:r>
        <w:rPr>
          <w:spacing w:val="-1"/>
        </w:rPr>
        <w:t> </w:t>
      </w:r>
      <w:r>
        <w:rPr/>
        <w:t>problem for the grazing animals.</w:t>
      </w:r>
    </w:p>
    <w:p>
      <w:pPr>
        <w:pStyle w:val="BodyText"/>
        <w:spacing w:line="480" w:lineRule="auto"/>
        <w:ind w:left="420" w:right="715"/>
        <w:jc w:val="both"/>
      </w:pPr>
      <w:r>
        <w:rPr/>
        <w:t>Copper was detected in all the grass samples with same trend as observed in mean forage zinc concentrations across the stations though, recorded at lower values. The mean copper concentrations ranged from 3.20 ± 1.36 mg/kg to 6.61 ± 0.33 mg/kg .The Cu concentrations of forages</w:t>
      </w:r>
      <w:r>
        <w:rPr>
          <w:spacing w:val="-3"/>
        </w:rPr>
        <w:t> </w:t>
      </w:r>
      <w:r>
        <w:rPr/>
        <w:t>obtained in</w:t>
      </w:r>
      <w:r>
        <w:rPr>
          <w:spacing w:val="-1"/>
        </w:rPr>
        <w:t> </w:t>
      </w:r>
      <w:r>
        <w:rPr/>
        <w:t>each</w:t>
      </w:r>
      <w:r>
        <w:rPr>
          <w:spacing w:val="-1"/>
        </w:rPr>
        <w:t> </w:t>
      </w:r>
      <w:r>
        <w:rPr/>
        <w:t>zone</w:t>
      </w:r>
      <w:r>
        <w:rPr>
          <w:spacing w:val="-2"/>
        </w:rPr>
        <w:t> </w:t>
      </w:r>
      <w:r>
        <w:rPr/>
        <w:t>were not significantly</w:t>
      </w:r>
      <w:r>
        <w:rPr>
          <w:spacing w:val="-6"/>
        </w:rPr>
        <w:t> </w:t>
      </w:r>
      <w:r>
        <w:rPr/>
        <w:t>(P&gt;0.05) different from</w:t>
      </w:r>
      <w:r>
        <w:rPr>
          <w:spacing w:val="-9"/>
        </w:rPr>
        <w:t> </w:t>
      </w:r>
      <w:r>
        <w:rPr/>
        <w:t>each</w:t>
      </w:r>
      <w:r>
        <w:rPr>
          <w:spacing w:val="-1"/>
        </w:rPr>
        <w:t> </w:t>
      </w:r>
      <w:r>
        <w:rPr/>
        <w:t>other and</w:t>
      </w:r>
      <w:r>
        <w:rPr>
          <w:spacing w:val="-1"/>
        </w:rPr>
        <w:t> </w:t>
      </w:r>
      <w:r>
        <w:rPr/>
        <w:t>were found to be within the permissible limit of 100 mg/kg</w:t>
      </w:r>
      <w:r>
        <w:rPr>
          <w:spacing w:val="40"/>
        </w:rPr>
        <w:t> </w:t>
      </w:r>
      <w:r>
        <w:rPr/>
        <w:t>stipulated by European union, 2007 for copper</w:t>
      </w:r>
      <w:r>
        <w:rPr>
          <w:spacing w:val="-2"/>
        </w:rPr>
        <w:t> </w:t>
      </w:r>
      <w:r>
        <w:rPr/>
        <w:t>in</w:t>
      </w:r>
      <w:r>
        <w:rPr>
          <w:spacing w:val="-2"/>
        </w:rPr>
        <w:t> </w:t>
      </w:r>
      <w:r>
        <w:rPr/>
        <w:t>feeds.</w:t>
      </w:r>
      <w:r>
        <w:rPr>
          <w:spacing w:val="-1"/>
        </w:rPr>
        <w:t> </w:t>
      </w:r>
      <w:r>
        <w:rPr/>
        <w:t>Copper</w:t>
      </w:r>
      <w:r>
        <w:rPr>
          <w:spacing w:val="-2"/>
        </w:rPr>
        <w:t> </w:t>
      </w:r>
      <w:r>
        <w:rPr/>
        <w:t>is</w:t>
      </w:r>
      <w:r>
        <w:rPr>
          <w:spacing w:val="-4"/>
        </w:rPr>
        <w:t> </w:t>
      </w:r>
      <w:r>
        <w:rPr/>
        <w:t>essential</w:t>
      </w:r>
      <w:r>
        <w:rPr>
          <w:spacing w:val="-2"/>
        </w:rPr>
        <w:t> </w:t>
      </w:r>
      <w:r>
        <w:rPr/>
        <w:t>for</w:t>
      </w:r>
      <w:r>
        <w:rPr>
          <w:spacing w:val="-2"/>
        </w:rPr>
        <w:t> </w:t>
      </w:r>
      <w:r>
        <w:rPr/>
        <w:t>enzyme function</w:t>
      </w:r>
      <w:r>
        <w:rPr>
          <w:spacing w:val="-7"/>
        </w:rPr>
        <w:t> </w:t>
      </w:r>
      <w:r>
        <w:rPr/>
        <w:t>and</w:t>
      </w:r>
      <w:r>
        <w:rPr>
          <w:spacing w:val="-2"/>
        </w:rPr>
        <w:t> </w:t>
      </w:r>
      <w:r>
        <w:rPr/>
        <w:t>stabilization of</w:t>
      </w:r>
      <w:r>
        <w:rPr>
          <w:spacing w:val="-10"/>
        </w:rPr>
        <w:t> </w:t>
      </w:r>
      <w:r>
        <w:rPr/>
        <w:t>collagen</w:t>
      </w:r>
      <w:r>
        <w:rPr>
          <w:spacing w:val="-7"/>
        </w:rPr>
        <w:t> </w:t>
      </w:r>
      <w:r>
        <w:rPr/>
        <w:t>and</w:t>
      </w:r>
      <w:r>
        <w:rPr>
          <w:spacing w:val="-2"/>
        </w:rPr>
        <w:t> </w:t>
      </w:r>
      <w:r>
        <w:rPr/>
        <w:t>elating, in energy metabolism, pigmentation, antioxidant defense system, and iron metabolism (Lopez- Alonzo </w:t>
      </w:r>
      <w:r>
        <w:rPr>
          <w:i/>
        </w:rPr>
        <w:t>et. al</w:t>
      </w:r>
      <w:r>
        <w:rPr/>
        <w:t>., 2002). Cattle are sensitive to copper toxicity than by goats. Ruminants typically develop</w:t>
      </w:r>
      <w:r>
        <w:rPr>
          <w:spacing w:val="17"/>
        </w:rPr>
        <w:t> </w:t>
      </w:r>
      <w:r>
        <w:rPr/>
        <w:t>hemolytic anemia,</w:t>
      </w:r>
      <w:r>
        <w:rPr>
          <w:spacing w:val="14"/>
        </w:rPr>
        <w:t> </w:t>
      </w:r>
      <w:r>
        <w:rPr/>
        <w:t>with liver</w:t>
      </w:r>
      <w:r>
        <w:rPr>
          <w:spacing w:val="14"/>
        </w:rPr>
        <w:t> </w:t>
      </w:r>
      <w:r>
        <w:rPr/>
        <w:t>and</w:t>
      </w:r>
      <w:r>
        <w:rPr>
          <w:spacing w:val="19"/>
        </w:rPr>
        <w:t> </w:t>
      </w:r>
      <w:r>
        <w:rPr/>
        <w:t>kidney lesions common to</w:t>
      </w:r>
      <w:r>
        <w:rPr>
          <w:spacing w:val="17"/>
        </w:rPr>
        <w:t> </w:t>
      </w:r>
      <w:r>
        <w:rPr/>
        <w:t>all species.</w:t>
      </w:r>
      <w:r>
        <w:rPr>
          <w:spacing w:val="14"/>
        </w:rPr>
        <w:t> </w:t>
      </w:r>
      <w:r>
        <w:rPr/>
        <w:t>A low</w:t>
      </w:r>
      <w:r>
        <w:rPr>
          <w:spacing w:val="16"/>
        </w:rPr>
        <w:t> </w:t>
      </w:r>
      <w:r>
        <w:rPr/>
        <w:t>level of</w:t>
      </w:r>
    </w:p>
    <w:p>
      <w:pPr>
        <w:pStyle w:val="BodyText"/>
        <w:spacing w:line="480" w:lineRule="auto" w:before="2"/>
        <w:ind w:left="420" w:right="712"/>
        <w:jc w:val="both"/>
      </w:pPr>
      <w:r>
        <w:rPr/>
        <w:t>4.55 mg/kg reported for forage grasses in Ibadan, Nigeria was similar to mean copper levels obtained in this study. The nickel concentration in forages harvested in North central areas differed significantly (P&lt;0.05) from sampling stations in North eastern Nigeria (Solomon </w:t>
      </w:r>
      <w:r>
        <w:rPr>
          <w:i/>
        </w:rPr>
        <w:t>et al</w:t>
      </w:r>
      <w:r>
        <w:rPr/>
        <w:t>., </w:t>
      </w:r>
      <w:r>
        <w:rPr>
          <w:spacing w:val="-2"/>
        </w:rPr>
        <w:t>2000).</w:t>
      </w:r>
    </w:p>
    <w:p>
      <w:pPr>
        <w:pStyle w:val="BodyText"/>
        <w:spacing w:line="480" w:lineRule="auto" w:before="198"/>
        <w:ind w:left="420" w:right="718" w:firstLine="57"/>
        <w:jc w:val="both"/>
      </w:pPr>
      <w:r>
        <w:rPr/>
        <w:t>Lead values were higher in Anka grazing area than in other sampling areas in Northern</w:t>
      </w:r>
      <w:r>
        <w:rPr>
          <w:spacing w:val="-1"/>
        </w:rPr>
        <w:t> </w:t>
      </w:r>
      <w:r>
        <w:rPr/>
        <w:t>Nigeria. Lead</w:t>
      </w:r>
      <w:r>
        <w:rPr>
          <w:spacing w:val="-1"/>
        </w:rPr>
        <w:t> </w:t>
      </w:r>
      <w:r>
        <w:rPr/>
        <w:t>as</w:t>
      </w:r>
      <w:r>
        <w:rPr>
          <w:spacing w:val="-3"/>
        </w:rPr>
        <w:t> </w:t>
      </w:r>
      <w:r>
        <w:rPr/>
        <w:t>a</w:t>
      </w:r>
      <w:r>
        <w:rPr>
          <w:spacing w:val="-2"/>
        </w:rPr>
        <w:t> </w:t>
      </w:r>
      <w:r>
        <w:rPr/>
        <w:t>non-essential</w:t>
      </w:r>
      <w:r>
        <w:rPr>
          <w:spacing w:val="-1"/>
        </w:rPr>
        <w:t> </w:t>
      </w:r>
      <w:r>
        <w:rPr/>
        <w:t>metal</w:t>
      </w:r>
      <w:r>
        <w:rPr>
          <w:spacing w:val="-6"/>
        </w:rPr>
        <w:t> </w:t>
      </w:r>
      <w:r>
        <w:rPr/>
        <w:t>is more</w:t>
      </w:r>
      <w:r>
        <w:rPr>
          <w:spacing w:val="-7"/>
        </w:rPr>
        <w:t> </w:t>
      </w:r>
      <w:r>
        <w:rPr/>
        <w:t>of</w:t>
      </w:r>
      <w:r>
        <w:rPr>
          <w:spacing w:val="-9"/>
        </w:rPr>
        <w:t> </w:t>
      </w:r>
      <w:r>
        <w:rPr/>
        <w:t>toxic</w:t>
      </w:r>
      <w:r>
        <w:rPr>
          <w:spacing w:val="-2"/>
        </w:rPr>
        <w:t> </w:t>
      </w:r>
      <w:r>
        <w:rPr/>
        <w:t>and as</w:t>
      </w:r>
      <w:r>
        <w:rPr>
          <w:spacing w:val="-3"/>
        </w:rPr>
        <w:t> </w:t>
      </w:r>
      <w:r>
        <w:rPr/>
        <w:t>non</w:t>
      </w:r>
      <w:r>
        <w:rPr>
          <w:spacing w:val="-1"/>
        </w:rPr>
        <w:t> </w:t>
      </w:r>
      <w:r>
        <w:rPr/>
        <w:t>nutritious,</w:t>
      </w:r>
      <w:r>
        <w:rPr>
          <w:spacing w:val="-4"/>
        </w:rPr>
        <w:t> </w:t>
      </w:r>
      <w:r>
        <w:rPr/>
        <w:t>therefore</w:t>
      </w:r>
      <w:r>
        <w:rPr>
          <w:spacing w:val="-2"/>
        </w:rPr>
        <w:t> </w:t>
      </w:r>
      <w:r>
        <w:rPr/>
        <w:t>should</w:t>
      </w:r>
      <w:r>
        <w:rPr>
          <w:spacing w:val="-1"/>
        </w:rPr>
        <w:t> </w:t>
      </w:r>
      <w:r>
        <w:rPr/>
        <w:t>be</w:t>
      </w:r>
      <w:r>
        <w:rPr>
          <w:spacing w:val="-2"/>
        </w:rPr>
        <w:t> </w:t>
      </w:r>
      <w:r>
        <w:rPr/>
        <w:t>our main concern in discussing heavy metals in animal feeds. Generally, the mean lead value recorded for north</w:t>
      </w:r>
      <w:r>
        <w:rPr>
          <w:spacing w:val="22"/>
        </w:rPr>
        <w:t> </w:t>
      </w:r>
      <w:r>
        <w:rPr/>
        <w:t>central</w:t>
      </w:r>
      <w:r>
        <w:rPr>
          <w:spacing w:val="21"/>
        </w:rPr>
        <w:t> </w:t>
      </w:r>
      <w:r>
        <w:rPr/>
        <w:t>was</w:t>
      </w:r>
      <w:r>
        <w:rPr>
          <w:spacing w:val="26"/>
        </w:rPr>
        <w:t> </w:t>
      </w:r>
      <w:r>
        <w:rPr/>
        <w:t>almost</w:t>
      </w:r>
      <w:r>
        <w:rPr>
          <w:spacing w:val="30"/>
        </w:rPr>
        <w:t> </w:t>
      </w:r>
      <w:r>
        <w:rPr/>
        <w:t>twice</w:t>
      </w:r>
      <w:r>
        <w:rPr>
          <w:spacing w:val="29"/>
        </w:rPr>
        <w:t> </w:t>
      </w:r>
      <w:r>
        <w:rPr/>
        <w:t>the</w:t>
      </w:r>
      <w:r>
        <w:rPr>
          <w:spacing w:val="29"/>
        </w:rPr>
        <w:t> </w:t>
      </w:r>
      <w:r>
        <w:rPr/>
        <w:t>acceptable</w:t>
      </w:r>
      <w:r>
        <w:rPr>
          <w:spacing w:val="33"/>
        </w:rPr>
        <w:t> </w:t>
      </w:r>
      <w:r>
        <w:rPr/>
        <w:t>limit,</w:t>
      </w:r>
      <w:r>
        <w:rPr>
          <w:spacing w:val="32"/>
        </w:rPr>
        <w:t> </w:t>
      </w:r>
      <w:r>
        <w:rPr/>
        <w:t>while</w:t>
      </w:r>
      <w:r>
        <w:rPr>
          <w:spacing w:val="33"/>
        </w:rPr>
        <w:t> </w:t>
      </w:r>
      <w:r>
        <w:rPr/>
        <w:t>mean</w:t>
      </w:r>
      <w:r>
        <w:rPr>
          <w:spacing w:val="29"/>
        </w:rPr>
        <w:t> </w:t>
      </w:r>
      <w:r>
        <w:rPr/>
        <w:t>value</w:t>
      </w:r>
      <w:r>
        <w:rPr>
          <w:spacing w:val="33"/>
        </w:rPr>
        <w:t> </w:t>
      </w:r>
      <w:r>
        <w:rPr/>
        <w:t>for</w:t>
      </w:r>
      <w:r>
        <w:rPr>
          <w:spacing w:val="31"/>
        </w:rPr>
        <w:t> </w:t>
      </w:r>
      <w:r>
        <w:rPr/>
        <w:t>North</w:t>
      </w:r>
      <w:r>
        <w:rPr>
          <w:spacing w:val="25"/>
        </w:rPr>
        <w:t> </w:t>
      </w:r>
      <w:r>
        <w:rPr/>
        <w:t>west</w:t>
      </w:r>
      <w:r>
        <w:rPr>
          <w:spacing w:val="35"/>
        </w:rPr>
        <w:t> </w:t>
      </w:r>
      <w:r>
        <w:rPr>
          <w:spacing w:val="-2"/>
        </w:rPr>
        <w:t>grazing</w:t>
      </w:r>
    </w:p>
    <w:p>
      <w:pPr>
        <w:spacing w:after="0" w:line="480" w:lineRule="auto"/>
        <w:jc w:val="both"/>
        <w:sectPr>
          <w:pgSz w:w="12240" w:h="15840"/>
          <w:pgMar w:header="0" w:footer="1012" w:top="1360" w:bottom="1200" w:left="1020" w:right="720"/>
        </w:sectPr>
      </w:pPr>
    </w:p>
    <w:p>
      <w:pPr>
        <w:pStyle w:val="BodyText"/>
        <w:spacing w:line="480" w:lineRule="auto" w:before="72"/>
        <w:ind w:left="420" w:right="712"/>
        <w:jc w:val="both"/>
      </w:pPr>
      <w:r>
        <w:rPr/>
        <w:t>areas is almost four times the maximum limit of 5mg/kg stipulated by European Union as compared</w:t>
      </w:r>
      <w:r>
        <w:rPr>
          <w:spacing w:val="-1"/>
        </w:rPr>
        <w:t> </w:t>
      </w:r>
      <w:r>
        <w:rPr/>
        <w:t>to values</w:t>
      </w:r>
      <w:r>
        <w:rPr>
          <w:spacing w:val="-3"/>
        </w:rPr>
        <w:t> </w:t>
      </w:r>
      <w:r>
        <w:rPr/>
        <w:t>obtained in</w:t>
      </w:r>
      <w:r>
        <w:rPr>
          <w:spacing w:val="-6"/>
        </w:rPr>
        <w:t> </w:t>
      </w:r>
      <w:r>
        <w:rPr/>
        <w:t>grazing</w:t>
      </w:r>
      <w:r>
        <w:rPr>
          <w:spacing w:val="-1"/>
        </w:rPr>
        <w:t> </w:t>
      </w:r>
      <w:r>
        <w:rPr/>
        <w:t>areas in</w:t>
      </w:r>
      <w:r>
        <w:rPr>
          <w:spacing w:val="-1"/>
        </w:rPr>
        <w:t> </w:t>
      </w:r>
      <w:r>
        <w:rPr/>
        <w:t>North</w:t>
      </w:r>
      <w:r>
        <w:rPr>
          <w:spacing w:val="-6"/>
        </w:rPr>
        <w:t> </w:t>
      </w:r>
      <w:r>
        <w:rPr/>
        <w:t>east zone. The</w:t>
      </w:r>
      <w:r>
        <w:rPr>
          <w:spacing w:val="-2"/>
        </w:rPr>
        <w:t> </w:t>
      </w:r>
      <w:r>
        <w:rPr/>
        <w:t>higher Pb</w:t>
      </w:r>
      <w:r>
        <w:rPr>
          <w:spacing w:val="-6"/>
        </w:rPr>
        <w:t> </w:t>
      </w:r>
      <w:r>
        <w:rPr/>
        <w:t>concentrations in Anka and Zungeru areas in this study could be a result of an underlying contamination source. However, these values were less than mean lead concentrations distributed in forage grasses across</w:t>
      </w:r>
      <w:r>
        <w:rPr>
          <w:spacing w:val="-2"/>
        </w:rPr>
        <w:t> </w:t>
      </w:r>
      <w:r>
        <w:rPr/>
        <w:t>Dareta</w:t>
      </w:r>
      <w:r>
        <w:rPr>
          <w:spacing w:val="-1"/>
        </w:rPr>
        <w:t> </w:t>
      </w:r>
      <w:r>
        <w:rPr/>
        <w:t>village in Zamfara state</w:t>
      </w:r>
      <w:r>
        <w:rPr>
          <w:spacing w:val="-1"/>
        </w:rPr>
        <w:t> </w:t>
      </w:r>
      <w:r>
        <w:rPr/>
        <w:t>sampled by (Udiba </w:t>
      </w:r>
      <w:r>
        <w:rPr>
          <w:i/>
        </w:rPr>
        <w:t>et. al</w:t>
      </w:r>
      <w:r>
        <w:rPr/>
        <w:t>., 2013). The</w:t>
      </w:r>
      <w:r>
        <w:rPr>
          <w:spacing w:val="-1"/>
        </w:rPr>
        <w:t> </w:t>
      </w:r>
      <w:r>
        <w:rPr/>
        <w:t>correlation</w:t>
      </w:r>
      <w:r>
        <w:rPr>
          <w:spacing w:val="-5"/>
        </w:rPr>
        <w:t> </w:t>
      </w:r>
      <w:r>
        <w:rPr/>
        <w:t>(P&lt;0.05) in forage lead concentrations across the grazing areas in each zone suggest same lead source of contamination in grazing grasses across the sampling stations in the respective zones. Grazing animals are affected by the consumption of forage contaminated by lead dust particles and possibly through plants up-take of lead through their roots from</w:t>
      </w:r>
      <w:r>
        <w:rPr>
          <w:spacing w:val="-2"/>
        </w:rPr>
        <w:t> </w:t>
      </w:r>
      <w:r>
        <w:rPr/>
        <w:t>contaminated soil. Lead content can</w:t>
      </w:r>
      <w:r>
        <w:rPr>
          <w:spacing w:val="-1"/>
        </w:rPr>
        <w:t> </w:t>
      </w:r>
      <w:r>
        <w:rPr/>
        <w:t>result in higher levels of intake by</w:t>
      </w:r>
      <w:r>
        <w:rPr>
          <w:spacing w:val="-6"/>
        </w:rPr>
        <w:t> </w:t>
      </w:r>
      <w:r>
        <w:rPr/>
        <w:t>grazing animals and subsequently</w:t>
      </w:r>
      <w:r>
        <w:rPr>
          <w:spacing w:val="-1"/>
        </w:rPr>
        <w:t> </w:t>
      </w:r>
      <w:r>
        <w:rPr/>
        <w:t>accumulation</w:t>
      </w:r>
      <w:r>
        <w:rPr>
          <w:spacing w:val="-1"/>
        </w:rPr>
        <w:t> </w:t>
      </w:r>
      <w:r>
        <w:rPr/>
        <w:t>along the food chain. Consumption of lead contaminated animals constitutes serious risk to public health. There is no exposure limit below which lead is said to be safe. It induces reduced cognitive development and intellectual performance in children, increase blood pressure, and cardiovascular diseases in adult as</w:t>
      </w:r>
      <w:r>
        <w:rPr>
          <w:spacing w:val="-3"/>
        </w:rPr>
        <w:t> </w:t>
      </w:r>
      <w:r>
        <w:rPr/>
        <w:t>well</w:t>
      </w:r>
      <w:r>
        <w:rPr>
          <w:spacing w:val="-1"/>
        </w:rPr>
        <w:t> </w:t>
      </w:r>
      <w:r>
        <w:rPr/>
        <w:t>as liver and</w:t>
      </w:r>
      <w:r>
        <w:rPr>
          <w:spacing w:val="-1"/>
        </w:rPr>
        <w:t> </w:t>
      </w:r>
      <w:r>
        <w:rPr/>
        <w:t>kidney</w:t>
      </w:r>
      <w:r>
        <w:rPr>
          <w:spacing w:val="-6"/>
        </w:rPr>
        <w:t> </w:t>
      </w:r>
      <w:r>
        <w:rPr/>
        <w:t>dysfunction</w:t>
      </w:r>
      <w:r>
        <w:rPr>
          <w:spacing w:val="-6"/>
        </w:rPr>
        <w:t> </w:t>
      </w:r>
      <w:r>
        <w:rPr/>
        <w:t>(Singer </w:t>
      </w:r>
      <w:r>
        <w:rPr>
          <w:i/>
        </w:rPr>
        <w:t>et</w:t>
      </w:r>
      <w:r>
        <w:rPr>
          <w:i/>
          <w:spacing w:val="-1"/>
        </w:rPr>
        <w:t> </w:t>
      </w:r>
      <w:r>
        <w:rPr>
          <w:i/>
        </w:rPr>
        <w:t>al</w:t>
      </w:r>
      <w:r>
        <w:rPr/>
        <w:t>., 1990). The different concentrations</w:t>
      </w:r>
      <w:r>
        <w:rPr>
          <w:spacing w:val="-2"/>
        </w:rPr>
        <w:t> </w:t>
      </w:r>
      <w:r>
        <w:rPr/>
        <w:t>of</w:t>
      </w:r>
      <w:r>
        <w:rPr>
          <w:spacing w:val="-3"/>
        </w:rPr>
        <w:t> </w:t>
      </w:r>
      <w:r>
        <w:rPr/>
        <w:t>lead obtained from</w:t>
      </w:r>
      <w:r>
        <w:rPr>
          <w:spacing w:val="-9"/>
        </w:rPr>
        <w:t> </w:t>
      </w:r>
      <w:r>
        <w:rPr/>
        <w:t>this evaluation</w:t>
      </w:r>
      <w:r>
        <w:rPr>
          <w:spacing w:val="-5"/>
        </w:rPr>
        <w:t> </w:t>
      </w:r>
      <w:r>
        <w:rPr/>
        <w:t>could be as</w:t>
      </w:r>
      <w:r>
        <w:rPr>
          <w:spacing w:val="-2"/>
        </w:rPr>
        <w:t> </w:t>
      </w:r>
      <w:r>
        <w:rPr/>
        <w:t>a</w:t>
      </w:r>
      <w:r>
        <w:rPr>
          <w:spacing w:val="-1"/>
        </w:rPr>
        <w:t> </w:t>
      </w:r>
      <w:r>
        <w:rPr/>
        <w:t>result of</w:t>
      </w:r>
      <w:r>
        <w:rPr>
          <w:spacing w:val="-8"/>
        </w:rPr>
        <w:t> </w:t>
      </w:r>
      <w:r>
        <w:rPr/>
        <w:t>difference in environment and environmental activities. The presence of these heavy metals could be</w:t>
      </w:r>
      <w:r>
        <w:rPr>
          <w:spacing w:val="40"/>
        </w:rPr>
        <w:t> </w:t>
      </w:r>
      <w:r>
        <w:rPr/>
        <w:t>attributed also to the ubiquitousness.</w:t>
      </w:r>
    </w:p>
    <w:p>
      <w:pPr>
        <w:pStyle w:val="BodyText"/>
      </w:pPr>
    </w:p>
    <w:p>
      <w:pPr>
        <w:pStyle w:val="BodyText"/>
        <w:spacing w:before="205"/>
      </w:pPr>
    </w:p>
    <w:p>
      <w:pPr>
        <w:pStyle w:val="Heading2"/>
        <w:numPr>
          <w:ilvl w:val="1"/>
          <w:numId w:val="24"/>
        </w:numPr>
        <w:tabs>
          <w:tab w:pos="4084" w:val="left" w:leader="none"/>
        </w:tabs>
        <w:spacing w:line="240" w:lineRule="auto" w:before="0" w:after="0"/>
        <w:ind w:left="4084" w:right="0" w:hanging="3664"/>
        <w:jc w:val="left"/>
      </w:pPr>
      <w:bookmarkStart w:name="_TOC_250005" w:id="24"/>
      <w:r>
        <w:rPr/>
        <w:t>Animal</w:t>
      </w:r>
      <w:r>
        <w:rPr>
          <w:spacing w:val="-7"/>
        </w:rPr>
        <w:t> </w:t>
      </w:r>
      <w:bookmarkEnd w:id="24"/>
      <w:r>
        <w:rPr>
          <w:spacing w:val="-2"/>
        </w:rPr>
        <w:t>Manure</w:t>
      </w:r>
    </w:p>
    <w:p>
      <w:pPr>
        <w:pStyle w:val="BodyText"/>
        <w:spacing w:before="197"/>
        <w:rPr>
          <w:b/>
        </w:rPr>
      </w:pPr>
    </w:p>
    <w:p>
      <w:pPr>
        <w:pStyle w:val="BodyText"/>
        <w:spacing w:line="480" w:lineRule="auto"/>
        <w:ind w:left="420" w:right="720"/>
        <w:jc w:val="both"/>
      </w:pPr>
      <w:r>
        <w:rPr/>
        <w:t>The metal contents of animal manure being largely a reflection of their content in the feeds consumed and the efficiency of feed conversion by the animals. From this study, there is significant correlation p&lt;0.05 between metal concentrations in animal feeds and metal contents</w:t>
      </w:r>
      <w:r>
        <w:rPr>
          <w:spacing w:val="40"/>
        </w:rPr>
        <w:t> </w:t>
      </w:r>
      <w:r>
        <w:rPr/>
        <w:t>in</w:t>
      </w:r>
      <w:r>
        <w:rPr>
          <w:spacing w:val="40"/>
        </w:rPr>
        <w:t> </w:t>
      </w:r>
      <w:r>
        <w:rPr/>
        <w:t>the</w:t>
      </w:r>
      <w:r>
        <w:rPr>
          <w:spacing w:val="40"/>
        </w:rPr>
        <w:t> </w:t>
      </w:r>
      <w:r>
        <w:rPr/>
        <w:t>respective</w:t>
      </w:r>
      <w:r>
        <w:rPr>
          <w:spacing w:val="40"/>
        </w:rPr>
        <w:t> </w:t>
      </w:r>
      <w:r>
        <w:rPr/>
        <w:t>poultry</w:t>
      </w:r>
      <w:r>
        <w:rPr>
          <w:spacing w:val="33"/>
        </w:rPr>
        <w:t> </w:t>
      </w:r>
      <w:r>
        <w:rPr/>
        <w:t>and</w:t>
      </w:r>
      <w:r>
        <w:rPr>
          <w:spacing w:val="40"/>
        </w:rPr>
        <w:t> </w:t>
      </w:r>
      <w:r>
        <w:rPr/>
        <w:t>cattle</w:t>
      </w:r>
      <w:r>
        <w:rPr>
          <w:spacing w:val="40"/>
        </w:rPr>
        <w:t> </w:t>
      </w:r>
      <w:r>
        <w:rPr/>
        <w:t>manure</w:t>
      </w:r>
      <w:r>
        <w:rPr>
          <w:spacing w:val="40"/>
        </w:rPr>
        <w:t> </w:t>
      </w:r>
      <w:r>
        <w:rPr/>
        <w:t>sampled</w:t>
      </w:r>
      <w:r>
        <w:rPr>
          <w:spacing w:val="40"/>
        </w:rPr>
        <w:t> </w:t>
      </w:r>
      <w:r>
        <w:rPr/>
        <w:t>in</w:t>
      </w:r>
      <w:r>
        <w:rPr>
          <w:spacing w:val="40"/>
        </w:rPr>
        <w:t> </w:t>
      </w:r>
      <w:r>
        <w:rPr/>
        <w:t>the</w:t>
      </w:r>
      <w:r>
        <w:rPr>
          <w:spacing w:val="40"/>
        </w:rPr>
        <w:t> </w:t>
      </w:r>
      <w:r>
        <w:rPr/>
        <w:t>three</w:t>
      </w:r>
      <w:r>
        <w:rPr>
          <w:spacing w:val="40"/>
        </w:rPr>
        <w:t> </w:t>
      </w:r>
      <w:r>
        <w:rPr/>
        <w:t>zones</w:t>
      </w:r>
      <w:r>
        <w:rPr>
          <w:spacing w:val="40"/>
        </w:rPr>
        <w:t> </w:t>
      </w:r>
      <w:r>
        <w:rPr/>
        <w:t>in</w:t>
      </w:r>
      <w:r>
        <w:rPr>
          <w:spacing w:val="40"/>
        </w:rPr>
        <w:t> </w:t>
      </w:r>
      <w:r>
        <w:rPr/>
        <w:t>Northern</w:t>
      </w:r>
      <w:r>
        <w:rPr>
          <w:spacing w:val="38"/>
        </w:rPr>
        <w:t> </w:t>
      </w:r>
      <w:r>
        <w:rPr/>
        <w:t>Nigeria.</w:t>
      </w:r>
    </w:p>
    <w:p>
      <w:pPr>
        <w:spacing w:after="0" w:line="480" w:lineRule="auto"/>
        <w:jc w:val="both"/>
        <w:sectPr>
          <w:pgSz w:w="12240" w:h="15840"/>
          <w:pgMar w:header="0" w:footer="1012" w:top="1360" w:bottom="1200" w:left="1020" w:right="720"/>
        </w:sectPr>
      </w:pPr>
    </w:p>
    <w:p>
      <w:pPr>
        <w:pStyle w:val="BodyText"/>
        <w:spacing w:line="480" w:lineRule="auto" w:before="72"/>
        <w:ind w:left="420" w:right="718"/>
        <w:jc w:val="both"/>
      </w:pPr>
      <w:r>
        <w:rPr/>
        <w:t>However, there is no tolerance limit stipulated officially for heavy metal concentrations in</w:t>
      </w:r>
      <w:r>
        <w:rPr>
          <w:spacing w:val="40"/>
        </w:rPr>
        <w:t> </w:t>
      </w:r>
      <w:r>
        <w:rPr/>
        <w:t>animal manure. Highest mean concentrations of 4.15 ± 2.64 mg/kg and 2.86 ± 1.41 mg/kg for zinc and copper respectively were recorded for poultry manure in this study with corresponding lowest mean</w:t>
      </w:r>
      <w:r>
        <w:rPr>
          <w:spacing w:val="-1"/>
        </w:rPr>
        <w:t> </w:t>
      </w:r>
      <w:r>
        <w:rPr/>
        <w:t>zinc and copper contents</w:t>
      </w:r>
      <w:r>
        <w:rPr>
          <w:spacing w:val="-3"/>
        </w:rPr>
        <w:t> </w:t>
      </w:r>
      <w:r>
        <w:rPr/>
        <w:t>of</w:t>
      </w:r>
      <w:r>
        <w:rPr>
          <w:spacing w:val="-4"/>
        </w:rPr>
        <w:t> </w:t>
      </w:r>
      <w:r>
        <w:rPr/>
        <w:t>2.05 ± 0.89 mgZn/kg and 1.01±0.35mg Cu/Kg in cattle manure. This is due to the addition of zinc and copper being essential elements to compound poultry feeds by manufacturers. Comparing with similar studies from other countries, zinc and copper contents</w:t>
      </w:r>
      <w:r>
        <w:rPr>
          <w:spacing w:val="-3"/>
        </w:rPr>
        <w:t> </w:t>
      </w:r>
      <w:r>
        <w:rPr/>
        <w:t>in</w:t>
      </w:r>
      <w:r>
        <w:rPr>
          <w:spacing w:val="-5"/>
        </w:rPr>
        <w:t> </w:t>
      </w:r>
      <w:r>
        <w:rPr/>
        <w:t>this</w:t>
      </w:r>
      <w:r>
        <w:rPr>
          <w:spacing w:val="-3"/>
        </w:rPr>
        <w:t> </w:t>
      </w:r>
      <w:r>
        <w:rPr/>
        <w:t>study</w:t>
      </w:r>
      <w:r>
        <w:rPr>
          <w:spacing w:val="-10"/>
        </w:rPr>
        <w:t> </w:t>
      </w:r>
      <w:r>
        <w:rPr/>
        <w:t>are lower</w:t>
      </w:r>
      <w:r>
        <w:rPr>
          <w:spacing w:val="-4"/>
        </w:rPr>
        <w:t> </w:t>
      </w:r>
      <w:r>
        <w:rPr/>
        <w:t>than</w:t>
      </w:r>
      <w:r>
        <w:rPr>
          <w:spacing w:val="-5"/>
        </w:rPr>
        <w:t> </w:t>
      </w:r>
      <w:r>
        <w:rPr/>
        <w:t>those</w:t>
      </w:r>
      <w:r>
        <w:rPr>
          <w:spacing w:val="-2"/>
        </w:rPr>
        <w:t> </w:t>
      </w:r>
      <w:r>
        <w:rPr/>
        <w:t>reported</w:t>
      </w:r>
      <w:r>
        <w:rPr>
          <w:spacing w:val="-5"/>
        </w:rPr>
        <w:t> </w:t>
      </w:r>
      <w:r>
        <w:rPr/>
        <w:t>by</w:t>
      </w:r>
      <w:r>
        <w:rPr>
          <w:spacing w:val="-10"/>
        </w:rPr>
        <w:t> </w:t>
      </w:r>
      <w:r>
        <w:rPr/>
        <w:t>(Fleming</w:t>
      </w:r>
      <w:r>
        <w:rPr>
          <w:spacing w:val="-1"/>
        </w:rPr>
        <w:t> </w:t>
      </w:r>
      <w:r>
        <w:rPr/>
        <w:t>and</w:t>
      </w:r>
      <w:r>
        <w:rPr>
          <w:spacing w:val="-1"/>
        </w:rPr>
        <w:t> </w:t>
      </w:r>
      <w:r>
        <w:rPr/>
        <w:t>Mordenti, 1991) who reported mean Zn concentrations in Belgian cattle manure of 580 mg/kg dm and a survey of Swiss manure (Menzi and Kessler, 2001) generally found &lt;200 mg Zn/kg dm in cattle manure from cattle farms in Hangzhou.</w:t>
      </w:r>
    </w:p>
    <w:p>
      <w:pPr>
        <w:pStyle w:val="BodyText"/>
        <w:spacing w:line="480" w:lineRule="auto" w:before="204"/>
        <w:ind w:left="420" w:right="722"/>
        <w:jc w:val="both"/>
      </w:pPr>
      <w:r>
        <w:rPr/>
        <w:t>Higher Pb concentrations were generally obtained in cattle manure samples as a result of the grazing in</w:t>
      </w:r>
      <w:r>
        <w:rPr>
          <w:spacing w:val="-1"/>
        </w:rPr>
        <w:t> </w:t>
      </w:r>
      <w:r>
        <w:rPr/>
        <w:t>contaminated forage</w:t>
      </w:r>
      <w:r>
        <w:rPr>
          <w:spacing w:val="-2"/>
        </w:rPr>
        <w:t> </w:t>
      </w:r>
      <w:r>
        <w:rPr/>
        <w:t>grasses</w:t>
      </w:r>
      <w:r>
        <w:rPr>
          <w:spacing w:val="-3"/>
        </w:rPr>
        <w:t> </w:t>
      </w:r>
      <w:r>
        <w:rPr/>
        <w:t>due</w:t>
      </w:r>
      <w:r>
        <w:rPr>
          <w:spacing w:val="-2"/>
        </w:rPr>
        <w:t> </w:t>
      </w:r>
      <w:r>
        <w:rPr/>
        <w:t>to environmental</w:t>
      </w:r>
      <w:r>
        <w:rPr>
          <w:spacing w:val="-10"/>
        </w:rPr>
        <w:t> </w:t>
      </w:r>
      <w:r>
        <w:rPr/>
        <w:t>and</w:t>
      </w:r>
      <w:r>
        <w:rPr>
          <w:spacing w:val="-1"/>
        </w:rPr>
        <w:t> </w:t>
      </w:r>
      <w:r>
        <w:rPr/>
        <w:t>anthropogenic</w:t>
      </w:r>
      <w:r>
        <w:rPr>
          <w:spacing w:val="-2"/>
        </w:rPr>
        <w:t> </w:t>
      </w:r>
      <w:r>
        <w:rPr/>
        <w:t>activities</w:t>
      </w:r>
      <w:r>
        <w:rPr>
          <w:spacing w:val="-3"/>
        </w:rPr>
        <w:t> </w:t>
      </w:r>
      <w:r>
        <w:rPr/>
        <w:t>than</w:t>
      </w:r>
      <w:r>
        <w:rPr>
          <w:spacing w:val="-1"/>
        </w:rPr>
        <w:t> </w:t>
      </w:r>
      <w:r>
        <w:rPr/>
        <w:t>in poultry manure samples since the chicken were fed with processed compound feeds. In General, lead values obtained in cattle manure in North west farms were higher than values from cattle farms in North central and lowest in cattle manure from North east zones. The same trend was obtained in lead concentrations in forage grasses across the zones in Northern Nigeria. These values were lower than 47 ± 511 mg Pb/kg dm recorded in Belgia and 45 ± 511 mg Pb/kg dm Swiss cattle manure studies. Arsenics were undetected in cattle manure sampled in North east cattle farms in</w:t>
      </w:r>
      <w:r>
        <w:rPr>
          <w:spacing w:val="-6"/>
        </w:rPr>
        <w:t> </w:t>
      </w:r>
      <w:r>
        <w:rPr/>
        <w:t>Northern</w:t>
      </w:r>
      <w:r>
        <w:rPr>
          <w:spacing w:val="-6"/>
        </w:rPr>
        <w:t> </w:t>
      </w:r>
      <w:r>
        <w:rPr/>
        <w:t>Nigeria. Similarly,</w:t>
      </w:r>
      <w:r>
        <w:rPr>
          <w:spacing w:val="80"/>
        </w:rPr>
        <w:t> </w:t>
      </w:r>
      <w:r>
        <w:rPr/>
        <w:t>lower values</w:t>
      </w:r>
      <w:r>
        <w:rPr>
          <w:spacing w:val="-3"/>
        </w:rPr>
        <w:t> </w:t>
      </w:r>
      <w:r>
        <w:rPr/>
        <w:t>of</w:t>
      </w:r>
      <w:r>
        <w:rPr>
          <w:spacing w:val="-9"/>
        </w:rPr>
        <w:t> </w:t>
      </w:r>
      <w:r>
        <w:rPr/>
        <w:t>nickel</w:t>
      </w:r>
      <w:r>
        <w:rPr>
          <w:spacing w:val="-6"/>
        </w:rPr>
        <w:t> </w:t>
      </w:r>
      <w:r>
        <w:rPr/>
        <w:t>contents</w:t>
      </w:r>
      <w:r>
        <w:rPr>
          <w:spacing w:val="-3"/>
        </w:rPr>
        <w:t> </w:t>
      </w:r>
      <w:r>
        <w:rPr/>
        <w:t>were</w:t>
      </w:r>
      <w:r>
        <w:rPr>
          <w:spacing w:val="-2"/>
        </w:rPr>
        <w:t> </w:t>
      </w:r>
      <w:r>
        <w:rPr/>
        <w:t>recorded</w:t>
      </w:r>
      <w:r>
        <w:rPr>
          <w:spacing w:val="-1"/>
        </w:rPr>
        <w:t> </w:t>
      </w:r>
      <w:r>
        <w:rPr/>
        <w:t>in</w:t>
      </w:r>
      <w:r>
        <w:rPr>
          <w:spacing w:val="-6"/>
        </w:rPr>
        <w:t> </w:t>
      </w:r>
      <w:r>
        <w:rPr/>
        <w:t>the cattle manure samples for the respective zones compared to the nickel contents in the poultry </w:t>
      </w:r>
      <w:r>
        <w:rPr>
          <w:spacing w:val="-2"/>
        </w:rPr>
        <w:t>manure.</w:t>
      </w:r>
    </w:p>
    <w:p>
      <w:pPr>
        <w:spacing w:after="0" w:line="480" w:lineRule="auto"/>
        <w:jc w:val="both"/>
        <w:sectPr>
          <w:pgSz w:w="12240" w:h="15840"/>
          <w:pgMar w:header="0" w:footer="1012" w:top="1360" w:bottom="1200" w:left="1020" w:right="720"/>
        </w:sectPr>
      </w:pPr>
    </w:p>
    <w:p>
      <w:pPr>
        <w:pStyle w:val="Heading2"/>
        <w:numPr>
          <w:ilvl w:val="1"/>
          <w:numId w:val="24"/>
        </w:numPr>
        <w:tabs>
          <w:tab w:pos="4146" w:val="left" w:leader="none"/>
        </w:tabs>
        <w:spacing w:line="240" w:lineRule="auto" w:before="77" w:after="0"/>
        <w:ind w:left="4146" w:right="0" w:hanging="3726"/>
        <w:jc w:val="both"/>
      </w:pPr>
      <w:bookmarkStart w:name="_TOC_250004" w:id="25"/>
      <w:r>
        <w:rPr/>
        <w:t>Water</w:t>
      </w:r>
      <w:r>
        <w:rPr>
          <w:spacing w:val="-4"/>
        </w:rPr>
        <w:t> </w:t>
      </w:r>
      <w:bookmarkEnd w:id="25"/>
      <w:r>
        <w:rPr>
          <w:spacing w:val="-2"/>
        </w:rPr>
        <w:t>Samples</w:t>
      </w:r>
    </w:p>
    <w:p>
      <w:pPr>
        <w:pStyle w:val="BodyText"/>
        <w:spacing w:before="196"/>
        <w:rPr>
          <w:b/>
        </w:rPr>
      </w:pPr>
    </w:p>
    <w:p>
      <w:pPr>
        <w:pStyle w:val="BodyText"/>
        <w:spacing w:line="480" w:lineRule="auto" w:before="1"/>
        <w:ind w:left="420" w:right="720"/>
        <w:jc w:val="both"/>
      </w:pPr>
      <w:r>
        <w:rPr/>
        <w:t>There was no uniformity in the distribution of the metals in water samples from</w:t>
      </w:r>
      <w:r>
        <w:rPr>
          <w:spacing w:val="-1"/>
        </w:rPr>
        <w:t> </w:t>
      </w:r>
      <w:r>
        <w:rPr/>
        <w:t>the three rivers. Higher levels of</w:t>
      </w:r>
      <w:r>
        <w:rPr>
          <w:spacing w:val="-4"/>
        </w:rPr>
        <w:t> </w:t>
      </w:r>
      <w:r>
        <w:rPr/>
        <w:t>the heavy metals were generally observed in water samples collected during the dry</w:t>
      </w:r>
      <w:r>
        <w:rPr>
          <w:spacing w:val="5"/>
        </w:rPr>
        <w:t> </w:t>
      </w:r>
      <w:r>
        <w:rPr/>
        <w:t>season</w:t>
      </w:r>
      <w:r>
        <w:rPr>
          <w:spacing w:val="11"/>
        </w:rPr>
        <w:t> </w:t>
      </w:r>
      <w:r>
        <w:rPr/>
        <w:t>than</w:t>
      </w:r>
      <w:r>
        <w:rPr>
          <w:spacing w:val="10"/>
        </w:rPr>
        <w:t> </w:t>
      </w:r>
      <w:r>
        <w:rPr/>
        <w:t>that</w:t>
      </w:r>
      <w:r>
        <w:rPr>
          <w:spacing w:val="16"/>
        </w:rPr>
        <w:t> </w:t>
      </w:r>
      <w:r>
        <w:rPr/>
        <w:t>of</w:t>
      </w:r>
      <w:r>
        <w:rPr>
          <w:spacing w:val="8"/>
        </w:rPr>
        <w:t> </w:t>
      </w:r>
      <w:r>
        <w:rPr/>
        <w:t>the</w:t>
      </w:r>
      <w:r>
        <w:rPr>
          <w:spacing w:val="14"/>
        </w:rPr>
        <w:t> </w:t>
      </w:r>
      <w:r>
        <w:rPr/>
        <w:t>rainy</w:t>
      </w:r>
      <w:r>
        <w:rPr>
          <w:spacing w:val="16"/>
        </w:rPr>
        <w:t> </w:t>
      </w:r>
      <w:r>
        <w:rPr/>
        <w:t>season</w:t>
      </w:r>
      <w:r>
        <w:rPr>
          <w:spacing w:val="11"/>
        </w:rPr>
        <w:t> </w:t>
      </w:r>
      <w:r>
        <w:rPr/>
        <w:t>(Figures</w:t>
      </w:r>
      <w:r>
        <w:rPr>
          <w:spacing w:val="18"/>
        </w:rPr>
        <w:t> </w:t>
      </w:r>
      <w:r>
        <w:rPr/>
        <w:t>2</w:t>
      </w:r>
      <w:r>
        <w:rPr>
          <w:spacing w:val="16"/>
        </w:rPr>
        <w:t> </w:t>
      </w:r>
      <w:r>
        <w:rPr/>
        <w:t>to</w:t>
      </w:r>
      <w:r>
        <w:rPr>
          <w:spacing w:val="20"/>
        </w:rPr>
        <w:t> </w:t>
      </w:r>
      <w:r>
        <w:rPr/>
        <w:t>5).</w:t>
      </w:r>
      <w:r>
        <w:rPr>
          <w:spacing w:val="13"/>
        </w:rPr>
        <w:t> </w:t>
      </w:r>
      <w:r>
        <w:rPr/>
        <w:t>The</w:t>
      </w:r>
      <w:r>
        <w:rPr>
          <w:spacing w:val="15"/>
        </w:rPr>
        <w:t> </w:t>
      </w:r>
      <w:r>
        <w:rPr/>
        <w:t>possible</w:t>
      </w:r>
      <w:r>
        <w:rPr>
          <w:spacing w:val="14"/>
        </w:rPr>
        <w:t> </w:t>
      </w:r>
      <w:r>
        <w:rPr/>
        <w:t>reasons</w:t>
      </w:r>
      <w:r>
        <w:rPr>
          <w:spacing w:val="19"/>
        </w:rPr>
        <w:t> </w:t>
      </w:r>
      <w:r>
        <w:rPr/>
        <w:t>for</w:t>
      </w:r>
      <w:r>
        <w:rPr>
          <w:spacing w:val="17"/>
        </w:rPr>
        <w:t> </w:t>
      </w:r>
      <w:r>
        <w:rPr/>
        <w:t>this</w:t>
      </w:r>
      <w:r>
        <w:rPr>
          <w:spacing w:val="14"/>
        </w:rPr>
        <w:t> </w:t>
      </w:r>
      <w:r>
        <w:rPr/>
        <w:t>could</w:t>
      </w:r>
      <w:r>
        <w:rPr>
          <w:spacing w:val="21"/>
        </w:rPr>
        <w:t> </w:t>
      </w:r>
      <w:r>
        <w:rPr>
          <w:spacing w:val="-5"/>
        </w:rPr>
        <w:t>be</w:t>
      </w:r>
    </w:p>
    <w:p>
      <w:pPr>
        <w:pStyle w:val="BodyText"/>
        <w:spacing w:line="480" w:lineRule="auto"/>
        <w:ind w:left="420" w:right="715"/>
        <w:jc w:val="both"/>
      </w:pPr>
      <w:r>
        <w:rPr/>
        <w:t>(a) concentration</w:t>
      </w:r>
      <w:r>
        <w:rPr>
          <w:spacing w:val="-1"/>
        </w:rPr>
        <w:t> </w:t>
      </w:r>
      <w:r>
        <w:rPr/>
        <w:t>of</w:t>
      </w:r>
      <w:r>
        <w:rPr>
          <w:spacing w:val="-4"/>
        </w:rPr>
        <w:t> </w:t>
      </w:r>
      <w:r>
        <w:rPr/>
        <w:t>the metals due to reduced volume of</w:t>
      </w:r>
      <w:r>
        <w:rPr>
          <w:spacing w:val="-4"/>
        </w:rPr>
        <w:t> </w:t>
      </w:r>
      <w:r>
        <w:rPr/>
        <w:t>the water bodies associated with higher evaporation rate induced by the higher water temperatures during the dry season, and (b)</w:t>
      </w:r>
      <w:r>
        <w:rPr>
          <w:spacing w:val="40"/>
        </w:rPr>
        <w:t> </w:t>
      </w:r>
      <w:r>
        <w:rPr/>
        <w:t>seasonal variations in the nature of anthropogenic sources of pollutants, such as application of fertilizers by dry season farmers, farming along the banks of these water bodies, in addition to</w:t>
      </w:r>
      <w:r>
        <w:rPr>
          <w:spacing w:val="40"/>
        </w:rPr>
        <w:t> </w:t>
      </w:r>
      <w:r>
        <w:rPr/>
        <w:t>the burning of bushes and waste incinerations which are very common around the areas during the dry seasons. Ahmed </w:t>
      </w:r>
      <w:r>
        <w:rPr>
          <w:i/>
        </w:rPr>
        <w:t>et al. </w:t>
      </w:r>
      <w:r>
        <w:rPr/>
        <w:t>(2007) recorded high levels of ammonia and dissolved oxygen as well as high pH in river Ngadda, associated with extensive application of fertilizers by dry</w:t>
      </w:r>
      <w:r>
        <w:rPr>
          <w:spacing w:val="40"/>
        </w:rPr>
        <w:t> </w:t>
      </w:r>
      <w:r>
        <w:rPr/>
        <w:t>season farmers, particularly along the riverbanks. The concentrations of zinc and copper were higher in river Ngadda in this study.</w:t>
      </w:r>
      <w:r>
        <w:rPr>
          <w:spacing w:val="40"/>
        </w:rPr>
        <w:t> </w:t>
      </w:r>
      <w:r>
        <w:rPr/>
        <w:t>These high zinc concentrations could be attributed to Zn particles from suspended domestic wastes and roofs of houses close to the river located along Maiduguri metropolis. The high concentration of copper could be attributed to the dumping of wood</w:t>
      </w:r>
      <w:r>
        <w:rPr>
          <w:spacing w:val="-3"/>
        </w:rPr>
        <w:t> </w:t>
      </w:r>
      <w:r>
        <w:rPr/>
        <w:t>treated with chemicals. The river receives copious amounts of</w:t>
      </w:r>
      <w:r>
        <w:rPr>
          <w:spacing w:val="-6"/>
        </w:rPr>
        <w:t> </w:t>
      </w:r>
      <w:r>
        <w:rPr/>
        <w:t>wastes from</w:t>
      </w:r>
      <w:r>
        <w:rPr>
          <w:spacing w:val="-3"/>
        </w:rPr>
        <w:t> </w:t>
      </w:r>
      <w:r>
        <w:rPr/>
        <w:t>both</w:t>
      </w:r>
      <w:r>
        <w:rPr>
          <w:spacing w:val="-3"/>
        </w:rPr>
        <w:t> </w:t>
      </w:r>
      <w:r>
        <w:rPr/>
        <w:t>residential houses and abattoirs sited along its course.</w:t>
      </w:r>
    </w:p>
    <w:p>
      <w:pPr>
        <w:pStyle w:val="BodyText"/>
        <w:spacing w:line="480" w:lineRule="auto" w:before="200"/>
        <w:ind w:left="420" w:right="716"/>
        <w:jc w:val="both"/>
      </w:pPr>
      <w:r>
        <w:rPr/>
        <w:t>Lead concentration levels recorded in the rivers generally exceeded the recommended 0.05mg/L by WHO for surface waters as an indication of pollution. The lowest limit of Pb in the water samples was determined in river Ngadda while the highest concentration in river Sokoto. This signifies the level of environmental pollution from leaded materials being washed off after rains into the rivers and possibly the nature of soil along the river path.</w:t>
      </w:r>
    </w:p>
    <w:p>
      <w:pPr>
        <w:spacing w:after="0" w:line="480" w:lineRule="auto"/>
        <w:jc w:val="both"/>
        <w:sectPr>
          <w:pgSz w:w="12240" w:h="15840"/>
          <w:pgMar w:header="0" w:footer="1012" w:top="1360" w:bottom="1200" w:left="1020" w:right="720"/>
        </w:sectPr>
      </w:pPr>
    </w:p>
    <w:p>
      <w:pPr>
        <w:pStyle w:val="BodyText"/>
        <w:spacing w:line="480" w:lineRule="auto" w:before="72"/>
        <w:ind w:left="420" w:right="721"/>
        <w:jc w:val="both"/>
      </w:pPr>
      <w:r>
        <w:rPr/>
        <w:t>The excessive lead levels in the rivers is a great concern since lead is extremely toxic and consumption</w:t>
      </w:r>
      <w:r>
        <w:rPr>
          <w:spacing w:val="-6"/>
        </w:rPr>
        <w:t> </w:t>
      </w:r>
      <w:r>
        <w:rPr/>
        <w:t>of</w:t>
      </w:r>
      <w:r>
        <w:rPr>
          <w:spacing w:val="-9"/>
        </w:rPr>
        <w:t> </w:t>
      </w:r>
      <w:r>
        <w:rPr/>
        <w:t>water with</w:t>
      </w:r>
      <w:r>
        <w:rPr>
          <w:spacing w:val="-1"/>
        </w:rPr>
        <w:t> </w:t>
      </w:r>
      <w:r>
        <w:rPr/>
        <w:t>high</w:t>
      </w:r>
      <w:r>
        <w:rPr>
          <w:spacing w:val="-1"/>
        </w:rPr>
        <w:t> </w:t>
      </w:r>
      <w:r>
        <w:rPr/>
        <w:t>lead</w:t>
      </w:r>
      <w:r>
        <w:rPr>
          <w:spacing w:val="-1"/>
        </w:rPr>
        <w:t> </w:t>
      </w:r>
      <w:r>
        <w:rPr/>
        <w:t>concentration</w:t>
      </w:r>
      <w:r>
        <w:rPr>
          <w:spacing w:val="-1"/>
        </w:rPr>
        <w:t> </w:t>
      </w:r>
      <w:r>
        <w:rPr/>
        <w:t>could</w:t>
      </w:r>
      <w:r>
        <w:rPr>
          <w:spacing w:val="-1"/>
        </w:rPr>
        <w:t> </w:t>
      </w:r>
      <w:r>
        <w:rPr/>
        <w:t>cause health</w:t>
      </w:r>
      <w:r>
        <w:rPr>
          <w:spacing w:val="-6"/>
        </w:rPr>
        <w:t> </w:t>
      </w:r>
      <w:r>
        <w:rPr/>
        <w:t>adverse</w:t>
      </w:r>
      <w:r>
        <w:rPr>
          <w:spacing w:val="-2"/>
        </w:rPr>
        <w:t> </w:t>
      </w:r>
      <w:r>
        <w:rPr/>
        <w:t>effect to end</w:t>
      </w:r>
      <w:r>
        <w:rPr>
          <w:spacing w:val="-1"/>
        </w:rPr>
        <w:t> </w:t>
      </w:r>
      <w:r>
        <w:rPr/>
        <w:t>users since, lead has been found to be toxic to aquatic organisms, animals and human</w:t>
      </w:r>
      <w:r>
        <w:rPr>
          <w:spacing w:val="-1"/>
        </w:rPr>
        <w:t> </w:t>
      </w:r>
      <w:r>
        <w:rPr/>
        <w:t>which conforms with similar reports of (Friberg </w:t>
      </w:r>
      <w:r>
        <w:rPr>
          <w:i/>
        </w:rPr>
        <w:t>et al</w:t>
      </w:r>
      <w:r>
        <w:rPr/>
        <w:t>., 1986, Akan </w:t>
      </w:r>
      <w:r>
        <w:rPr>
          <w:i/>
        </w:rPr>
        <w:t>et al</w:t>
      </w:r>
      <w:r>
        <w:rPr/>
        <w:t>., 2010 and Ideria </w:t>
      </w:r>
      <w:r>
        <w:rPr>
          <w:i/>
        </w:rPr>
        <w:t>et al</w:t>
      </w:r>
      <w:r>
        <w:rPr/>
        <w:t>., 2012).</w:t>
      </w:r>
    </w:p>
    <w:p>
      <w:pPr>
        <w:pStyle w:val="BodyText"/>
        <w:spacing w:line="480" w:lineRule="auto" w:before="202"/>
        <w:ind w:left="420" w:right="717"/>
        <w:jc w:val="both"/>
      </w:pPr>
      <w:r>
        <w:rPr/>
        <w:t>The general trend in the concentrations of the heavy metals in the water samples during the dry and rainy seasons were Pb &gt; Cu &gt; Zn &gt; Ni &gt; As. It is a fact that the major use of water in Northern Nigeria is fishing and domestic. In general, the concentrations of zinc, copper, nickel and arsenic recorded in this study are within the WHO stipulated ranges, and below the values obtained in some similar studies in Nigeria rivers. This study is in line with the notion that the rains may</w:t>
      </w:r>
      <w:r>
        <w:rPr>
          <w:spacing w:val="-6"/>
        </w:rPr>
        <w:t> </w:t>
      </w:r>
      <w:r>
        <w:rPr/>
        <w:t>wash</w:t>
      </w:r>
      <w:r>
        <w:rPr>
          <w:spacing w:val="-6"/>
        </w:rPr>
        <w:t> </w:t>
      </w:r>
      <w:r>
        <w:rPr/>
        <w:t>down</w:t>
      </w:r>
      <w:r>
        <w:rPr>
          <w:spacing w:val="-3"/>
        </w:rPr>
        <w:t> </w:t>
      </w:r>
      <w:r>
        <w:rPr/>
        <w:t>intercontinental</w:t>
      </w:r>
      <w:r>
        <w:rPr>
          <w:spacing w:val="-10"/>
        </w:rPr>
        <w:t> </w:t>
      </w:r>
      <w:r>
        <w:rPr/>
        <w:t>contaminants including heavy</w:t>
      </w:r>
      <w:r>
        <w:rPr>
          <w:spacing w:val="-2"/>
        </w:rPr>
        <w:t> </w:t>
      </w:r>
      <w:r>
        <w:rPr/>
        <w:t>metals into rivers, lakes</w:t>
      </w:r>
      <w:r>
        <w:rPr>
          <w:spacing w:val="-4"/>
        </w:rPr>
        <w:t> </w:t>
      </w:r>
      <w:r>
        <w:rPr/>
        <w:t>and ponds, leading to gradual build up of these toxicants in the aquatic systems. The presence heavy metals in the water samples may also be as a consequence of</w:t>
      </w:r>
      <w:r>
        <w:rPr>
          <w:spacing w:val="-3"/>
        </w:rPr>
        <w:t> </w:t>
      </w:r>
      <w:r>
        <w:rPr/>
        <w:t>the channeling of flood water from all corners of the fishing communities, with its attendant contaminants from waste dumps and flowing through farm areas where pesticides, fungicides, and other agrochemicals, may have been applied, to these bodies of water, during the rainy season; in addition to the atmospheric deposits of the heavy metals from both the natural and anthropogenic sources as indicated earlier,. However, the study was in good agreement with other studies reported by (Ikem </w:t>
      </w:r>
      <w:r>
        <w:rPr>
          <w:i/>
        </w:rPr>
        <w:t>et al., </w:t>
      </w:r>
      <w:r>
        <w:rPr/>
        <w:t>2012) in their study of metal concentrations in river Niger and (Ogundiran, </w:t>
      </w:r>
      <w:r>
        <w:rPr>
          <w:i/>
        </w:rPr>
        <w:t>et al.</w:t>
      </w:r>
      <w:r>
        <w:rPr/>
        <w:t>, 2012) in their evaluation of heavy metals in river Ijana in Benue State, Nigeria</w:t>
      </w:r>
    </w:p>
    <w:p>
      <w:pPr>
        <w:spacing w:after="0" w:line="480" w:lineRule="auto"/>
        <w:jc w:val="both"/>
        <w:sectPr>
          <w:pgSz w:w="12240" w:h="15840"/>
          <w:pgMar w:header="0" w:footer="1012" w:top="1360" w:bottom="1200" w:left="1020" w:right="7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pPr>
    </w:p>
    <w:p>
      <w:pPr>
        <w:pStyle w:val="Heading1"/>
        <w:spacing w:before="1"/>
        <w:ind w:left="925" w:right="2342"/>
        <w:jc w:val="center"/>
      </w:pPr>
      <w:bookmarkStart w:name="_TOC_250003" w:id="26"/>
      <w:r>
        <w:rPr/>
        <w:t>CHAPTER</w:t>
      </w:r>
      <w:r>
        <w:rPr>
          <w:spacing w:val="-9"/>
        </w:rPr>
        <w:t> </w:t>
      </w:r>
      <w:bookmarkEnd w:id="26"/>
      <w:r>
        <w:rPr>
          <w:spacing w:val="-5"/>
        </w:rPr>
        <w:t>SIX</w:t>
      </w:r>
    </w:p>
    <w:p>
      <w:pPr>
        <w:pStyle w:val="BodyText"/>
        <w:spacing w:before="202"/>
        <w:rPr>
          <w:b/>
        </w:rPr>
      </w:pPr>
    </w:p>
    <w:p>
      <w:pPr>
        <w:spacing w:before="0"/>
        <w:ind w:left="722" w:right="0" w:firstLine="0"/>
        <w:jc w:val="left"/>
        <w:rPr>
          <w:b/>
          <w:sz w:val="24"/>
        </w:rPr>
      </w:pPr>
      <w:r>
        <w:rPr>
          <w:b/>
          <w:sz w:val="24"/>
        </w:rPr>
        <w:t>SUMMARY,</w:t>
      </w:r>
      <w:r>
        <w:rPr>
          <w:b/>
          <w:spacing w:val="-4"/>
          <w:sz w:val="24"/>
        </w:rPr>
        <w:t> </w:t>
      </w:r>
      <w:r>
        <w:rPr>
          <w:b/>
          <w:sz w:val="24"/>
        </w:rPr>
        <w:t>CONCLUSION</w:t>
      </w:r>
      <w:r>
        <w:rPr>
          <w:b/>
          <w:spacing w:val="1"/>
          <w:sz w:val="24"/>
        </w:rPr>
        <w:t> </w:t>
      </w:r>
      <w:r>
        <w:rPr>
          <w:b/>
          <w:sz w:val="24"/>
        </w:rPr>
        <w:t>AMD</w:t>
      </w:r>
      <w:r>
        <w:rPr>
          <w:b/>
          <w:spacing w:val="-4"/>
          <w:sz w:val="24"/>
        </w:rPr>
        <w:t> </w:t>
      </w:r>
      <w:r>
        <w:rPr>
          <w:b/>
          <w:spacing w:val="-2"/>
          <w:sz w:val="24"/>
        </w:rPr>
        <w:t>RECOMMENDATIONS</w:t>
      </w:r>
    </w:p>
    <w:p>
      <w:pPr>
        <w:pStyle w:val="BodyText"/>
        <w:spacing w:before="201"/>
        <w:rPr>
          <w:b/>
        </w:rPr>
      </w:pPr>
    </w:p>
    <w:p>
      <w:pPr>
        <w:pStyle w:val="Heading2"/>
        <w:numPr>
          <w:ilvl w:val="1"/>
          <w:numId w:val="25"/>
        </w:numPr>
        <w:tabs>
          <w:tab w:pos="3844" w:val="left" w:leader="none"/>
        </w:tabs>
        <w:spacing w:line="240" w:lineRule="auto" w:before="0" w:after="0"/>
        <w:ind w:left="3844" w:right="0" w:hanging="3424"/>
        <w:jc w:val="left"/>
      </w:pPr>
      <w:bookmarkStart w:name="_TOC_250002" w:id="27"/>
      <w:bookmarkEnd w:id="27"/>
      <w:r>
        <w:rPr>
          <w:spacing w:val="-2"/>
        </w:rPr>
        <w:t>Summary</w:t>
      </w:r>
    </w:p>
    <w:p>
      <w:pPr>
        <w:pStyle w:val="BodyText"/>
        <w:spacing w:before="193"/>
        <w:rPr>
          <w:b/>
        </w:rPr>
      </w:pPr>
    </w:p>
    <w:p>
      <w:pPr>
        <w:pStyle w:val="BodyText"/>
        <w:spacing w:line="480" w:lineRule="auto"/>
        <w:ind w:left="420" w:right="723"/>
        <w:jc w:val="both"/>
      </w:pPr>
      <w:r>
        <w:rPr/>
        <w:t>The metals zinc, copper, nickel, lead and arsenic determined from</w:t>
      </w:r>
      <w:r>
        <w:rPr>
          <w:spacing w:val="-7"/>
        </w:rPr>
        <w:t> </w:t>
      </w:r>
      <w:r>
        <w:rPr/>
        <w:t>compound feed samples from fish and poultry feeds obtained in northern Nigeria were within the international permissible limits</w:t>
      </w:r>
      <w:r>
        <w:rPr>
          <w:spacing w:val="20"/>
        </w:rPr>
        <w:t> </w:t>
      </w:r>
      <w:r>
        <w:rPr/>
        <w:t>stipulated</w:t>
      </w:r>
      <w:r>
        <w:rPr>
          <w:spacing w:val="23"/>
        </w:rPr>
        <w:t> </w:t>
      </w:r>
      <w:r>
        <w:rPr/>
        <w:t>for</w:t>
      </w:r>
      <w:r>
        <w:rPr>
          <w:spacing w:val="19"/>
        </w:rPr>
        <w:t> </w:t>
      </w:r>
      <w:r>
        <w:rPr/>
        <w:t>the</w:t>
      </w:r>
      <w:r>
        <w:rPr>
          <w:spacing w:val="21"/>
        </w:rPr>
        <w:t> </w:t>
      </w:r>
      <w:r>
        <w:rPr/>
        <w:t>metals</w:t>
      </w:r>
      <w:r>
        <w:rPr>
          <w:spacing w:val="21"/>
        </w:rPr>
        <w:t> </w:t>
      </w:r>
      <w:r>
        <w:rPr/>
        <w:t>in</w:t>
      </w:r>
      <w:r>
        <w:rPr>
          <w:spacing w:val="18"/>
        </w:rPr>
        <w:t> </w:t>
      </w:r>
      <w:r>
        <w:rPr/>
        <w:t>animal</w:t>
      </w:r>
      <w:r>
        <w:rPr>
          <w:spacing w:val="18"/>
        </w:rPr>
        <w:t> </w:t>
      </w:r>
      <w:r>
        <w:rPr/>
        <w:t>feeds.</w:t>
      </w:r>
      <w:r>
        <w:rPr>
          <w:spacing w:val="20"/>
        </w:rPr>
        <w:t> </w:t>
      </w:r>
      <w:r>
        <w:rPr/>
        <w:t>The</w:t>
      </w:r>
      <w:r>
        <w:rPr>
          <w:spacing w:val="25"/>
        </w:rPr>
        <w:t> </w:t>
      </w:r>
      <w:r>
        <w:rPr/>
        <w:t>lead</w:t>
      </w:r>
      <w:r>
        <w:rPr>
          <w:spacing w:val="23"/>
        </w:rPr>
        <w:t> </w:t>
      </w:r>
      <w:r>
        <w:rPr/>
        <w:t>value</w:t>
      </w:r>
      <w:r>
        <w:rPr>
          <w:spacing w:val="25"/>
        </w:rPr>
        <w:t> </w:t>
      </w:r>
      <w:r>
        <w:rPr/>
        <w:t>in</w:t>
      </w:r>
      <w:r>
        <w:rPr>
          <w:spacing w:val="23"/>
        </w:rPr>
        <w:t> </w:t>
      </w:r>
      <w:r>
        <w:rPr/>
        <w:t>forage</w:t>
      </w:r>
      <w:r>
        <w:rPr>
          <w:spacing w:val="17"/>
        </w:rPr>
        <w:t> </w:t>
      </w:r>
      <w:r>
        <w:rPr/>
        <w:t>grasses</w:t>
      </w:r>
      <w:r>
        <w:rPr>
          <w:spacing w:val="20"/>
        </w:rPr>
        <w:t> </w:t>
      </w:r>
      <w:r>
        <w:rPr/>
        <w:t>grazed</w:t>
      </w:r>
      <w:r>
        <w:rPr>
          <w:spacing w:val="23"/>
        </w:rPr>
        <w:t> </w:t>
      </w:r>
      <w:r>
        <w:rPr>
          <w:spacing w:val="-2"/>
        </w:rPr>
        <w:t>across</w:t>
      </w:r>
    </w:p>
    <w:p>
      <w:pPr>
        <w:spacing w:after="0" w:line="480" w:lineRule="auto"/>
        <w:jc w:val="both"/>
        <w:sectPr>
          <w:pgSz w:w="12240" w:h="15840"/>
          <w:pgMar w:header="0" w:footer="1012" w:top="1820" w:bottom="1200" w:left="1020" w:right="720"/>
        </w:sectPr>
      </w:pPr>
    </w:p>
    <w:p>
      <w:pPr>
        <w:pStyle w:val="BodyText"/>
        <w:spacing w:line="480" w:lineRule="auto" w:before="72"/>
        <w:ind w:left="420" w:right="723"/>
        <w:jc w:val="both"/>
      </w:pPr>
      <w:r>
        <w:rPr/>
        <w:t>northern Nigerian is at toxic level affected possibly through processes such as agriculture and mining activities. There are varying proportions of heavy metals in</w:t>
      </w:r>
      <w:r>
        <w:rPr>
          <w:spacing w:val="-1"/>
        </w:rPr>
        <w:t> </w:t>
      </w:r>
      <w:r>
        <w:rPr/>
        <w:t>animal manure samples from poultry farms and cattle manure from Fulani held‟s settlement in northern Nigerian. The water samples from northern Nigerian rivers have high lead values above recommended levels and as such critically contaminated with respect to this toxic metal.</w:t>
      </w:r>
    </w:p>
    <w:p>
      <w:pPr>
        <w:pStyle w:val="Heading2"/>
        <w:numPr>
          <w:ilvl w:val="1"/>
          <w:numId w:val="25"/>
        </w:numPr>
        <w:tabs>
          <w:tab w:pos="4444" w:val="left" w:leader="none"/>
        </w:tabs>
        <w:spacing w:line="240" w:lineRule="auto" w:before="203" w:after="0"/>
        <w:ind w:left="4444" w:right="0" w:hanging="4024"/>
        <w:jc w:val="both"/>
      </w:pPr>
      <w:bookmarkStart w:name="_TOC_250001" w:id="28"/>
      <w:bookmarkEnd w:id="28"/>
      <w:r>
        <w:rPr>
          <w:spacing w:val="-2"/>
        </w:rPr>
        <w:t>Conclusion</w:t>
      </w:r>
    </w:p>
    <w:p>
      <w:pPr>
        <w:pStyle w:val="BodyText"/>
        <w:spacing w:line="480" w:lineRule="auto" w:before="237"/>
        <w:ind w:left="420" w:right="715"/>
        <w:jc w:val="both"/>
      </w:pPr>
      <w:r>
        <w:rPr/>
        <w:t>The results from this study showed levels of zinc, copper, nickel, lead and arsenic in animal</w:t>
      </w:r>
      <w:r>
        <w:rPr>
          <w:spacing w:val="40"/>
        </w:rPr>
        <w:t> </w:t>
      </w:r>
      <w:r>
        <w:rPr/>
        <w:t>feeds are within</w:t>
      </w:r>
      <w:r>
        <w:rPr>
          <w:spacing w:val="-1"/>
        </w:rPr>
        <w:t> </w:t>
      </w:r>
      <w:r>
        <w:rPr/>
        <w:t>the international</w:t>
      </w:r>
      <w:r>
        <w:rPr>
          <w:spacing w:val="-1"/>
        </w:rPr>
        <w:t> </w:t>
      </w:r>
      <w:r>
        <w:rPr/>
        <w:t>permissible limits. Therefore, these feeds are relatively</w:t>
      </w:r>
      <w:r>
        <w:rPr>
          <w:spacing w:val="-1"/>
        </w:rPr>
        <w:t> </w:t>
      </w:r>
      <w:r>
        <w:rPr/>
        <w:t>safe for aquaculture and livestock production. The low concentrations of</w:t>
      </w:r>
      <w:r>
        <w:rPr>
          <w:spacing w:val="-4"/>
        </w:rPr>
        <w:t> </w:t>
      </w:r>
      <w:r>
        <w:rPr/>
        <w:t>the essential</w:t>
      </w:r>
      <w:r>
        <w:rPr>
          <w:spacing w:val="-1"/>
        </w:rPr>
        <w:t> </w:t>
      </w:r>
      <w:r>
        <w:rPr/>
        <w:t>elements (zinc and copper) in the feeds shows that supplements were not added to the feeds as should have been expected. However, presence of lead in forage grasses grazed across northern Nigeria at toxic levels could pose health risk to human since consumption of these contaminated animals and their products can lead to toxicity due to bioaccumulation. Farm manure is a valuable source of major plant nutrients and organic matter. The varying proportions of heavy metal in animal manure samples in northern Nigeria consequently could pose a higher risk of heavy metal pollution to farm lands and long-term soil contamination. The heavy metals in water samples from major rivers in northern Nigeria were significantly (P&gt;0.05) affected by seasonal variation. In this study, the high lead values in northern Nigerian rivers could pose serious environmental concern. Effluents from anthropogenic activities through industrial and domestic activities such as faming, sewage and solid wastes disposals as run offs influence the metal levels in these</w:t>
      </w:r>
      <w:r>
        <w:rPr>
          <w:spacing w:val="40"/>
        </w:rPr>
        <w:t> </w:t>
      </w:r>
      <w:r>
        <w:rPr/>
        <w:t>rivers. From the above observations, it is clear that the concentrations of the toxic metals in Northern Nigeria showed pronounced levels of environmental pollution.</w:t>
      </w:r>
    </w:p>
    <w:p>
      <w:pPr>
        <w:pStyle w:val="BodyText"/>
        <w:spacing w:before="50"/>
      </w:pPr>
    </w:p>
    <w:p>
      <w:pPr>
        <w:pStyle w:val="Heading2"/>
        <w:numPr>
          <w:ilvl w:val="1"/>
          <w:numId w:val="25"/>
        </w:numPr>
        <w:tabs>
          <w:tab w:pos="4554" w:val="left" w:leader="none"/>
        </w:tabs>
        <w:spacing w:line="240" w:lineRule="auto" w:before="0" w:after="0"/>
        <w:ind w:left="4554" w:right="0" w:hanging="4134"/>
        <w:jc w:val="both"/>
      </w:pPr>
      <w:bookmarkStart w:name="_TOC_250000" w:id="29"/>
      <w:bookmarkEnd w:id="29"/>
      <w:r>
        <w:rPr>
          <w:spacing w:val="-2"/>
        </w:rPr>
        <w:t>Recommendations</w:t>
      </w:r>
    </w:p>
    <w:p>
      <w:pPr>
        <w:spacing w:after="0" w:line="240" w:lineRule="auto"/>
        <w:jc w:val="both"/>
        <w:sectPr>
          <w:pgSz w:w="12240" w:h="15840"/>
          <w:pgMar w:header="0" w:footer="1012" w:top="1360" w:bottom="1200" w:left="1020" w:right="720"/>
        </w:sectPr>
      </w:pPr>
    </w:p>
    <w:p>
      <w:pPr>
        <w:pStyle w:val="BodyText"/>
        <w:spacing w:line="480" w:lineRule="auto" w:before="164"/>
        <w:ind w:left="420" w:right="731"/>
        <w:jc w:val="both"/>
      </w:pPr>
      <w:r>
        <w:rPr/>
        <w:t>In order to protect Northern Nigeria environment from further heavy metal contamination, safeguard the environment and preserve human health. The following approaches are suggested:</w:t>
      </w:r>
    </w:p>
    <w:p>
      <w:pPr>
        <w:pStyle w:val="ListParagraph"/>
        <w:numPr>
          <w:ilvl w:val="2"/>
          <w:numId w:val="25"/>
        </w:numPr>
        <w:tabs>
          <w:tab w:pos="1140" w:val="left" w:leader="none"/>
        </w:tabs>
        <w:spacing w:line="240" w:lineRule="auto" w:before="4" w:after="0"/>
        <w:ind w:left="1140" w:right="0" w:hanging="360"/>
        <w:jc w:val="left"/>
        <w:rPr>
          <w:sz w:val="24"/>
        </w:rPr>
      </w:pPr>
      <w:r>
        <w:rPr>
          <w:sz w:val="24"/>
        </w:rPr>
        <w:t>Public</w:t>
      </w:r>
      <w:r>
        <w:rPr>
          <w:spacing w:val="-2"/>
          <w:sz w:val="24"/>
        </w:rPr>
        <w:t> </w:t>
      </w:r>
      <w:r>
        <w:rPr>
          <w:sz w:val="24"/>
        </w:rPr>
        <w:t>enlightment</w:t>
      </w:r>
      <w:r>
        <w:rPr>
          <w:spacing w:val="64"/>
          <w:sz w:val="24"/>
        </w:rPr>
        <w:t> </w:t>
      </w:r>
      <w:r>
        <w:rPr>
          <w:sz w:val="24"/>
        </w:rPr>
        <w:t>on</w:t>
      </w:r>
      <w:r>
        <w:rPr>
          <w:spacing w:val="-3"/>
          <w:sz w:val="24"/>
        </w:rPr>
        <w:t> </w:t>
      </w:r>
      <w:r>
        <w:rPr>
          <w:sz w:val="24"/>
        </w:rPr>
        <w:t>effects of</w:t>
      </w:r>
      <w:r>
        <w:rPr>
          <w:spacing w:val="-6"/>
          <w:sz w:val="24"/>
        </w:rPr>
        <w:t> </w:t>
      </w:r>
      <w:r>
        <w:rPr>
          <w:sz w:val="24"/>
        </w:rPr>
        <w:t>heavy</w:t>
      </w:r>
      <w:r>
        <w:rPr>
          <w:spacing w:val="-3"/>
          <w:sz w:val="24"/>
        </w:rPr>
        <w:t> </w:t>
      </w:r>
      <w:r>
        <w:rPr>
          <w:sz w:val="24"/>
        </w:rPr>
        <w:t>metal</w:t>
      </w:r>
      <w:r>
        <w:rPr>
          <w:spacing w:val="-7"/>
          <w:sz w:val="24"/>
        </w:rPr>
        <w:t> </w:t>
      </w:r>
      <w:r>
        <w:rPr>
          <w:sz w:val="24"/>
        </w:rPr>
        <w:t>contamination</w:t>
      </w:r>
      <w:r>
        <w:rPr>
          <w:spacing w:val="-3"/>
          <w:sz w:val="24"/>
        </w:rPr>
        <w:t> </w:t>
      </w:r>
      <w:r>
        <w:rPr>
          <w:sz w:val="24"/>
        </w:rPr>
        <w:t>on</w:t>
      </w:r>
      <w:r>
        <w:rPr>
          <w:spacing w:val="-3"/>
          <w:sz w:val="24"/>
        </w:rPr>
        <w:t> </w:t>
      </w:r>
      <w:r>
        <w:rPr>
          <w:sz w:val="24"/>
        </w:rPr>
        <w:t>our</w:t>
      </w:r>
      <w:r>
        <w:rPr>
          <w:spacing w:val="-1"/>
          <w:sz w:val="24"/>
        </w:rPr>
        <w:t> </w:t>
      </w:r>
      <w:r>
        <w:rPr>
          <w:spacing w:val="-2"/>
          <w:sz w:val="24"/>
        </w:rPr>
        <w:t>environment</w:t>
      </w:r>
    </w:p>
    <w:p>
      <w:pPr>
        <w:pStyle w:val="ListParagraph"/>
        <w:numPr>
          <w:ilvl w:val="2"/>
          <w:numId w:val="25"/>
        </w:numPr>
        <w:tabs>
          <w:tab w:pos="1140" w:val="left" w:leader="none"/>
        </w:tabs>
        <w:spacing w:line="240" w:lineRule="auto" w:before="275" w:after="0"/>
        <w:ind w:left="1140" w:right="0" w:hanging="360"/>
        <w:jc w:val="left"/>
        <w:rPr>
          <w:sz w:val="24"/>
        </w:rPr>
      </w:pPr>
      <w:r>
        <w:rPr>
          <w:sz w:val="24"/>
        </w:rPr>
        <w:t>Educating</w:t>
      </w:r>
      <w:r>
        <w:rPr>
          <w:spacing w:val="-5"/>
          <w:sz w:val="24"/>
        </w:rPr>
        <w:t> </w:t>
      </w:r>
      <w:r>
        <w:rPr>
          <w:sz w:val="24"/>
        </w:rPr>
        <w:t>the</w:t>
      </w:r>
      <w:r>
        <w:rPr>
          <w:spacing w:val="-3"/>
          <w:sz w:val="24"/>
        </w:rPr>
        <w:t> </w:t>
      </w:r>
      <w:r>
        <w:rPr>
          <w:sz w:val="24"/>
        </w:rPr>
        <w:t>populace</w:t>
      </w:r>
      <w:r>
        <w:rPr>
          <w:spacing w:val="-3"/>
          <w:sz w:val="24"/>
        </w:rPr>
        <w:t> </w:t>
      </w:r>
      <w:r>
        <w:rPr>
          <w:sz w:val="24"/>
        </w:rPr>
        <w:t>on</w:t>
      </w:r>
      <w:r>
        <w:rPr>
          <w:spacing w:val="-2"/>
          <w:sz w:val="24"/>
        </w:rPr>
        <w:t> </w:t>
      </w:r>
      <w:r>
        <w:rPr>
          <w:sz w:val="24"/>
        </w:rPr>
        <w:t>indiscriminate</w:t>
      </w:r>
      <w:r>
        <w:rPr>
          <w:spacing w:val="-3"/>
          <w:sz w:val="24"/>
        </w:rPr>
        <w:t> </w:t>
      </w:r>
      <w:r>
        <w:rPr>
          <w:sz w:val="24"/>
        </w:rPr>
        <w:t>disposal</w:t>
      </w:r>
      <w:r>
        <w:rPr>
          <w:spacing w:val="-6"/>
          <w:sz w:val="24"/>
        </w:rPr>
        <w:t> </w:t>
      </w:r>
      <w:r>
        <w:rPr>
          <w:sz w:val="24"/>
        </w:rPr>
        <w:t>of</w:t>
      </w:r>
      <w:r>
        <w:rPr>
          <w:spacing w:val="-5"/>
          <w:sz w:val="24"/>
        </w:rPr>
        <w:t> </w:t>
      </w:r>
      <w:r>
        <w:rPr>
          <w:sz w:val="24"/>
        </w:rPr>
        <w:t>lead</w:t>
      </w:r>
      <w:r>
        <w:rPr>
          <w:spacing w:val="-2"/>
          <w:sz w:val="24"/>
        </w:rPr>
        <w:t> </w:t>
      </w:r>
      <w:r>
        <w:rPr>
          <w:sz w:val="24"/>
        </w:rPr>
        <w:t>containing</w:t>
      </w:r>
      <w:r>
        <w:rPr>
          <w:spacing w:val="2"/>
          <w:sz w:val="24"/>
        </w:rPr>
        <w:t> </w:t>
      </w:r>
      <w:r>
        <w:rPr>
          <w:spacing w:val="-2"/>
          <w:sz w:val="24"/>
        </w:rPr>
        <w:t>materials</w:t>
      </w:r>
    </w:p>
    <w:p>
      <w:pPr>
        <w:pStyle w:val="BodyText"/>
      </w:pPr>
    </w:p>
    <w:p>
      <w:pPr>
        <w:pStyle w:val="ListParagraph"/>
        <w:numPr>
          <w:ilvl w:val="2"/>
          <w:numId w:val="25"/>
        </w:numPr>
        <w:tabs>
          <w:tab w:pos="1140" w:val="left" w:leader="none"/>
        </w:tabs>
        <w:spacing w:line="240" w:lineRule="auto" w:before="0" w:after="0"/>
        <w:ind w:left="1140" w:right="0" w:hanging="360"/>
        <w:jc w:val="left"/>
        <w:rPr>
          <w:sz w:val="24"/>
        </w:rPr>
      </w:pPr>
      <w:r>
        <w:rPr>
          <w:sz w:val="24"/>
        </w:rPr>
        <w:t>Legal</w:t>
      </w:r>
      <w:r>
        <w:rPr>
          <w:spacing w:val="-7"/>
          <w:sz w:val="24"/>
        </w:rPr>
        <w:t> </w:t>
      </w:r>
      <w:r>
        <w:rPr>
          <w:sz w:val="24"/>
        </w:rPr>
        <w:t>laws</w:t>
      </w:r>
      <w:r>
        <w:rPr>
          <w:spacing w:val="-1"/>
          <w:sz w:val="24"/>
        </w:rPr>
        <w:t> </w:t>
      </w:r>
      <w:r>
        <w:rPr>
          <w:sz w:val="24"/>
        </w:rPr>
        <w:t>designed</w:t>
      </w:r>
      <w:r>
        <w:rPr>
          <w:spacing w:val="1"/>
          <w:sz w:val="24"/>
        </w:rPr>
        <w:t> </w:t>
      </w:r>
      <w:r>
        <w:rPr>
          <w:sz w:val="24"/>
        </w:rPr>
        <w:t>to</w:t>
      </w:r>
      <w:r>
        <w:rPr>
          <w:spacing w:val="1"/>
          <w:sz w:val="24"/>
        </w:rPr>
        <w:t> </w:t>
      </w:r>
      <w:r>
        <w:rPr>
          <w:sz w:val="24"/>
        </w:rPr>
        <w:t>monitor</w:t>
      </w:r>
      <w:r>
        <w:rPr>
          <w:spacing w:val="2"/>
          <w:sz w:val="24"/>
        </w:rPr>
        <w:t> </w:t>
      </w:r>
      <w:r>
        <w:rPr>
          <w:sz w:val="24"/>
        </w:rPr>
        <w:t>network</w:t>
      </w:r>
      <w:r>
        <w:rPr>
          <w:spacing w:val="-9"/>
          <w:sz w:val="24"/>
        </w:rPr>
        <w:t> </w:t>
      </w:r>
      <w:r>
        <w:rPr>
          <w:sz w:val="24"/>
        </w:rPr>
        <w:t>of</w:t>
      </w:r>
      <w:r>
        <w:rPr>
          <w:spacing w:val="-7"/>
          <w:sz w:val="24"/>
        </w:rPr>
        <w:t> </w:t>
      </w:r>
      <w:r>
        <w:rPr>
          <w:sz w:val="24"/>
        </w:rPr>
        <w:t>artisan</w:t>
      </w:r>
      <w:r>
        <w:rPr>
          <w:spacing w:val="-4"/>
          <w:sz w:val="24"/>
        </w:rPr>
        <w:t> </w:t>
      </w:r>
      <w:r>
        <w:rPr>
          <w:sz w:val="24"/>
        </w:rPr>
        <w:t>mining</w:t>
      </w:r>
      <w:r>
        <w:rPr>
          <w:spacing w:val="1"/>
          <w:sz w:val="24"/>
        </w:rPr>
        <w:t> </w:t>
      </w:r>
      <w:r>
        <w:rPr>
          <w:sz w:val="24"/>
        </w:rPr>
        <w:t>activities</w:t>
      </w:r>
      <w:r>
        <w:rPr>
          <w:spacing w:val="3"/>
          <w:sz w:val="24"/>
        </w:rPr>
        <w:t> </w:t>
      </w:r>
      <w:r>
        <w:rPr>
          <w:sz w:val="24"/>
        </w:rPr>
        <w:t>in</w:t>
      </w:r>
      <w:r>
        <w:rPr>
          <w:spacing w:val="-4"/>
          <w:sz w:val="24"/>
        </w:rPr>
        <w:t> </w:t>
      </w:r>
      <w:r>
        <w:rPr>
          <w:sz w:val="24"/>
        </w:rPr>
        <w:t>Northern</w:t>
      </w:r>
      <w:r>
        <w:rPr>
          <w:spacing w:val="-4"/>
          <w:sz w:val="24"/>
        </w:rPr>
        <w:t> </w:t>
      </w:r>
      <w:r>
        <w:rPr>
          <w:spacing w:val="-2"/>
          <w:sz w:val="24"/>
        </w:rPr>
        <w:t>Nigeria.</w:t>
      </w:r>
    </w:p>
    <w:p>
      <w:pPr>
        <w:pStyle w:val="BodyText"/>
        <w:spacing w:before="3"/>
      </w:pPr>
    </w:p>
    <w:p>
      <w:pPr>
        <w:pStyle w:val="ListParagraph"/>
        <w:numPr>
          <w:ilvl w:val="2"/>
          <w:numId w:val="25"/>
        </w:numPr>
        <w:tabs>
          <w:tab w:pos="1140" w:val="left" w:leader="none"/>
        </w:tabs>
        <w:spacing w:line="240" w:lineRule="auto" w:before="1" w:after="0"/>
        <w:ind w:left="1140" w:right="0" w:hanging="360"/>
        <w:jc w:val="left"/>
        <w:rPr>
          <w:sz w:val="24"/>
        </w:rPr>
      </w:pPr>
      <w:r>
        <w:rPr>
          <w:sz w:val="24"/>
        </w:rPr>
        <w:t>Restricting</w:t>
      </w:r>
      <w:r>
        <w:rPr>
          <w:spacing w:val="-3"/>
          <w:sz w:val="24"/>
        </w:rPr>
        <w:t> </w:t>
      </w:r>
      <w:r>
        <w:rPr>
          <w:sz w:val="24"/>
        </w:rPr>
        <w:t>the</w:t>
      </w:r>
      <w:r>
        <w:rPr>
          <w:spacing w:val="1"/>
          <w:sz w:val="24"/>
        </w:rPr>
        <w:t> </w:t>
      </w:r>
      <w:r>
        <w:rPr>
          <w:sz w:val="24"/>
        </w:rPr>
        <w:t>locations</w:t>
      </w:r>
      <w:r>
        <w:rPr>
          <w:spacing w:val="-5"/>
          <w:sz w:val="24"/>
        </w:rPr>
        <w:t> </w:t>
      </w:r>
      <w:r>
        <w:rPr>
          <w:sz w:val="24"/>
        </w:rPr>
        <w:t>where</w:t>
      </w:r>
      <w:r>
        <w:rPr>
          <w:spacing w:val="-3"/>
          <w:sz w:val="24"/>
        </w:rPr>
        <w:t> </w:t>
      </w:r>
      <w:r>
        <w:rPr>
          <w:sz w:val="24"/>
        </w:rPr>
        <w:t>animals</w:t>
      </w:r>
      <w:r>
        <w:rPr>
          <w:spacing w:val="-5"/>
          <w:sz w:val="24"/>
        </w:rPr>
        <w:t> </w:t>
      </w:r>
      <w:r>
        <w:rPr>
          <w:sz w:val="24"/>
        </w:rPr>
        <w:t>are</w:t>
      </w:r>
      <w:r>
        <w:rPr>
          <w:spacing w:val="-3"/>
          <w:sz w:val="24"/>
        </w:rPr>
        <w:t> </w:t>
      </w:r>
      <w:r>
        <w:rPr>
          <w:spacing w:val="-2"/>
          <w:sz w:val="24"/>
        </w:rPr>
        <w:t>grazed.</w:t>
      </w:r>
    </w:p>
    <w:p>
      <w:pPr>
        <w:pStyle w:val="ListParagraph"/>
        <w:numPr>
          <w:ilvl w:val="2"/>
          <w:numId w:val="25"/>
        </w:numPr>
        <w:tabs>
          <w:tab w:pos="1140" w:val="left" w:leader="none"/>
        </w:tabs>
        <w:spacing w:line="240" w:lineRule="auto" w:before="275" w:after="0"/>
        <w:ind w:left="1140" w:right="0" w:hanging="360"/>
        <w:jc w:val="left"/>
        <w:rPr>
          <w:sz w:val="24"/>
        </w:rPr>
      </w:pPr>
      <w:r>
        <w:rPr>
          <w:sz w:val="24"/>
        </w:rPr>
        <w:t>Effectively</w:t>
      </w:r>
      <w:r>
        <w:rPr>
          <w:spacing w:val="-6"/>
          <w:sz w:val="24"/>
        </w:rPr>
        <w:t> </w:t>
      </w:r>
      <w:r>
        <w:rPr>
          <w:sz w:val="24"/>
        </w:rPr>
        <w:t>manage</w:t>
      </w:r>
      <w:r>
        <w:rPr>
          <w:spacing w:val="-4"/>
          <w:sz w:val="24"/>
        </w:rPr>
        <w:t> </w:t>
      </w:r>
      <w:r>
        <w:rPr>
          <w:sz w:val="24"/>
        </w:rPr>
        <w:t>sewage</w:t>
      </w:r>
      <w:r>
        <w:rPr>
          <w:spacing w:val="-4"/>
          <w:sz w:val="24"/>
        </w:rPr>
        <w:t> </w:t>
      </w:r>
      <w:r>
        <w:rPr>
          <w:sz w:val="24"/>
        </w:rPr>
        <w:t>and industrial</w:t>
      </w:r>
      <w:r>
        <w:rPr>
          <w:spacing w:val="-11"/>
          <w:sz w:val="24"/>
        </w:rPr>
        <w:t> </w:t>
      </w:r>
      <w:r>
        <w:rPr>
          <w:sz w:val="24"/>
        </w:rPr>
        <w:t>waste</w:t>
      </w:r>
      <w:r>
        <w:rPr>
          <w:spacing w:val="-4"/>
          <w:sz w:val="24"/>
        </w:rPr>
        <w:t> </w:t>
      </w:r>
      <w:r>
        <w:rPr>
          <w:sz w:val="24"/>
        </w:rPr>
        <w:t>disposals</w:t>
      </w:r>
      <w:r>
        <w:rPr>
          <w:spacing w:val="-5"/>
          <w:sz w:val="24"/>
        </w:rPr>
        <w:t> </w:t>
      </w:r>
      <w:r>
        <w:rPr>
          <w:spacing w:val="-2"/>
          <w:sz w:val="24"/>
        </w:rPr>
        <w:t>system</w:t>
      </w:r>
    </w:p>
    <w:p>
      <w:pPr>
        <w:pStyle w:val="ListParagraph"/>
        <w:numPr>
          <w:ilvl w:val="2"/>
          <w:numId w:val="25"/>
        </w:numPr>
        <w:tabs>
          <w:tab w:pos="1140" w:val="left" w:leader="none"/>
        </w:tabs>
        <w:spacing w:line="240" w:lineRule="auto" w:before="275" w:after="0"/>
        <w:ind w:left="1140" w:right="0" w:hanging="360"/>
        <w:jc w:val="left"/>
        <w:rPr>
          <w:sz w:val="24"/>
        </w:rPr>
      </w:pPr>
      <w:r>
        <w:rPr>
          <w:sz w:val="24"/>
        </w:rPr>
        <w:t>Treatment</w:t>
      </w:r>
      <w:r>
        <w:rPr>
          <w:spacing w:val="-1"/>
          <w:sz w:val="24"/>
        </w:rPr>
        <w:t> </w:t>
      </w:r>
      <w:r>
        <w:rPr>
          <w:sz w:val="24"/>
        </w:rPr>
        <w:t>of</w:t>
      </w:r>
      <w:r>
        <w:rPr>
          <w:spacing w:val="-8"/>
          <w:sz w:val="24"/>
        </w:rPr>
        <w:t> </w:t>
      </w:r>
      <w:r>
        <w:rPr>
          <w:sz w:val="24"/>
        </w:rPr>
        <w:t>waste</w:t>
      </w:r>
      <w:r>
        <w:rPr>
          <w:spacing w:val="-2"/>
          <w:sz w:val="24"/>
        </w:rPr>
        <w:t> </w:t>
      </w:r>
      <w:r>
        <w:rPr>
          <w:sz w:val="24"/>
        </w:rPr>
        <w:t>waters</w:t>
      </w:r>
      <w:r>
        <w:rPr>
          <w:spacing w:val="-2"/>
          <w:sz w:val="24"/>
        </w:rPr>
        <w:t> </w:t>
      </w:r>
      <w:r>
        <w:rPr>
          <w:sz w:val="24"/>
        </w:rPr>
        <w:t>introduced</w:t>
      </w:r>
      <w:r>
        <w:rPr>
          <w:spacing w:val="-1"/>
          <w:sz w:val="24"/>
        </w:rPr>
        <w:t> </w:t>
      </w:r>
      <w:r>
        <w:rPr>
          <w:sz w:val="24"/>
        </w:rPr>
        <w:t>into the</w:t>
      </w:r>
      <w:r>
        <w:rPr>
          <w:spacing w:val="-1"/>
          <w:sz w:val="24"/>
        </w:rPr>
        <w:t> </w:t>
      </w:r>
      <w:r>
        <w:rPr>
          <w:spacing w:val="-2"/>
          <w:sz w:val="24"/>
        </w:rPr>
        <w:t>rivers.</w:t>
      </w:r>
    </w:p>
    <w:p>
      <w:pPr>
        <w:pStyle w:val="ListParagraph"/>
        <w:numPr>
          <w:ilvl w:val="2"/>
          <w:numId w:val="25"/>
        </w:numPr>
        <w:tabs>
          <w:tab w:pos="1140" w:val="left" w:leader="none"/>
        </w:tabs>
        <w:spacing w:line="240" w:lineRule="auto" w:before="275" w:after="0"/>
        <w:ind w:left="1140" w:right="0" w:hanging="360"/>
        <w:jc w:val="left"/>
        <w:rPr>
          <w:sz w:val="24"/>
        </w:rPr>
      </w:pPr>
      <w:r>
        <w:rPr>
          <w:sz w:val="24"/>
        </w:rPr>
        <w:t>The</w:t>
      </w:r>
      <w:r>
        <w:rPr>
          <w:spacing w:val="-5"/>
          <w:sz w:val="24"/>
        </w:rPr>
        <w:t> </w:t>
      </w:r>
      <w:r>
        <w:rPr>
          <w:sz w:val="24"/>
        </w:rPr>
        <w:t>need</w:t>
      </w:r>
      <w:r>
        <w:rPr>
          <w:spacing w:val="-2"/>
          <w:sz w:val="24"/>
        </w:rPr>
        <w:t> </w:t>
      </w:r>
      <w:r>
        <w:rPr>
          <w:sz w:val="24"/>
        </w:rPr>
        <w:t>to</w:t>
      </w:r>
      <w:r>
        <w:rPr>
          <w:spacing w:val="-1"/>
          <w:sz w:val="24"/>
        </w:rPr>
        <w:t> </w:t>
      </w:r>
      <w:r>
        <w:rPr>
          <w:sz w:val="24"/>
        </w:rPr>
        <w:t>determine</w:t>
      </w:r>
      <w:r>
        <w:rPr>
          <w:spacing w:val="-3"/>
          <w:sz w:val="24"/>
        </w:rPr>
        <w:t> </w:t>
      </w:r>
      <w:r>
        <w:rPr>
          <w:sz w:val="24"/>
        </w:rPr>
        <w:t>official</w:t>
      </w:r>
      <w:r>
        <w:rPr>
          <w:spacing w:val="-1"/>
          <w:sz w:val="24"/>
        </w:rPr>
        <w:t> </w:t>
      </w:r>
      <w:r>
        <w:rPr>
          <w:sz w:val="24"/>
        </w:rPr>
        <w:t>heavy</w:t>
      </w:r>
      <w:r>
        <w:rPr>
          <w:spacing w:val="-2"/>
          <w:sz w:val="24"/>
        </w:rPr>
        <w:t> </w:t>
      </w:r>
      <w:r>
        <w:rPr>
          <w:sz w:val="24"/>
        </w:rPr>
        <w:t>metals</w:t>
      </w:r>
      <w:r>
        <w:rPr>
          <w:spacing w:val="-3"/>
          <w:sz w:val="24"/>
        </w:rPr>
        <w:t> </w:t>
      </w:r>
      <w:r>
        <w:rPr>
          <w:sz w:val="24"/>
        </w:rPr>
        <w:t>tolerance</w:t>
      </w:r>
      <w:r>
        <w:rPr>
          <w:spacing w:val="2"/>
          <w:sz w:val="24"/>
        </w:rPr>
        <w:t> </w:t>
      </w:r>
      <w:r>
        <w:rPr>
          <w:sz w:val="24"/>
        </w:rPr>
        <w:t>limits in</w:t>
      </w:r>
      <w:r>
        <w:rPr>
          <w:spacing w:val="-6"/>
          <w:sz w:val="24"/>
        </w:rPr>
        <w:t> </w:t>
      </w:r>
      <w:r>
        <w:rPr>
          <w:sz w:val="24"/>
        </w:rPr>
        <w:t>animal</w:t>
      </w:r>
      <w:r>
        <w:rPr>
          <w:spacing w:val="-6"/>
          <w:sz w:val="24"/>
        </w:rPr>
        <w:t> </w:t>
      </w:r>
      <w:r>
        <w:rPr>
          <w:spacing w:val="-2"/>
          <w:sz w:val="24"/>
        </w:rPr>
        <w:t>manures.</w:t>
      </w:r>
    </w:p>
    <w:p>
      <w:pPr>
        <w:pStyle w:val="ListParagraph"/>
        <w:numPr>
          <w:ilvl w:val="2"/>
          <w:numId w:val="25"/>
        </w:numPr>
        <w:tabs>
          <w:tab w:pos="1140" w:val="left" w:leader="none"/>
        </w:tabs>
        <w:spacing w:line="240" w:lineRule="auto" w:before="275" w:after="0"/>
        <w:ind w:left="1140" w:right="0" w:hanging="360"/>
        <w:jc w:val="left"/>
        <w:rPr>
          <w:sz w:val="24"/>
        </w:rPr>
      </w:pPr>
      <w:r>
        <w:rPr>
          <w:sz w:val="24"/>
        </w:rPr>
        <w:t>Remediation</w:t>
      </w:r>
      <w:r>
        <w:rPr>
          <w:spacing w:val="-9"/>
          <w:sz w:val="24"/>
        </w:rPr>
        <w:t> </w:t>
      </w:r>
      <w:r>
        <w:rPr>
          <w:sz w:val="24"/>
        </w:rPr>
        <w:t>of</w:t>
      </w:r>
      <w:r>
        <w:rPr>
          <w:spacing w:val="-8"/>
          <w:sz w:val="24"/>
        </w:rPr>
        <w:t> </w:t>
      </w:r>
      <w:r>
        <w:rPr>
          <w:sz w:val="24"/>
        </w:rPr>
        <w:t>the</w:t>
      </w:r>
      <w:r>
        <w:rPr>
          <w:spacing w:val="-3"/>
          <w:sz w:val="24"/>
        </w:rPr>
        <w:t> </w:t>
      </w:r>
      <w:r>
        <w:rPr>
          <w:sz w:val="24"/>
        </w:rPr>
        <w:t>environment</w:t>
      </w:r>
      <w:r>
        <w:rPr>
          <w:spacing w:val="4"/>
          <w:sz w:val="24"/>
        </w:rPr>
        <w:t> </w:t>
      </w:r>
      <w:r>
        <w:rPr>
          <w:sz w:val="24"/>
        </w:rPr>
        <w:t>so</w:t>
      </w:r>
      <w:r>
        <w:rPr>
          <w:spacing w:val="2"/>
          <w:sz w:val="24"/>
        </w:rPr>
        <w:t> </w:t>
      </w:r>
      <w:r>
        <w:rPr>
          <w:sz w:val="24"/>
        </w:rPr>
        <w:t>as</w:t>
      </w:r>
      <w:r>
        <w:rPr>
          <w:spacing w:val="-8"/>
          <w:sz w:val="24"/>
        </w:rPr>
        <w:t> </w:t>
      </w:r>
      <w:r>
        <w:rPr>
          <w:sz w:val="24"/>
        </w:rPr>
        <w:t>to</w:t>
      </w:r>
      <w:r>
        <w:rPr>
          <w:spacing w:val="-1"/>
          <w:sz w:val="24"/>
        </w:rPr>
        <w:t> </w:t>
      </w:r>
      <w:r>
        <w:rPr>
          <w:sz w:val="24"/>
        </w:rPr>
        <w:t>prevent</w:t>
      </w:r>
      <w:r>
        <w:rPr>
          <w:spacing w:val="3"/>
          <w:sz w:val="24"/>
        </w:rPr>
        <w:t> </w:t>
      </w:r>
      <w:r>
        <w:rPr>
          <w:sz w:val="24"/>
        </w:rPr>
        <w:t>further heavy</w:t>
      </w:r>
      <w:r>
        <w:rPr>
          <w:spacing w:val="-2"/>
          <w:sz w:val="24"/>
        </w:rPr>
        <w:t> </w:t>
      </w:r>
      <w:r>
        <w:rPr>
          <w:sz w:val="24"/>
        </w:rPr>
        <w:t>metal</w:t>
      </w:r>
      <w:r>
        <w:rPr>
          <w:spacing w:val="-9"/>
          <w:sz w:val="24"/>
        </w:rPr>
        <w:t> </w:t>
      </w:r>
      <w:r>
        <w:rPr>
          <w:spacing w:val="-2"/>
          <w:sz w:val="24"/>
        </w:rPr>
        <w:t>contamination</w:t>
      </w:r>
    </w:p>
    <w:p>
      <w:pPr>
        <w:pStyle w:val="BodyText"/>
      </w:pPr>
    </w:p>
    <w:p>
      <w:pPr>
        <w:pStyle w:val="BodyText"/>
      </w:pPr>
    </w:p>
    <w:p>
      <w:pPr>
        <w:pStyle w:val="BodyText"/>
      </w:pPr>
    </w:p>
    <w:p>
      <w:pPr>
        <w:pStyle w:val="Heading1"/>
        <w:spacing w:before="1"/>
        <w:ind w:right="1648"/>
        <w:jc w:val="center"/>
      </w:pPr>
      <w:r>
        <w:rPr>
          <w:spacing w:val="-2"/>
        </w:rPr>
        <w:t>REFERENCES</w:t>
      </w:r>
    </w:p>
    <w:p>
      <w:pPr>
        <w:pStyle w:val="BodyText"/>
        <w:spacing w:before="62"/>
        <w:rPr>
          <w:b/>
        </w:rPr>
      </w:pPr>
    </w:p>
    <w:p>
      <w:pPr>
        <w:pStyle w:val="BodyText"/>
        <w:spacing w:line="357" w:lineRule="auto"/>
        <w:ind w:left="420" w:right="718"/>
        <w:jc w:val="both"/>
      </w:pPr>
      <w:r>
        <w:rPr/>
        <w:t>Abulude, F.O., Eluyode, S.O and Jegede, A. (2000). An investigation into the effect of traffic pollution on the levels of some heavy metals in goats‟ urine samples in Kotoni province</w:t>
      </w:r>
      <w:r>
        <w:rPr>
          <w:i/>
        </w:rPr>
        <w:t>. Asian Journal of Chemistry, 20 (4</w:t>
      </w:r>
      <w:r>
        <w:rPr/>
        <w:t>): 2663-2672.</w:t>
      </w:r>
    </w:p>
    <w:p>
      <w:pPr>
        <w:pStyle w:val="BodyText"/>
        <w:spacing w:line="360" w:lineRule="auto" w:before="207"/>
        <w:ind w:left="420" w:right="722"/>
        <w:jc w:val="both"/>
      </w:pPr>
      <w:r>
        <w:rPr/>
        <w:t>Ahmad, K., Khan, Z., Ashraf, M., Valeem, E. E., Shah, R. and Mcdowell, E. (2007). Levels of total</w:t>
      </w:r>
      <w:r>
        <w:rPr>
          <w:spacing w:val="-11"/>
        </w:rPr>
        <w:t> </w:t>
      </w:r>
      <w:r>
        <w:rPr/>
        <w:t>amino acids,</w:t>
      </w:r>
      <w:r>
        <w:rPr>
          <w:spacing w:val="-1"/>
        </w:rPr>
        <w:t> </w:t>
      </w:r>
      <w:r>
        <w:rPr/>
        <w:t>soluble</w:t>
      </w:r>
      <w:r>
        <w:rPr>
          <w:spacing w:val="-4"/>
        </w:rPr>
        <w:t> </w:t>
      </w:r>
      <w:r>
        <w:rPr/>
        <w:t>proteins</w:t>
      </w:r>
      <w:r>
        <w:rPr>
          <w:spacing w:val="-5"/>
        </w:rPr>
        <w:t> </w:t>
      </w:r>
      <w:r>
        <w:rPr/>
        <w:t>and</w:t>
      </w:r>
      <w:r>
        <w:rPr>
          <w:spacing w:val="-3"/>
        </w:rPr>
        <w:t> </w:t>
      </w:r>
      <w:r>
        <w:rPr/>
        <w:t>phenolic</w:t>
      </w:r>
      <w:r>
        <w:rPr>
          <w:spacing w:val="-4"/>
        </w:rPr>
        <w:t> </w:t>
      </w:r>
      <w:r>
        <w:rPr/>
        <w:t>compounds</w:t>
      </w:r>
      <w:r>
        <w:rPr>
          <w:spacing w:val="-1"/>
        </w:rPr>
        <w:t> </w:t>
      </w:r>
      <w:r>
        <w:rPr/>
        <w:t>in</w:t>
      </w:r>
      <w:r>
        <w:rPr>
          <w:spacing w:val="-3"/>
        </w:rPr>
        <w:t> </w:t>
      </w:r>
      <w:r>
        <w:rPr/>
        <w:t>forages</w:t>
      </w:r>
      <w:r>
        <w:rPr>
          <w:spacing w:val="-1"/>
        </w:rPr>
        <w:t> </w:t>
      </w:r>
      <w:r>
        <w:rPr/>
        <w:t>in</w:t>
      </w:r>
      <w:r>
        <w:rPr>
          <w:spacing w:val="-8"/>
        </w:rPr>
        <w:t> </w:t>
      </w:r>
      <w:r>
        <w:rPr/>
        <w:t>relation</w:t>
      </w:r>
      <w:r>
        <w:rPr>
          <w:spacing w:val="-8"/>
        </w:rPr>
        <w:t> </w:t>
      </w:r>
      <w:r>
        <w:rPr/>
        <w:t>to requirements of ruminants grazing in the salt range (Punjab), Pakistan, </w:t>
      </w:r>
      <w:r>
        <w:rPr>
          <w:i/>
        </w:rPr>
        <w:t>Journal of Botany, </w:t>
      </w:r>
      <w:r>
        <w:rPr/>
        <w:t>41(3), 1521-1526.</w:t>
      </w:r>
    </w:p>
    <w:p>
      <w:pPr>
        <w:pStyle w:val="BodyText"/>
        <w:spacing w:line="357" w:lineRule="auto" w:before="2"/>
        <w:ind w:left="420" w:right="712"/>
        <w:jc w:val="both"/>
      </w:pPr>
      <w:r>
        <w:rPr/>
        <w:t>Akan, A. A., Ojomolade, O.O., Ayoola, G. A. and Coker, A. B. (2010). Quantitative analysis of some toxic metals in domestic water obtained from Lagos metropolis. </w:t>
      </w:r>
      <w:r>
        <w:rPr>
          <w:i/>
        </w:rPr>
        <w:t>The Nigerian Journal of Pharmacy, </w:t>
      </w:r>
      <w:r>
        <w:rPr/>
        <w:t>42 (1): 57-60.</w:t>
      </w:r>
    </w:p>
    <w:p>
      <w:pPr>
        <w:pStyle w:val="BodyText"/>
        <w:spacing w:line="360" w:lineRule="auto" w:before="207"/>
        <w:ind w:left="420" w:right="719"/>
        <w:jc w:val="both"/>
      </w:pPr>
      <w:r>
        <w:rPr/>
        <w:t>Alexieva, D., S., Chobanova, D. and Ilchev, A. (2007). Study on the level of heavy metal contamination in feed materials and compound feed for pigs and poultry in Bulgaria. </w:t>
      </w:r>
      <w:r>
        <w:rPr>
          <w:i/>
        </w:rPr>
        <w:t>Journal of Science</w:t>
      </w:r>
      <w:r>
        <w:rPr/>
        <w:t>, 5: 61-66.</w:t>
      </w:r>
    </w:p>
    <w:p>
      <w:pPr>
        <w:spacing w:after="0" w:line="360" w:lineRule="auto"/>
        <w:jc w:val="both"/>
        <w:sectPr>
          <w:pgSz w:w="12240" w:h="15840"/>
          <w:pgMar w:header="0" w:footer="1012" w:top="1820" w:bottom="1200" w:left="1020" w:right="720"/>
        </w:sectPr>
      </w:pPr>
    </w:p>
    <w:p>
      <w:pPr>
        <w:spacing w:line="357" w:lineRule="auto" w:before="72"/>
        <w:ind w:left="420" w:right="721" w:firstLine="0"/>
        <w:jc w:val="both"/>
        <w:rPr>
          <w:sz w:val="24"/>
        </w:rPr>
      </w:pPr>
      <w:r>
        <w:rPr>
          <w:sz w:val="24"/>
        </w:rPr>
        <w:t>Anhwange, O., Alkhalaf, N.A., Osman, A. and Salama, K. A. (2012). Study on the level of</w:t>
      </w:r>
      <w:r>
        <w:rPr>
          <w:spacing w:val="40"/>
          <w:sz w:val="24"/>
        </w:rPr>
        <w:t> </w:t>
      </w:r>
      <w:r>
        <w:rPr>
          <w:sz w:val="24"/>
        </w:rPr>
        <w:t>heavy metal contamination in fish feeds sold in Markudi Municial area. </w:t>
      </w:r>
      <w:r>
        <w:rPr>
          <w:i/>
          <w:sz w:val="24"/>
        </w:rPr>
        <w:t>Bulletin of Environmental Contamination and Toxicology, </w:t>
      </w:r>
      <w:r>
        <w:rPr>
          <w:sz w:val="24"/>
        </w:rPr>
        <w:t>4: 192-199.</w:t>
      </w:r>
    </w:p>
    <w:p>
      <w:pPr>
        <w:spacing w:line="360" w:lineRule="auto" w:before="207"/>
        <w:ind w:left="420" w:right="718" w:firstLine="0"/>
        <w:jc w:val="both"/>
        <w:rPr>
          <w:i/>
          <w:sz w:val="24"/>
        </w:rPr>
      </w:pPr>
      <w:r>
        <w:rPr>
          <w:sz w:val="24"/>
        </w:rPr>
        <w:t>AL-Jassir, M. S., Shaker, A. and Khaliq, M. A. (2005). Deposition of heavy metals on green leafy vegetables sold on roadsides of Riyadh city, Saudi Arabia. </w:t>
      </w:r>
      <w:r>
        <w:rPr>
          <w:i/>
          <w:sz w:val="24"/>
        </w:rPr>
        <w:t>Bulletin of Environmental Contamination and Toxicology, 75, 1020-1027.</w:t>
      </w:r>
    </w:p>
    <w:p>
      <w:pPr>
        <w:spacing w:line="360" w:lineRule="auto" w:before="242"/>
        <w:ind w:left="420" w:right="731" w:firstLine="0"/>
        <w:jc w:val="both"/>
        <w:rPr>
          <w:sz w:val="24"/>
        </w:rPr>
      </w:pPr>
      <w:r>
        <w:rPr>
          <w:sz w:val="24"/>
        </w:rPr>
        <w:t>Alonso, M. L., Benedito, M., Miranda, C., Castillo, J. A. and Hernandez, Z. (2002. Interactions between toxic and essential trace metals in cattle from region with low levels of pollution. </w:t>
      </w:r>
      <w:r>
        <w:rPr>
          <w:i/>
          <w:sz w:val="24"/>
        </w:rPr>
        <w:t>Journal of Environmental Contamination and Toxicology</w:t>
      </w:r>
      <w:r>
        <w:rPr>
          <w:sz w:val="24"/>
        </w:rPr>
        <w:t>, 42: 165-172</w:t>
      </w:r>
    </w:p>
    <w:p>
      <w:pPr>
        <w:spacing w:line="357" w:lineRule="auto" w:before="242"/>
        <w:ind w:left="420" w:right="712" w:firstLine="0"/>
        <w:jc w:val="both"/>
        <w:rPr>
          <w:sz w:val="24"/>
        </w:rPr>
      </w:pPr>
      <w:r>
        <w:rPr>
          <w:sz w:val="24"/>
        </w:rPr>
        <w:t>Aluko, O.O., Sridha, M.K.C. and Oluwande, E. P. (2003). Characterization of leachates from a municipal solid waste landfill site in Ibadan, Nigeria. </w:t>
      </w:r>
      <w:r>
        <w:rPr>
          <w:i/>
          <w:sz w:val="24"/>
        </w:rPr>
        <w:t>Journal of Environmental Health</w:t>
      </w:r>
      <w:r>
        <w:rPr>
          <w:i/>
          <w:spacing w:val="80"/>
          <w:sz w:val="24"/>
        </w:rPr>
        <w:t> </w:t>
      </w:r>
      <w:r>
        <w:rPr>
          <w:i/>
          <w:sz w:val="24"/>
        </w:rPr>
        <w:t>Research, </w:t>
      </w:r>
      <w:r>
        <w:rPr>
          <w:sz w:val="24"/>
        </w:rPr>
        <w:t>2, 32-37.</w:t>
      </w:r>
    </w:p>
    <w:p>
      <w:pPr>
        <w:pStyle w:val="BodyText"/>
      </w:pPr>
    </w:p>
    <w:p>
      <w:pPr>
        <w:pStyle w:val="BodyText"/>
      </w:pPr>
    </w:p>
    <w:p>
      <w:pPr>
        <w:pStyle w:val="BodyText"/>
        <w:spacing w:before="31"/>
      </w:pPr>
    </w:p>
    <w:p>
      <w:pPr>
        <w:spacing w:line="360" w:lineRule="auto" w:before="0"/>
        <w:ind w:left="420" w:right="716" w:firstLine="0"/>
        <w:jc w:val="both"/>
        <w:rPr>
          <w:sz w:val="24"/>
        </w:rPr>
      </w:pPr>
      <w:r>
        <w:rPr>
          <w:sz w:val="24"/>
        </w:rPr>
        <w:t>Arogunjo, A. M. (2006). Heavy metal composition of some solid minerals in Nigeria: Any</w:t>
      </w:r>
      <w:r>
        <w:rPr>
          <w:spacing w:val="40"/>
          <w:sz w:val="24"/>
        </w:rPr>
        <w:t> </w:t>
      </w:r>
      <w:r>
        <w:rPr>
          <w:sz w:val="24"/>
        </w:rPr>
        <w:t>Health Implication to inhabitants around the Mining sites. </w:t>
      </w:r>
      <w:r>
        <w:rPr>
          <w:i/>
          <w:sz w:val="24"/>
        </w:rPr>
        <w:t>International Journal of Applied and Environmental Sciences</w:t>
      </w:r>
      <w:r>
        <w:rPr>
          <w:sz w:val="24"/>
        </w:rPr>
        <w:t>, 2(2): 143-145</w:t>
      </w:r>
    </w:p>
    <w:p>
      <w:pPr>
        <w:pStyle w:val="BodyText"/>
        <w:spacing w:line="273" w:lineRule="auto" w:before="204"/>
        <w:ind w:left="420" w:right="716"/>
        <w:jc w:val="both"/>
      </w:pPr>
      <w:r>
        <w:rPr/>
        <w:t>Ataro, A., Crindle, R. I., Botha, B. M .E. and Ndibewu, P. P. (2008). Quantification of trace elements in soils by inductively coupled plasma mass spectrometry (ICP-MS). </w:t>
      </w:r>
      <w:r>
        <w:rPr>
          <w:i/>
        </w:rPr>
        <w:t>Food Chemistry</w:t>
      </w:r>
      <w:r>
        <w:rPr/>
        <w:t>, 111, 243–248.</w:t>
      </w:r>
    </w:p>
    <w:p>
      <w:pPr>
        <w:pStyle w:val="BodyText"/>
        <w:spacing w:line="355" w:lineRule="auto" w:before="208"/>
        <w:ind w:left="420" w:right="726"/>
        <w:jc w:val="both"/>
      </w:pPr>
      <w:r>
        <w:rPr/>
        <w:t>Agency for Toxic Substances and Disease Registry (ATSDR, 2005). Toxicology profile for Copper. Atlanta, Georgia, United States Department of Health and Human Services.</w:t>
      </w:r>
    </w:p>
    <w:p>
      <w:pPr>
        <w:pStyle w:val="BodyText"/>
        <w:spacing w:line="360" w:lineRule="auto" w:before="211"/>
        <w:ind w:left="420" w:right="724"/>
        <w:jc w:val="both"/>
        <w:rPr>
          <w:i/>
        </w:rPr>
      </w:pPr>
      <w:r>
        <w:rPr/>
        <w:t>Agency</w:t>
      </w:r>
      <w:r>
        <w:rPr>
          <w:spacing w:val="-3"/>
        </w:rPr>
        <w:t> </w:t>
      </w:r>
      <w:r>
        <w:rPr/>
        <w:t>for</w:t>
      </w:r>
      <w:r>
        <w:rPr>
          <w:spacing w:val="-2"/>
        </w:rPr>
        <w:t> </w:t>
      </w:r>
      <w:r>
        <w:rPr/>
        <w:t>Toxic</w:t>
      </w:r>
      <w:r>
        <w:rPr>
          <w:spacing w:val="-4"/>
        </w:rPr>
        <w:t> </w:t>
      </w:r>
      <w:r>
        <w:rPr/>
        <w:t>Substances</w:t>
      </w:r>
      <w:r>
        <w:rPr>
          <w:spacing w:val="-5"/>
        </w:rPr>
        <w:t> </w:t>
      </w:r>
      <w:r>
        <w:rPr/>
        <w:t>and</w:t>
      </w:r>
      <w:r>
        <w:rPr>
          <w:spacing w:val="-3"/>
        </w:rPr>
        <w:t> </w:t>
      </w:r>
      <w:r>
        <w:rPr/>
        <w:t>Disease</w:t>
      </w:r>
      <w:r>
        <w:rPr>
          <w:spacing w:val="-4"/>
        </w:rPr>
        <w:t> </w:t>
      </w:r>
      <w:r>
        <w:rPr/>
        <w:t>Registry</w:t>
      </w:r>
      <w:r>
        <w:rPr>
          <w:spacing w:val="-7"/>
        </w:rPr>
        <w:t> </w:t>
      </w:r>
      <w:r>
        <w:rPr/>
        <w:t>(ATSDR,</w:t>
      </w:r>
      <w:r>
        <w:rPr>
          <w:spacing w:val="-1"/>
        </w:rPr>
        <w:t> </w:t>
      </w:r>
      <w:r>
        <w:rPr/>
        <w:t>2007).</w:t>
      </w:r>
      <w:r>
        <w:rPr>
          <w:spacing w:val="-1"/>
        </w:rPr>
        <w:t> </w:t>
      </w:r>
      <w:r>
        <w:rPr/>
        <w:t>Toxicology</w:t>
      </w:r>
      <w:r>
        <w:rPr>
          <w:spacing w:val="-12"/>
        </w:rPr>
        <w:t> </w:t>
      </w:r>
      <w:r>
        <w:rPr/>
        <w:t>profile for</w:t>
      </w:r>
      <w:r>
        <w:rPr>
          <w:spacing w:val="-2"/>
        </w:rPr>
        <w:t> </w:t>
      </w:r>
      <w:r>
        <w:rPr/>
        <w:t>Zinc. Atlanta, Georgia, United States Department of Health and Human Services. Awowunmi, E.E., Asaolu, S.S. and Ipinmoroti, K. (2002). Effect of leaching on heavy metals concentration of soil in some dumpsites. </w:t>
      </w:r>
      <w:r>
        <w:rPr>
          <w:i/>
        </w:rPr>
        <w:t>African Journal of Environmental Science and Technology, 4(8), 495-499.</w:t>
      </w:r>
    </w:p>
    <w:p>
      <w:pPr>
        <w:pStyle w:val="BodyText"/>
        <w:spacing w:line="360" w:lineRule="auto" w:before="202"/>
        <w:ind w:left="420" w:right="729"/>
        <w:jc w:val="both"/>
      </w:pPr>
      <w:r>
        <w:rPr/>
        <w:t>Azeez, J.O., Adekunle, I.O., Atiku, O.O., Akande, K.B.; Jamiu, U. and Azeez, S.O. (2012). Effect</w:t>
      </w:r>
      <w:r>
        <w:rPr>
          <w:spacing w:val="61"/>
        </w:rPr>
        <w:t> </w:t>
      </w:r>
      <w:r>
        <w:rPr/>
        <w:t>of</w:t>
      </w:r>
      <w:r>
        <w:rPr>
          <w:spacing w:val="56"/>
        </w:rPr>
        <w:t> </w:t>
      </w:r>
      <w:r>
        <w:rPr/>
        <w:t>nine</w:t>
      </w:r>
      <w:r>
        <w:rPr>
          <w:spacing w:val="62"/>
        </w:rPr>
        <w:t> </w:t>
      </w:r>
      <w:r>
        <w:rPr/>
        <w:t>years</w:t>
      </w:r>
      <w:r>
        <w:rPr>
          <w:spacing w:val="57"/>
        </w:rPr>
        <w:t> </w:t>
      </w:r>
      <w:r>
        <w:rPr/>
        <w:t>of</w:t>
      </w:r>
      <w:r>
        <w:rPr>
          <w:spacing w:val="51"/>
        </w:rPr>
        <w:t> </w:t>
      </w:r>
      <w:r>
        <w:rPr/>
        <w:t>animal</w:t>
      </w:r>
      <w:r>
        <w:rPr>
          <w:spacing w:val="54"/>
        </w:rPr>
        <w:t> </w:t>
      </w:r>
      <w:r>
        <w:rPr/>
        <w:t>waste</w:t>
      </w:r>
      <w:r>
        <w:rPr>
          <w:spacing w:val="58"/>
        </w:rPr>
        <w:t> </w:t>
      </w:r>
      <w:r>
        <w:rPr/>
        <w:t>deposition</w:t>
      </w:r>
      <w:r>
        <w:rPr>
          <w:spacing w:val="54"/>
        </w:rPr>
        <w:t> </w:t>
      </w:r>
      <w:r>
        <w:rPr/>
        <w:t>on</w:t>
      </w:r>
      <w:r>
        <w:rPr>
          <w:spacing w:val="53"/>
        </w:rPr>
        <w:t> </w:t>
      </w:r>
      <w:r>
        <w:rPr/>
        <w:t>profile</w:t>
      </w:r>
      <w:r>
        <w:rPr>
          <w:spacing w:val="58"/>
        </w:rPr>
        <w:t> </w:t>
      </w:r>
      <w:r>
        <w:rPr/>
        <w:t>distribution</w:t>
      </w:r>
      <w:r>
        <w:rPr>
          <w:spacing w:val="54"/>
        </w:rPr>
        <w:t> </w:t>
      </w:r>
      <w:r>
        <w:rPr/>
        <w:t>of</w:t>
      </w:r>
      <w:r>
        <w:rPr>
          <w:spacing w:val="55"/>
        </w:rPr>
        <w:t> </w:t>
      </w:r>
      <w:r>
        <w:rPr/>
        <w:t>heavy</w:t>
      </w:r>
      <w:r>
        <w:rPr>
          <w:spacing w:val="59"/>
        </w:rPr>
        <w:t> </w:t>
      </w:r>
      <w:r>
        <w:rPr/>
        <w:t>metals</w:t>
      </w:r>
      <w:r>
        <w:rPr>
          <w:spacing w:val="62"/>
        </w:rPr>
        <w:t> </w:t>
      </w:r>
      <w:r>
        <w:rPr>
          <w:spacing w:val="-5"/>
        </w:rPr>
        <w:t>in</w:t>
      </w:r>
    </w:p>
    <w:p>
      <w:pPr>
        <w:spacing w:after="0" w:line="360" w:lineRule="auto"/>
        <w:jc w:val="both"/>
        <w:sectPr>
          <w:pgSz w:w="12240" w:h="15840"/>
          <w:pgMar w:header="0" w:footer="1012" w:top="1360" w:bottom="1200" w:left="1020" w:right="720"/>
        </w:sectPr>
      </w:pPr>
    </w:p>
    <w:p>
      <w:pPr>
        <w:pStyle w:val="BodyText"/>
        <w:spacing w:line="355" w:lineRule="auto" w:before="72"/>
        <w:ind w:left="420" w:right="718"/>
        <w:jc w:val="both"/>
      </w:pPr>
      <w:r>
        <w:rPr/>
        <w:t>Abeokuta, South-western Nigeria and its implication for environmental quality. </w:t>
      </w:r>
      <w:r>
        <w:rPr>
          <w:i/>
        </w:rPr>
        <w:t>Waste Management, </w:t>
      </w:r>
      <w:r>
        <w:rPr/>
        <w:t>29, 2582–2586.</w:t>
      </w:r>
    </w:p>
    <w:p>
      <w:pPr>
        <w:pStyle w:val="BodyText"/>
        <w:spacing w:line="360" w:lineRule="auto" w:before="211"/>
        <w:ind w:left="420" w:right="713"/>
        <w:jc w:val="both"/>
      </w:pPr>
      <w:r>
        <w:rPr/>
        <w:t>Barone, A., Ebesh, O., Harper, R.G. and Wapnir, R.A. (2005). Placental</w:t>
      </w:r>
      <w:r>
        <w:rPr>
          <w:spacing w:val="-7"/>
        </w:rPr>
        <w:t> </w:t>
      </w:r>
      <w:r>
        <w:rPr/>
        <w:t>copper transport in</w:t>
      </w:r>
      <w:r>
        <w:rPr>
          <w:spacing w:val="-2"/>
        </w:rPr>
        <w:t> </w:t>
      </w:r>
      <w:r>
        <w:rPr/>
        <w:t>rats: effects of elevated dietary zinc on fetal copper, iron and metallothionien. </w:t>
      </w:r>
      <w:r>
        <w:rPr>
          <w:i/>
        </w:rPr>
        <w:t>Journal of Nutrition, </w:t>
      </w:r>
      <w:r>
        <w:rPr/>
        <w:t>128, 1037-1041.</w:t>
      </w:r>
    </w:p>
    <w:p>
      <w:pPr>
        <w:pStyle w:val="BodyText"/>
        <w:spacing w:line="355" w:lineRule="auto" w:before="203"/>
        <w:ind w:left="420" w:right="729"/>
        <w:jc w:val="both"/>
      </w:pPr>
      <w:r>
        <w:rPr/>
        <w:t>Bakare-Odunola, M. T. (2005). Determination of some metallic impurities present in soft drinks marketed in Nigeria. </w:t>
      </w:r>
      <w:r>
        <w:rPr>
          <w:i/>
        </w:rPr>
        <w:t>The Nigeria Journal of Pharmacy</w:t>
      </w:r>
      <w:r>
        <w:rPr/>
        <w:t>, 4(1):51-54.</w:t>
      </w:r>
    </w:p>
    <w:p>
      <w:pPr>
        <w:pStyle w:val="BodyText"/>
        <w:spacing w:line="273" w:lineRule="auto" w:before="211"/>
        <w:ind w:left="420" w:right="725"/>
        <w:jc w:val="both"/>
      </w:pPr>
      <w:r>
        <w:rPr/>
        <w:t>Bansal, N.U., Etesin, J.P., Essien, I.U., Umoren, J. and Umoh, M.</w:t>
      </w:r>
      <w:r>
        <w:rPr>
          <w:spacing w:val="80"/>
        </w:rPr>
        <w:t> </w:t>
      </w:r>
      <w:r>
        <w:rPr/>
        <w:t>(2004). Tissue elemental levels in fin-fishes from Imo river system, Nigeria: Assessment of liver/muscle concentrations ratio. </w:t>
      </w:r>
      <w:r>
        <w:rPr>
          <w:i/>
        </w:rPr>
        <w:t>Journal of Fisheries, Aquatic Science, </w:t>
      </w:r>
      <w:r>
        <w:rPr/>
        <w:t>1: 277-283.</w:t>
      </w:r>
    </w:p>
    <w:p>
      <w:pPr>
        <w:spacing w:line="355" w:lineRule="auto" w:before="213"/>
        <w:ind w:left="420" w:right="716" w:firstLine="0"/>
        <w:jc w:val="both"/>
        <w:rPr>
          <w:sz w:val="24"/>
        </w:rPr>
      </w:pPr>
      <w:hyperlink r:id="rId100">
        <w:r>
          <w:rPr>
            <w:rFonts w:ascii="Calibri"/>
            <w:sz w:val="24"/>
            <w:u w:val="single"/>
          </w:rPr>
          <w:t>Bhat, M. and Krishnamachari, S. (1980</w:t>
        </w:r>
      </w:hyperlink>
      <w:r>
        <w:rPr>
          <w:sz w:val="24"/>
        </w:rPr>
        <w:t>). Heavy metal concentrations in ground waters and soils of Thane Region of Maharashtra, India. </w:t>
      </w:r>
      <w:r>
        <w:rPr>
          <w:i/>
          <w:sz w:val="24"/>
        </w:rPr>
        <w:t>Environmental Monitoring and Assessment</w:t>
      </w:r>
      <w:r>
        <w:rPr>
          <w:sz w:val="24"/>
        </w:rPr>
        <w:t>, 173(1-4), </w:t>
      </w:r>
      <w:r>
        <w:rPr>
          <w:spacing w:val="-2"/>
          <w:sz w:val="24"/>
        </w:rPr>
        <w:t>643-652.</w:t>
      </w:r>
    </w:p>
    <w:p>
      <w:pPr>
        <w:pStyle w:val="BodyText"/>
      </w:pPr>
    </w:p>
    <w:p>
      <w:pPr>
        <w:pStyle w:val="BodyText"/>
        <w:spacing w:before="271"/>
      </w:pPr>
    </w:p>
    <w:p>
      <w:pPr>
        <w:pStyle w:val="BodyText"/>
        <w:spacing w:line="360" w:lineRule="auto" w:before="1"/>
        <w:ind w:left="420" w:right="765"/>
      </w:pPr>
      <w:r>
        <w:rPr/>
        <w:t>Burhene,</w:t>
      </w:r>
      <w:r>
        <w:rPr>
          <w:spacing w:val="-2"/>
        </w:rPr>
        <w:t> </w:t>
      </w:r>
      <w:r>
        <w:rPr/>
        <w:t>F.,</w:t>
      </w:r>
      <w:r>
        <w:rPr>
          <w:spacing w:val="-2"/>
        </w:rPr>
        <w:t> </w:t>
      </w:r>
      <w:r>
        <w:rPr/>
        <w:t>Ogundiran,</w:t>
      </w:r>
      <w:r>
        <w:rPr>
          <w:spacing w:val="-2"/>
        </w:rPr>
        <w:t> </w:t>
      </w:r>
      <w:r>
        <w:rPr/>
        <w:t>M.</w:t>
      </w:r>
      <w:r>
        <w:rPr>
          <w:spacing w:val="-2"/>
        </w:rPr>
        <w:t> </w:t>
      </w:r>
      <w:r>
        <w:rPr/>
        <w:t>B.</w:t>
      </w:r>
      <w:r>
        <w:rPr>
          <w:spacing w:val="-2"/>
        </w:rPr>
        <w:t> </w:t>
      </w:r>
      <w:r>
        <w:rPr/>
        <w:t>and</w:t>
      </w:r>
      <w:r>
        <w:rPr>
          <w:spacing w:val="-4"/>
        </w:rPr>
        <w:t> </w:t>
      </w:r>
      <w:r>
        <w:rPr/>
        <w:t>Osibanjo,</w:t>
      </w:r>
      <w:r>
        <w:rPr>
          <w:spacing w:val="-2"/>
        </w:rPr>
        <w:t> </w:t>
      </w:r>
      <w:r>
        <w:rPr/>
        <w:t>O.</w:t>
      </w:r>
      <w:r>
        <w:rPr>
          <w:spacing w:val="-7"/>
        </w:rPr>
        <w:t> </w:t>
      </w:r>
      <w:r>
        <w:rPr/>
        <w:t>(2008).</w:t>
      </w:r>
      <w:r>
        <w:rPr>
          <w:spacing w:val="-2"/>
        </w:rPr>
        <w:t> </w:t>
      </w:r>
      <w:r>
        <w:rPr/>
        <w:t>Heavy</w:t>
      </w:r>
      <w:r>
        <w:rPr>
          <w:spacing w:val="-8"/>
        </w:rPr>
        <w:t> </w:t>
      </w:r>
      <w:r>
        <w:rPr/>
        <w:t>metal</w:t>
      </w:r>
      <w:r>
        <w:rPr>
          <w:spacing w:val="-12"/>
        </w:rPr>
        <w:t> </w:t>
      </w:r>
      <w:r>
        <w:rPr/>
        <w:t>concentrations</w:t>
      </w:r>
      <w:r>
        <w:rPr>
          <w:spacing w:val="-2"/>
        </w:rPr>
        <w:t> </w:t>
      </w:r>
      <w:r>
        <w:rPr/>
        <w:t>in</w:t>
      </w:r>
      <w:r>
        <w:rPr>
          <w:spacing w:val="-8"/>
        </w:rPr>
        <w:t> </w:t>
      </w:r>
      <w:r>
        <w:rPr/>
        <w:t>soils</w:t>
      </w:r>
      <w:r>
        <w:rPr>
          <w:spacing w:val="-6"/>
        </w:rPr>
        <w:t> </w:t>
      </w:r>
      <w:r>
        <w:rPr/>
        <w:t>and accumulation in plants growing in a deserted slag dumpsite in Nigeria. </w:t>
      </w:r>
      <w:r>
        <w:rPr>
          <w:i/>
        </w:rPr>
        <w:t>African Journal of Biotechnology, </w:t>
      </w:r>
      <w:r>
        <w:rPr/>
        <w:t>7 (17), 3053-3060.</w:t>
      </w:r>
    </w:p>
    <w:p>
      <w:pPr>
        <w:pStyle w:val="BodyText"/>
        <w:spacing w:line="357" w:lineRule="auto" w:before="203"/>
        <w:ind w:left="420" w:right="724"/>
        <w:jc w:val="both"/>
        <w:rPr>
          <w:b/>
        </w:rPr>
      </w:pPr>
      <w:r>
        <w:rPr/>
        <w:t>Cang, L., Wang, Y.J., Zhou,</w:t>
      </w:r>
      <w:r>
        <w:rPr>
          <w:spacing w:val="-4"/>
        </w:rPr>
        <w:t> </w:t>
      </w:r>
      <w:r>
        <w:rPr/>
        <w:t>D.M. and</w:t>
      </w:r>
      <w:r>
        <w:rPr>
          <w:spacing w:val="-1"/>
        </w:rPr>
        <w:t> </w:t>
      </w:r>
      <w:r>
        <w:rPr/>
        <w:t>Dong, Y.H.</w:t>
      </w:r>
      <w:r>
        <w:rPr>
          <w:spacing w:val="-4"/>
        </w:rPr>
        <w:t> </w:t>
      </w:r>
      <w:r>
        <w:rPr/>
        <w:t>(2012).</w:t>
      </w:r>
      <w:r>
        <w:rPr>
          <w:spacing w:val="-4"/>
        </w:rPr>
        <w:t> </w:t>
      </w:r>
      <w:r>
        <w:rPr/>
        <w:t>Heavy</w:t>
      </w:r>
      <w:r>
        <w:rPr>
          <w:spacing w:val="-1"/>
        </w:rPr>
        <w:t> </w:t>
      </w:r>
      <w:r>
        <w:rPr/>
        <w:t>metals</w:t>
      </w:r>
      <w:r>
        <w:rPr>
          <w:spacing w:val="-3"/>
        </w:rPr>
        <w:t> </w:t>
      </w:r>
      <w:r>
        <w:rPr/>
        <w:t>pollution</w:t>
      </w:r>
      <w:r>
        <w:rPr>
          <w:spacing w:val="-1"/>
        </w:rPr>
        <w:t> </w:t>
      </w:r>
      <w:r>
        <w:rPr/>
        <w:t>in</w:t>
      </w:r>
      <w:r>
        <w:rPr>
          <w:spacing w:val="-1"/>
        </w:rPr>
        <w:t> </w:t>
      </w:r>
      <w:r>
        <w:rPr/>
        <w:t>poultry</w:t>
      </w:r>
      <w:r>
        <w:rPr>
          <w:spacing w:val="-11"/>
        </w:rPr>
        <w:t> </w:t>
      </w:r>
      <w:r>
        <w:rPr/>
        <w:t>and livestock feeds and manures under intensive farming in Jiangsu Province, China. </w:t>
      </w:r>
      <w:r>
        <w:rPr>
          <w:i/>
        </w:rPr>
        <w:t>Journal of Environmental Sciences</w:t>
      </w:r>
      <w:r>
        <w:rPr/>
        <w:t>, 16, 371–374</w:t>
      </w:r>
      <w:r>
        <w:rPr>
          <w:b/>
        </w:rPr>
        <w:t>.</w:t>
      </w:r>
    </w:p>
    <w:p>
      <w:pPr>
        <w:pStyle w:val="BodyText"/>
        <w:spacing w:line="362" w:lineRule="auto" w:before="207"/>
        <w:ind w:left="420" w:right="716"/>
        <w:jc w:val="both"/>
        <w:rPr>
          <w:rFonts w:ascii="Calibri"/>
          <w:sz w:val="22"/>
        </w:rPr>
      </w:pPr>
      <w:r>
        <w:rPr/>
        <w:t>Caggiano, J., Biney, C., Amuzu, D., Calamari, N.</w:t>
      </w:r>
      <w:r>
        <w:rPr>
          <w:spacing w:val="40"/>
        </w:rPr>
        <w:t> </w:t>
      </w:r>
      <w:r>
        <w:rPr/>
        <w:t>and Mbome, L. (2004). Review of Heavy Metals. In: Review of Pollution in the African Environment. Calamari D. (Ed.). CFA/FAO, Rome, pp: 293-300</w:t>
      </w:r>
      <w:r>
        <w:rPr>
          <w:rFonts w:ascii="Calibri"/>
          <w:sz w:val="22"/>
        </w:rPr>
        <w:t>.</w:t>
      </w:r>
    </w:p>
    <w:p>
      <w:pPr>
        <w:pStyle w:val="BodyText"/>
        <w:spacing w:line="360" w:lineRule="auto" w:before="193"/>
        <w:ind w:left="420" w:right="716"/>
        <w:jc w:val="both"/>
      </w:pPr>
      <w:r>
        <w:rPr/>
        <w:t>Carrington, G., Mor, F.H. and Nisha, K. (2000). Cadmium and lead in livestock feed and cattle manure from four agricultural</w:t>
      </w:r>
      <w:r>
        <w:rPr>
          <w:spacing w:val="-5"/>
        </w:rPr>
        <w:t> </w:t>
      </w:r>
      <w:r>
        <w:rPr/>
        <w:t>areas</w:t>
      </w:r>
      <w:r>
        <w:rPr>
          <w:spacing w:val="-2"/>
        </w:rPr>
        <w:t> </w:t>
      </w:r>
      <w:r>
        <w:rPr/>
        <w:t>of</w:t>
      </w:r>
      <w:r>
        <w:rPr>
          <w:spacing w:val="-8"/>
        </w:rPr>
        <w:t> </w:t>
      </w:r>
      <w:r>
        <w:rPr/>
        <w:t>Bursa, Turkey. </w:t>
      </w:r>
      <w:r>
        <w:rPr>
          <w:i/>
        </w:rPr>
        <w:t>Toxicology</w:t>
      </w:r>
      <w:r>
        <w:rPr>
          <w:i/>
          <w:spacing w:val="-1"/>
        </w:rPr>
        <w:t> </w:t>
      </w:r>
      <w:r>
        <w:rPr>
          <w:i/>
        </w:rPr>
        <w:t>and Environmental Chemistry</w:t>
      </w:r>
      <w:r>
        <w:rPr/>
        <w:t>, 87: 329-334.</w:t>
      </w:r>
    </w:p>
    <w:p>
      <w:pPr>
        <w:spacing w:after="0" w:line="360" w:lineRule="auto"/>
        <w:jc w:val="both"/>
        <w:sectPr>
          <w:pgSz w:w="12240" w:h="15840"/>
          <w:pgMar w:header="0" w:footer="1012" w:top="1360" w:bottom="1200" w:left="1020" w:right="720"/>
        </w:sectPr>
      </w:pPr>
    </w:p>
    <w:p>
      <w:pPr>
        <w:pStyle w:val="BodyText"/>
        <w:spacing w:line="360" w:lineRule="auto" w:before="72"/>
        <w:ind w:left="420" w:right="714"/>
        <w:jc w:val="both"/>
      </w:pPr>
      <w:r>
        <w:rPr/>
        <w:t>Chakraborti, D., Samanta, B.K., Mandal, T., Roy-Chowdhury, S. and Chanda, R. (1998).</w:t>
      </w:r>
      <w:r>
        <w:rPr>
          <w:spacing w:val="40"/>
        </w:rPr>
        <w:t> </w:t>
      </w:r>
      <w:r>
        <w:rPr/>
        <w:t>Calcutta industrial pollution: Groundwater arsenic contamination in a residential area and sufferings of people due to industrial effluent discharge-An eight-year study report. </w:t>
      </w:r>
      <w:r>
        <w:rPr>
          <w:i/>
        </w:rPr>
        <w:t>Current Journal of Science, </w:t>
      </w:r>
      <w:r>
        <w:rPr/>
        <w:t>74: 346-355.</w:t>
      </w:r>
    </w:p>
    <w:p>
      <w:pPr>
        <w:pStyle w:val="BodyText"/>
        <w:spacing w:line="357" w:lineRule="auto" w:before="202"/>
        <w:ind w:left="420" w:right="722"/>
        <w:jc w:val="both"/>
      </w:pPr>
      <w:r>
        <w:rPr/>
        <w:t>Centers for Disease Control and Prevention (2001). Managing Elevated Blood Lead Levels Among Young Children: Recommendations From the Advisory Committee on Childhood, Lead Poisoning Prevention. Atlanta.</w:t>
      </w:r>
    </w:p>
    <w:p>
      <w:pPr>
        <w:pStyle w:val="BodyText"/>
        <w:spacing w:line="360" w:lineRule="auto" w:before="207"/>
        <w:ind w:left="420" w:right="710"/>
        <w:jc w:val="both"/>
      </w:pPr>
      <w:r>
        <w:rPr/>
        <w:t>Christopher, A.E., Vincent, I., Grace, E., Rebecca, O. and Joseph, E. (2009). Distribution of heavy metals in bones, gills, livers and muscles of (Tilapia), </w:t>
      </w:r>
      <w:r>
        <w:rPr>
          <w:i/>
        </w:rPr>
        <w:t>Oreochromisniloticus </w:t>
      </w:r>
      <w:r>
        <w:rPr/>
        <w:t>from</w:t>
      </w:r>
      <w:r>
        <w:rPr>
          <w:spacing w:val="40"/>
        </w:rPr>
        <w:t> </w:t>
      </w:r>
      <w:r>
        <w:rPr/>
        <w:t>Henshaw Town Beach market in Calabar Nigeria. </w:t>
      </w:r>
      <w:r>
        <w:rPr>
          <w:i/>
        </w:rPr>
        <w:t>Journal of Nutrition</w:t>
      </w:r>
      <w:r>
        <w:rPr/>
        <w:t>, 8: 1209-1211.</w:t>
      </w:r>
    </w:p>
    <w:p>
      <w:pPr>
        <w:spacing w:line="360" w:lineRule="auto" w:before="199"/>
        <w:ind w:left="420" w:right="730" w:firstLine="0"/>
        <w:jc w:val="both"/>
        <w:rPr>
          <w:sz w:val="24"/>
        </w:rPr>
      </w:pPr>
      <w:r>
        <w:rPr>
          <w:sz w:val="24"/>
        </w:rPr>
        <w:t>Coleman, M. E., Elder, R. S. and Basu, P. (2002). Trace metals in edible tissues of</w:t>
      </w:r>
      <w:r>
        <w:rPr>
          <w:spacing w:val="-1"/>
          <w:sz w:val="24"/>
        </w:rPr>
        <w:t> </w:t>
      </w:r>
      <w:r>
        <w:rPr>
          <w:sz w:val="24"/>
        </w:rPr>
        <w:t>livestock and poultry. </w:t>
      </w:r>
      <w:r>
        <w:rPr>
          <w:i/>
          <w:sz w:val="24"/>
        </w:rPr>
        <w:t>Journal</w:t>
      </w:r>
      <w:r>
        <w:rPr>
          <w:i/>
          <w:spacing w:val="-2"/>
          <w:sz w:val="24"/>
        </w:rPr>
        <w:t> </w:t>
      </w:r>
      <w:r>
        <w:rPr>
          <w:i/>
          <w:sz w:val="24"/>
        </w:rPr>
        <w:t>of the</w:t>
      </w:r>
      <w:r>
        <w:rPr>
          <w:i/>
          <w:spacing w:val="-8"/>
          <w:sz w:val="24"/>
        </w:rPr>
        <w:t> </w:t>
      </w:r>
      <w:r>
        <w:rPr>
          <w:i/>
          <w:sz w:val="24"/>
        </w:rPr>
        <w:t>Association</w:t>
      </w:r>
      <w:r>
        <w:rPr>
          <w:i/>
          <w:spacing w:val="-2"/>
          <w:sz w:val="24"/>
        </w:rPr>
        <w:t> </w:t>
      </w:r>
      <w:r>
        <w:rPr>
          <w:i/>
          <w:sz w:val="24"/>
        </w:rPr>
        <w:t>of Official</w:t>
      </w:r>
      <w:r>
        <w:rPr>
          <w:i/>
          <w:spacing w:val="-6"/>
          <w:sz w:val="24"/>
        </w:rPr>
        <w:t> </w:t>
      </w:r>
      <w:r>
        <w:rPr>
          <w:i/>
          <w:sz w:val="24"/>
        </w:rPr>
        <w:t>Analytical</w:t>
      </w:r>
      <w:r>
        <w:rPr>
          <w:i/>
          <w:spacing w:val="-2"/>
          <w:sz w:val="24"/>
        </w:rPr>
        <w:t> </w:t>
      </w:r>
      <w:r>
        <w:rPr>
          <w:i/>
          <w:sz w:val="24"/>
        </w:rPr>
        <w:t>Chemists</w:t>
      </w:r>
      <w:r>
        <w:rPr>
          <w:i/>
          <w:spacing w:val="-4"/>
          <w:sz w:val="24"/>
        </w:rPr>
        <w:t> </w:t>
      </w:r>
      <w:r>
        <w:rPr>
          <w:i/>
          <w:sz w:val="24"/>
        </w:rPr>
        <w:t>International</w:t>
      </w:r>
      <w:r>
        <w:rPr>
          <w:sz w:val="24"/>
        </w:rPr>
        <w:t>, 75(4):</w:t>
      </w:r>
      <w:r>
        <w:rPr>
          <w:spacing w:val="-2"/>
          <w:sz w:val="24"/>
        </w:rPr>
        <w:t> </w:t>
      </w:r>
      <w:r>
        <w:rPr>
          <w:sz w:val="24"/>
        </w:rPr>
        <w:t>615-625.</w:t>
      </w:r>
    </w:p>
    <w:p>
      <w:pPr>
        <w:spacing w:line="355" w:lineRule="auto" w:before="204"/>
        <w:ind w:left="420" w:right="722" w:firstLine="0"/>
        <w:jc w:val="both"/>
        <w:rPr>
          <w:sz w:val="24"/>
        </w:rPr>
      </w:pPr>
      <w:r>
        <w:rPr>
          <w:sz w:val="24"/>
        </w:rPr>
        <w:t>Costa, D. (2000). Trace elements; Aluminum, Cadmium, Arsenic and Nickel. In: </w:t>
      </w:r>
      <w:r>
        <w:rPr>
          <w:i/>
          <w:sz w:val="24"/>
        </w:rPr>
        <w:t>Environmental Metal Toxicants, Human Exposure and their Health affect</w:t>
      </w:r>
      <w:r>
        <w:rPr>
          <w:sz w:val="24"/>
        </w:rPr>
        <w:t>, New York City. Pp 811-850.</w:t>
      </w:r>
    </w:p>
    <w:p>
      <w:pPr>
        <w:spacing w:line="357" w:lineRule="auto" w:before="211"/>
        <w:ind w:left="420" w:right="720" w:firstLine="0"/>
        <w:jc w:val="both"/>
        <w:rPr>
          <w:sz w:val="24"/>
        </w:rPr>
      </w:pPr>
      <w:r>
        <w:rPr>
          <w:sz w:val="24"/>
        </w:rPr>
        <w:t>Cui, N., Aycicek,, M., Kaplan, O. and Yaman, M. (2007). Effect of cadmium on germination, seedling growth and metal contents of sunflower (</w:t>
      </w:r>
      <w:r>
        <w:rPr>
          <w:i/>
          <w:sz w:val="24"/>
        </w:rPr>
        <w:t>Helianthus annus </w:t>
      </w:r>
      <w:r>
        <w:rPr>
          <w:sz w:val="24"/>
        </w:rPr>
        <w:t>L.). </w:t>
      </w:r>
      <w:r>
        <w:rPr>
          <w:i/>
          <w:sz w:val="24"/>
        </w:rPr>
        <w:t>Asian Journal of Chemistry, </w:t>
      </w:r>
      <w:r>
        <w:rPr>
          <w:sz w:val="24"/>
        </w:rPr>
        <w:t>20: 2663-2672.</w:t>
      </w:r>
    </w:p>
    <w:p>
      <w:pPr>
        <w:pStyle w:val="BodyText"/>
        <w:spacing w:line="360" w:lineRule="auto" w:before="206"/>
        <w:ind w:left="420" w:right="713"/>
        <w:jc w:val="both"/>
      </w:pPr>
      <w:r>
        <w:rPr/>
        <w:t>Dey, S., Dwivedi, K. and Swarup, D. (1997). Lead concentration in blood, milk and feed of lactating</w:t>
      </w:r>
      <w:r>
        <w:rPr>
          <w:spacing w:val="67"/>
          <w:w w:val="150"/>
        </w:rPr>
        <w:t> </w:t>
      </w:r>
      <w:r>
        <w:rPr/>
        <w:t>buffaloes</w:t>
      </w:r>
      <w:r>
        <w:rPr>
          <w:spacing w:val="67"/>
          <w:w w:val="150"/>
        </w:rPr>
        <w:t> </w:t>
      </w:r>
      <w:r>
        <w:rPr/>
        <w:t>after</w:t>
      </w:r>
      <w:r>
        <w:rPr>
          <w:spacing w:val="67"/>
          <w:w w:val="150"/>
        </w:rPr>
        <w:t> </w:t>
      </w:r>
      <w:r>
        <w:rPr/>
        <w:t>acute</w:t>
      </w:r>
      <w:r>
        <w:rPr>
          <w:spacing w:val="65"/>
          <w:w w:val="150"/>
        </w:rPr>
        <w:t> </w:t>
      </w:r>
      <w:r>
        <w:rPr/>
        <w:t>poisoning.</w:t>
      </w:r>
      <w:r>
        <w:rPr>
          <w:spacing w:val="74"/>
          <w:w w:val="150"/>
        </w:rPr>
        <w:t> </w:t>
      </w:r>
      <w:r>
        <w:rPr>
          <w:i/>
        </w:rPr>
        <w:t>Journal</w:t>
      </w:r>
      <w:r>
        <w:rPr>
          <w:i/>
          <w:spacing w:val="65"/>
          <w:w w:val="150"/>
        </w:rPr>
        <w:t> </w:t>
      </w:r>
      <w:r>
        <w:rPr>
          <w:i/>
        </w:rPr>
        <w:t>of</w:t>
      </w:r>
      <w:r>
        <w:rPr>
          <w:i/>
          <w:spacing w:val="71"/>
          <w:w w:val="150"/>
        </w:rPr>
        <w:t> </w:t>
      </w:r>
      <w:r>
        <w:rPr>
          <w:i/>
        </w:rPr>
        <w:t>Veterinary</w:t>
      </w:r>
      <w:r>
        <w:rPr>
          <w:i/>
          <w:spacing w:val="64"/>
          <w:w w:val="150"/>
        </w:rPr>
        <w:t> </w:t>
      </w:r>
      <w:r>
        <w:rPr>
          <w:i/>
        </w:rPr>
        <w:t>Records</w:t>
      </w:r>
      <w:r>
        <w:rPr/>
        <w:t>,</w:t>
      </w:r>
      <w:r>
        <w:rPr>
          <w:spacing w:val="68"/>
          <w:w w:val="150"/>
        </w:rPr>
        <w:t> </w:t>
      </w:r>
      <w:r>
        <w:rPr/>
        <w:t>138:</w:t>
      </w:r>
      <w:r>
        <w:rPr>
          <w:spacing w:val="66"/>
          <w:w w:val="150"/>
        </w:rPr>
        <w:t> </w:t>
      </w:r>
      <w:r>
        <w:rPr/>
        <w:t>336-</w:t>
      </w:r>
      <w:r>
        <w:rPr>
          <w:spacing w:val="-4"/>
        </w:rPr>
        <w:t>336.</w:t>
      </w:r>
    </w:p>
    <w:p>
      <w:pPr>
        <w:pStyle w:val="BodyText"/>
        <w:spacing w:line="355" w:lineRule="auto" w:before="263"/>
        <w:ind w:left="420" w:right="735"/>
        <w:jc w:val="both"/>
      </w:pPr>
      <w:r>
        <w:rPr/>
        <w:t>Dike, N. I., Ezealor, A. U. and Oniye, S. J. (2004). Concentrations of</w:t>
      </w:r>
      <w:r>
        <w:rPr>
          <w:spacing w:val="-3"/>
        </w:rPr>
        <w:t> </w:t>
      </w:r>
      <w:r>
        <w:rPr/>
        <w:t>Pb, Cu, Fe, and Cd during the dry season in river Jakau, Kano Nigeria</w:t>
      </w:r>
      <w:r>
        <w:rPr>
          <w:i/>
        </w:rPr>
        <w:t>. Journal of Chemclass</w:t>
      </w:r>
      <w:r>
        <w:rPr/>
        <w:t>, 1, 78-81</w:t>
      </w:r>
    </w:p>
    <w:p>
      <w:pPr>
        <w:pStyle w:val="BodyText"/>
        <w:spacing w:before="210"/>
        <w:ind w:left="420"/>
        <w:jc w:val="both"/>
      </w:pPr>
      <w:r>
        <w:rPr/>
        <w:t>Duda,</w:t>
      </w:r>
      <w:r>
        <w:rPr>
          <w:spacing w:val="42"/>
        </w:rPr>
        <w:t> </w:t>
      </w:r>
      <w:r>
        <w:rPr/>
        <w:t>K,.</w:t>
      </w:r>
      <w:r>
        <w:rPr>
          <w:spacing w:val="44"/>
        </w:rPr>
        <w:t> </w:t>
      </w:r>
      <w:r>
        <w:rPr/>
        <w:t>Blas,</w:t>
      </w:r>
      <w:r>
        <w:rPr>
          <w:spacing w:val="44"/>
        </w:rPr>
        <w:t> </w:t>
      </w:r>
      <w:r>
        <w:rPr/>
        <w:t>Z.</w:t>
      </w:r>
      <w:r>
        <w:rPr>
          <w:spacing w:val="45"/>
        </w:rPr>
        <w:t> </w:t>
      </w:r>
      <w:r>
        <w:rPr/>
        <w:t>and</w:t>
      </w:r>
      <w:r>
        <w:rPr>
          <w:spacing w:val="42"/>
        </w:rPr>
        <w:t> </w:t>
      </w:r>
      <w:r>
        <w:rPr/>
        <w:t>Christopher,</w:t>
      </w:r>
      <w:r>
        <w:rPr>
          <w:spacing w:val="44"/>
        </w:rPr>
        <w:t> </w:t>
      </w:r>
      <w:r>
        <w:rPr/>
        <w:t>Y.</w:t>
      </w:r>
      <w:r>
        <w:rPr>
          <w:spacing w:val="40"/>
        </w:rPr>
        <w:t> </w:t>
      </w:r>
      <w:r>
        <w:rPr/>
        <w:t>K.</w:t>
      </w:r>
      <w:r>
        <w:rPr>
          <w:spacing w:val="44"/>
        </w:rPr>
        <w:t> </w:t>
      </w:r>
      <w:r>
        <w:rPr/>
        <w:t>(2008).</w:t>
      </w:r>
      <w:r>
        <w:rPr>
          <w:spacing w:val="39"/>
        </w:rPr>
        <w:t> </w:t>
      </w:r>
      <w:r>
        <w:rPr/>
        <w:t>The</w:t>
      </w:r>
      <w:r>
        <w:rPr>
          <w:spacing w:val="42"/>
        </w:rPr>
        <w:t> </w:t>
      </w:r>
      <w:r>
        <w:rPr/>
        <w:t>Impact</w:t>
      </w:r>
      <w:r>
        <w:rPr>
          <w:spacing w:val="47"/>
        </w:rPr>
        <w:t> </w:t>
      </w:r>
      <w:r>
        <w:rPr/>
        <w:t>of</w:t>
      </w:r>
      <w:r>
        <w:rPr>
          <w:spacing w:val="34"/>
        </w:rPr>
        <w:t> </w:t>
      </w:r>
      <w:r>
        <w:rPr/>
        <w:t>Nickel</w:t>
      </w:r>
      <w:r>
        <w:rPr>
          <w:spacing w:val="39"/>
        </w:rPr>
        <w:t> </w:t>
      </w:r>
      <w:r>
        <w:rPr/>
        <w:t>on</w:t>
      </w:r>
      <w:r>
        <w:rPr>
          <w:spacing w:val="37"/>
        </w:rPr>
        <w:t> </w:t>
      </w:r>
      <w:r>
        <w:rPr/>
        <w:t>Human</w:t>
      </w:r>
      <w:r>
        <w:rPr>
          <w:spacing w:val="38"/>
        </w:rPr>
        <w:t> </w:t>
      </w:r>
      <w:r>
        <w:rPr>
          <w:spacing w:val="-2"/>
        </w:rPr>
        <w:t>Health.</w:t>
      </w:r>
    </w:p>
    <w:p>
      <w:pPr>
        <w:spacing w:before="132"/>
        <w:ind w:left="420" w:right="0" w:firstLine="0"/>
        <w:jc w:val="both"/>
        <w:rPr>
          <w:sz w:val="24"/>
        </w:rPr>
      </w:pPr>
      <w:r>
        <w:rPr>
          <w:i/>
          <w:sz w:val="24"/>
        </w:rPr>
        <w:t>Journal</w:t>
      </w:r>
      <w:r>
        <w:rPr>
          <w:i/>
          <w:spacing w:val="1"/>
          <w:sz w:val="24"/>
        </w:rPr>
        <w:t> </w:t>
      </w:r>
      <w:r>
        <w:rPr>
          <w:i/>
          <w:sz w:val="24"/>
        </w:rPr>
        <w:t>of</w:t>
      </w:r>
      <w:r>
        <w:rPr>
          <w:i/>
          <w:spacing w:val="1"/>
          <w:sz w:val="24"/>
        </w:rPr>
        <w:t> </w:t>
      </w:r>
      <w:r>
        <w:rPr>
          <w:i/>
          <w:sz w:val="24"/>
        </w:rPr>
        <w:t>Elementology</w:t>
      </w:r>
      <w:r>
        <w:rPr>
          <w:sz w:val="24"/>
        </w:rPr>
        <w:t>,</w:t>
      </w:r>
      <w:r>
        <w:rPr>
          <w:spacing w:val="-1"/>
          <w:sz w:val="24"/>
        </w:rPr>
        <w:t> </w:t>
      </w:r>
      <w:r>
        <w:rPr>
          <w:sz w:val="24"/>
        </w:rPr>
        <w:t>13,</w:t>
      </w:r>
      <w:r>
        <w:rPr>
          <w:spacing w:val="-1"/>
          <w:sz w:val="24"/>
        </w:rPr>
        <w:t> </w:t>
      </w:r>
      <w:r>
        <w:rPr>
          <w:sz w:val="24"/>
        </w:rPr>
        <w:t>685-</w:t>
      </w:r>
      <w:r>
        <w:rPr>
          <w:spacing w:val="-4"/>
          <w:sz w:val="24"/>
        </w:rPr>
        <w:t>696.</w:t>
      </w:r>
    </w:p>
    <w:p>
      <w:pPr>
        <w:pStyle w:val="BodyText"/>
        <w:spacing w:before="72"/>
      </w:pPr>
    </w:p>
    <w:p>
      <w:pPr>
        <w:pStyle w:val="BodyText"/>
        <w:spacing w:line="355" w:lineRule="auto"/>
        <w:ind w:left="420" w:right="711"/>
        <w:jc w:val="both"/>
      </w:pPr>
      <w:r>
        <w:rPr/>
        <w:t>Demirezen, </w:t>
      </w:r>
      <w:r>
        <w:rPr>
          <w:rFonts w:ascii="Calibri"/>
          <w:sz w:val="22"/>
        </w:rPr>
        <w:t>U., </w:t>
      </w:r>
      <w:r>
        <w:rPr/>
        <w:t>Dauda, C. and Aksoy, A. (2006). Heavy metal levels in vegetables in Turkey are within safe limits for Cu, Zn, Ni</w:t>
      </w:r>
      <w:r>
        <w:rPr>
          <w:spacing w:val="-6"/>
        </w:rPr>
        <w:t> </w:t>
      </w:r>
      <w:r>
        <w:rPr/>
        <w:t>and exceeded for Cd and Pb. </w:t>
      </w:r>
      <w:r>
        <w:rPr>
          <w:i/>
        </w:rPr>
        <w:t>Journal of Food Quality</w:t>
      </w:r>
      <w:r>
        <w:rPr/>
        <w:t>, 29, 252- </w:t>
      </w:r>
      <w:r>
        <w:rPr>
          <w:spacing w:val="-4"/>
        </w:rPr>
        <w:t>265.</w:t>
      </w:r>
    </w:p>
    <w:p>
      <w:pPr>
        <w:spacing w:after="0" w:line="355" w:lineRule="auto"/>
        <w:jc w:val="both"/>
        <w:sectPr>
          <w:pgSz w:w="12240" w:h="15840"/>
          <w:pgMar w:header="0" w:footer="1012" w:top="1360" w:bottom="1200" w:left="1020" w:right="720"/>
        </w:sectPr>
      </w:pPr>
    </w:p>
    <w:p>
      <w:pPr>
        <w:spacing w:line="355" w:lineRule="auto" w:before="72"/>
        <w:ind w:left="420" w:right="600" w:firstLine="0"/>
        <w:jc w:val="left"/>
        <w:rPr>
          <w:sz w:val="24"/>
        </w:rPr>
      </w:pPr>
      <w:r>
        <w:rPr>
          <w:sz w:val="24"/>
        </w:rPr>
        <w:t>Duruibe,</w:t>
      </w:r>
      <w:r>
        <w:rPr>
          <w:spacing w:val="39"/>
          <w:sz w:val="24"/>
        </w:rPr>
        <w:t> </w:t>
      </w:r>
      <w:r>
        <w:rPr>
          <w:sz w:val="24"/>
        </w:rPr>
        <w:t>J.,</w:t>
      </w:r>
      <w:r>
        <w:rPr>
          <w:spacing w:val="39"/>
          <w:sz w:val="24"/>
        </w:rPr>
        <w:t> </w:t>
      </w:r>
      <w:r>
        <w:rPr>
          <w:sz w:val="24"/>
        </w:rPr>
        <w:t>Ogwuebu,</w:t>
      </w:r>
      <w:r>
        <w:rPr>
          <w:spacing w:val="40"/>
          <w:sz w:val="24"/>
        </w:rPr>
        <w:t> </w:t>
      </w:r>
      <w:r>
        <w:rPr>
          <w:sz w:val="24"/>
        </w:rPr>
        <w:t>M.</w:t>
      </w:r>
      <w:r>
        <w:rPr>
          <w:spacing w:val="39"/>
          <w:sz w:val="24"/>
        </w:rPr>
        <w:t> </w:t>
      </w:r>
      <w:r>
        <w:rPr>
          <w:sz w:val="24"/>
        </w:rPr>
        <w:t>and</w:t>
      </w:r>
      <w:r>
        <w:rPr>
          <w:spacing w:val="37"/>
          <w:sz w:val="24"/>
        </w:rPr>
        <w:t> </w:t>
      </w:r>
      <w:r>
        <w:rPr>
          <w:sz w:val="24"/>
        </w:rPr>
        <w:t>Egwurugwu,</w:t>
      </w:r>
      <w:r>
        <w:rPr>
          <w:spacing w:val="39"/>
          <w:sz w:val="24"/>
        </w:rPr>
        <w:t> </w:t>
      </w:r>
      <w:r>
        <w:rPr>
          <w:sz w:val="24"/>
        </w:rPr>
        <w:t>J.</w:t>
      </w:r>
      <w:r>
        <w:rPr>
          <w:spacing w:val="40"/>
          <w:sz w:val="24"/>
        </w:rPr>
        <w:t> </w:t>
      </w:r>
      <w:r>
        <w:rPr>
          <w:sz w:val="24"/>
        </w:rPr>
        <w:t>N.</w:t>
      </w:r>
      <w:r>
        <w:rPr>
          <w:spacing w:val="39"/>
          <w:sz w:val="24"/>
        </w:rPr>
        <w:t> </w:t>
      </w:r>
      <w:r>
        <w:rPr>
          <w:sz w:val="24"/>
        </w:rPr>
        <w:t>(2007).</w:t>
      </w:r>
      <w:r>
        <w:rPr>
          <w:spacing w:val="39"/>
          <w:sz w:val="24"/>
        </w:rPr>
        <w:t> </w:t>
      </w:r>
      <w:r>
        <w:rPr>
          <w:sz w:val="24"/>
        </w:rPr>
        <w:t>Heavy</w:t>
      </w:r>
      <w:r>
        <w:rPr>
          <w:spacing w:val="37"/>
          <w:sz w:val="24"/>
        </w:rPr>
        <w:t> </w:t>
      </w:r>
      <w:r>
        <w:rPr>
          <w:sz w:val="24"/>
        </w:rPr>
        <w:t>metal</w:t>
      </w:r>
      <w:r>
        <w:rPr>
          <w:spacing w:val="33"/>
          <w:sz w:val="24"/>
        </w:rPr>
        <w:t> </w:t>
      </w:r>
      <w:r>
        <w:rPr>
          <w:sz w:val="24"/>
        </w:rPr>
        <w:t>pollution</w:t>
      </w:r>
      <w:r>
        <w:rPr>
          <w:spacing w:val="37"/>
          <w:sz w:val="24"/>
        </w:rPr>
        <w:t> </w:t>
      </w:r>
      <w:r>
        <w:rPr>
          <w:sz w:val="24"/>
        </w:rPr>
        <w:t>and</w:t>
      </w:r>
      <w:r>
        <w:rPr>
          <w:spacing w:val="40"/>
          <w:sz w:val="24"/>
        </w:rPr>
        <w:t> </w:t>
      </w:r>
      <w:r>
        <w:rPr>
          <w:sz w:val="24"/>
        </w:rPr>
        <w:t>human biotoxic effects. </w:t>
      </w:r>
      <w:r>
        <w:rPr>
          <w:i/>
          <w:sz w:val="24"/>
        </w:rPr>
        <w:t>International Journal of Physical Sciences</w:t>
      </w:r>
      <w:r>
        <w:rPr>
          <w:sz w:val="24"/>
        </w:rPr>
        <w:t>, (5):112-118.</w:t>
      </w:r>
    </w:p>
    <w:p>
      <w:pPr>
        <w:spacing w:line="360" w:lineRule="auto" w:before="211"/>
        <w:ind w:left="420" w:right="0" w:firstLine="0"/>
        <w:jc w:val="left"/>
        <w:rPr>
          <w:sz w:val="24"/>
        </w:rPr>
      </w:pPr>
      <w:r>
        <w:rPr>
          <w:sz w:val="24"/>
        </w:rPr>
        <w:t>Eddy,</w:t>
      </w:r>
      <w:r>
        <w:rPr>
          <w:spacing w:val="30"/>
          <w:sz w:val="24"/>
        </w:rPr>
        <w:t> </w:t>
      </w:r>
      <w:r>
        <w:rPr>
          <w:sz w:val="24"/>
        </w:rPr>
        <w:t>N.O.,</w:t>
      </w:r>
      <w:r>
        <w:rPr>
          <w:spacing w:val="29"/>
          <w:sz w:val="24"/>
        </w:rPr>
        <w:t> </w:t>
      </w:r>
      <w:r>
        <w:rPr>
          <w:sz w:val="24"/>
        </w:rPr>
        <w:t>Odoemelem,</w:t>
      </w:r>
      <w:r>
        <w:rPr>
          <w:spacing w:val="29"/>
          <w:sz w:val="24"/>
        </w:rPr>
        <w:t> </w:t>
      </w:r>
      <w:r>
        <w:rPr>
          <w:sz w:val="24"/>
        </w:rPr>
        <w:t>S.A.</w:t>
      </w:r>
      <w:r>
        <w:rPr>
          <w:spacing w:val="29"/>
          <w:sz w:val="24"/>
        </w:rPr>
        <w:t> </w:t>
      </w:r>
      <w:r>
        <w:rPr>
          <w:sz w:val="24"/>
        </w:rPr>
        <w:t>and</w:t>
      </w:r>
      <w:r>
        <w:rPr>
          <w:spacing w:val="27"/>
          <w:sz w:val="24"/>
        </w:rPr>
        <w:t> </w:t>
      </w:r>
      <w:r>
        <w:rPr>
          <w:sz w:val="24"/>
        </w:rPr>
        <w:t>Mbaba,</w:t>
      </w:r>
      <w:r>
        <w:rPr>
          <w:spacing w:val="33"/>
          <w:sz w:val="24"/>
        </w:rPr>
        <w:t> </w:t>
      </w:r>
      <w:r>
        <w:rPr>
          <w:sz w:val="24"/>
        </w:rPr>
        <w:t>A.</w:t>
      </w:r>
      <w:r>
        <w:rPr>
          <w:spacing w:val="29"/>
          <w:sz w:val="24"/>
        </w:rPr>
        <w:t> </w:t>
      </w:r>
      <w:r>
        <w:rPr>
          <w:sz w:val="24"/>
        </w:rPr>
        <w:t>(2006).</w:t>
      </w:r>
      <w:r>
        <w:rPr>
          <w:spacing w:val="29"/>
          <w:sz w:val="24"/>
        </w:rPr>
        <w:t> </w:t>
      </w:r>
      <w:r>
        <w:rPr>
          <w:sz w:val="24"/>
        </w:rPr>
        <w:t>Elemental composition</w:t>
      </w:r>
      <w:r>
        <w:rPr>
          <w:spacing w:val="27"/>
          <w:sz w:val="24"/>
        </w:rPr>
        <w:t> </w:t>
      </w:r>
      <w:r>
        <w:rPr>
          <w:sz w:val="24"/>
        </w:rPr>
        <w:t>of</w:t>
      </w:r>
      <w:r>
        <w:rPr>
          <w:spacing w:val="24"/>
          <w:sz w:val="24"/>
        </w:rPr>
        <w:t> </w:t>
      </w:r>
      <w:r>
        <w:rPr>
          <w:sz w:val="24"/>
        </w:rPr>
        <w:t>soil</w:t>
      </w:r>
      <w:r>
        <w:rPr>
          <w:spacing w:val="27"/>
          <w:sz w:val="24"/>
        </w:rPr>
        <w:t> </w:t>
      </w:r>
      <w:r>
        <w:rPr>
          <w:sz w:val="24"/>
        </w:rPr>
        <w:t>in</w:t>
      </w:r>
      <w:r>
        <w:rPr>
          <w:spacing w:val="31"/>
          <w:sz w:val="24"/>
        </w:rPr>
        <w:t> </w:t>
      </w:r>
      <w:r>
        <w:rPr>
          <w:sz w:val="24"/>
        </w:rPr>
        <w:t>some dumpsites. </w:t>
      </w:r>
      <w:r>
        <w:rPr>
          <w:i/>
          <w:sz w:val="24"/>
        </w:rPr>
        <w:t>Journal of Environmental Agricultural Food Chemistry, </w:t>
      </w:r>
      <w:r>
        <w:rPr>
          <w:sz w:val="24"/>
        </w:rPr>
        <w:t>5, 1349-1365.</w:t>
      </w:r>
    </w:p>
    <w:p>
      <w:pPr>
        <w:pStyle w:val="BodyText"/>
        <w:spacing w:before="139"/>
      </w:pPr>
    </w:p>
    <w:p>
      <w:pPr>
        <w:spacing w:line="357" w:lineRule="auto" w:before="0"/>
        <w:ind w:left="420" w:right="837" w:firstLine="0"/>
        <w:jc w:val="left"/>
        <w:rPr>
          <w:sz w:val="24"/>
        </w:rPr>
      </w:pPr>
      <w:r>
        <w:rPr>
          <w:sz w:val="24"/>
        </w:rPr>
        <w:t>Endale, M. (2014). Evaluating the Effects of Fertilizers on Bioavailable Metallic Pollution of soils,</w:t>
      </w:r>
      <w:r>
        <w:rPr>
          <w:spacing w:val="-1"/>
          <w:sz w:val="24"/>
        </w:rPr>
        <w:t> </w:t>
      </w:r>
      <w:r>
        <w:rPr>
          <w:sz w:val="24"/>
        </w:rPr>
        <w:t>Case</w:t>
      </w:r>
      <w:r>
        <w:rPr>
          <w:spacing w:val="-4"/>
          <w:sz w:val="24"/>
        </w:rPr>
        <w:t> </w:t>
      </w:r>
      <w:r>
        <w:rPr>
          <w:sz w:val="24"/>
        </w:rPr>
        <w:t>study</w:t>
      </w:r>
      <w:r>
        <w:rPr>
          <w:spacing w:val="-12"/>
          <w:sz w:val="24"/>
        </w:rPr>
        <w:t> </w:t>
      </w:r>
      <w:r>
        <w:rPr>
          <w:sz w:val="24"/>
        </w:rPr>
        <w:t>of</w:t>
      </w:r>
      <w:r>
        <w:rPr>
          <w:spacing w:val="-10"/>
          <w:sz w:val="24"/>
        </w:rPr>
        <w:t> </w:t>
      </w:r>
      <w:r>
        <w:rPr>
          <w:sz w:val="24"/>
        </w:rPr>
        <w:t>Sistan</w:t>
      </w:r>
      <w:r>
        <w:rPr>
          <w:spacing w:val="-3"/>
          <w:sz w:val="24"/>
        </w:rPr>
        <w:t> </w:t>
      </w:r>
      <w:r>
        <w:rPr>
          <w:sz w:val="24"/>
        </w:rPr>
        <w:t>farms,</w:t>
      </w:r>
      <w:r>
        <w:rPr>
          <w:spacing w:val="-1"/>
          <w:sz w:val="24"/>
        </w:rPr>
        <w:t> </w:t>
      </w:r>
      <w:r>
        <w:rPr>
          <w:sz w:val="24"/>
        </w:rPr>
        <w:t>Iran. </w:t>
      </w:r>
      <w:r>
        <w:rPr>
          <w:i/>
          <w:sz w:val="24"/>
        </w:rPr>
        <w:t>International</w:t>
      </w:r>
      <w:r>
        <w:rPr>
          <w:i/>
          <w:spacing w:val="-3"/>
          <w:sz w:val="24"/>
        </w:rPr>
        <w:t> </w:t>
      </w:r>
      <w:r>
        <w:rPr>
          <w:i/>
          <w:sz w:val="24"/>
        </w:rPr>
        <w:t>Journal</w:t>
      </w:r>
      <w:r>
        <w:rPr>
          <w:i/>
          <w:spacing w:val="-3"/>
          <w:sz w:val="24"/>
        </w:rPr>
        <w:t> </w:t>
      </w:r>
      <w:r>
        <w:rPr>
          <w:i/>
          <w:sz w:val="24"/>
        </w:rPr>
        <w:t>of</w:t>
      </w:r>
      <w:r>
        <w:rPr>
          <w:i/>
          <w:spacing w:val="-3"/>
          <w:sz w:val="24"/>
        </w:rPr>
        <w:t> </w:t>
      </w:r>
      <w:r>
        <w:rPr>
          <w:i/>
          <w:sz w:val="24"/>
        </w:rPr>
        <w:t>Environmental</w:t>
      </w:r>
      <w:r>
        <w:rPr>
          <w:i/>
          <w:spacing w:val="-3"/>
          <w:sz w:val="24"/>
        </w:rPr>
        <w:t> </w:t>
      </w:r>
      <w:r>
        <w:rPr>
          <w:i/>
          <w:sz w:val="24"/>
        </w:rPr>
        <w:t>Resources</w:t>
      </w:r>
      <w:r>
        <w:rPr>
          <w:sz w:val="24"/>
        </w:rPr>
        <w:t>,</w:t>
      </w:r>
      <w:r>
        <w:rPr>
          <w:spacing w:val="-1"/>
          <w:sz w:val="24"/>
        </w:rPr>
        <w:t> </w:t>
      </w:r>
      <w:r>
        <w:rPr>
          <w:sz w:val="24"/>
        </w:rPr>
        <w:t>6</w:t>
      </w:r>
      <w:r>
        <w:rPr>
          <w:spacing w:val="-3"/>
          <w:sz w:val="24"/>
        </w:rPr>
        <w:t> </w:t>
      </w:r>
      <w:r>
        <w:rPr>
          <w:sz w:val="24"/>
        </w:rPr>
        <w:t>(2), </w:t>
      </w:r>
      <w:r>
        <w:rPr>
          <w:spacing w:val="-2"/>
          <w:sz w:val="24"/>
        </w:rPr>
        <w:t>565-570.</w:t>
      </w:r>
    </w:p>
    <w:p>
      <w:pPr>
        <w:pStyle w:val="BodyText"/>
        <w:spacing w:line="362" w:lineRule="auto" w:before="207"/>
        <w:ind w:left="420" w:right="852"/>
        <w:rPr>
          <w:rFonts w:ascii="Calibri" w:hAnsi="Calibri"/>
          <w:sz w:val="22"/>
        </w:rPr>
      </w:pPr>
      <w:r>
        <w:rPr/>
        <w:t>Emoyan, D. P., Machát, J., Szkandera, R. and Dočekalová, H. (2008). In situ Measurement of Bioavailable Metal Concentrations at the Downstream on the Benue River using Transplanted Aquatic mosses</w:t>
      </w:r>
      <w:r>
        <w:rPr>
          <w:spacing w:val="-6"/>
        </w:rPr>
        <w:t> </w:t>
      </w:r>
      <w:r>
        <w:rPr/>
        <w:t>and</w:t>
      </w:r>
      <w:r>
        <w:rPr>
          <w:spacing w:val="-4"/>
        </w:rPr>
        <w:t> </w:t>
      </w:r>
      <w:r>
        <w:rPr/>
        <w:t>DGT</w:t>
      </w:r>
      <w:r>
        <w:rPr>
          <w:spacing w:val="-2"/>
        </w:rPr>
        <w:t> </w:t>
      </w:r>
      <w:r>
        <w:rPr/>
        <w:t>Technique. </w:t>
      </w:r>
      <w:r>
        <w:rPr>
          <w:i/>
        </w:rPr>
        <w:t>International</w:t>
      </w:r>
      <w:r>
        <w:rPr>
          <w:i/>
          <w:spacing w:val="40"/>
        </w:rPr>
        <w:t> </w:t>
      </w:r>
      <w:r>
        <w:rPr>
          <w:i/>
        </w:rPr>
        <w:t>Journal</w:t>
      </w:r>
      <w:r>
        <w:rPr>
          <w:i/>
          <w:spacing w:val="-4"/>
        </w:rPr>
        <w:t> </w:t>
      </w:r>
      <w:r>
        <w:rPr>
          <w:i/>
        </w:rPr>
        <w:t>of</w:t>
      </w:r>
      <w:r>
        <w:rPr>
          <w:i/>
          <w:spacing w:val="-4"/>
        </w:rPr>
        <w:t> </w:t>
      </w:r>
      <w:r>
        <w:rPr>
          <w:i/>
        </w:rPr>
        <w:t>Environmental</w:t>
      </w:r>
      <w:r>
        <w:rPr>
          <w:i/>
          <w:spacing w:val="-8"/>
        </w:rPr>
        <w:t> </w:t>
      </w:r>
      <w:r>
        <w:rPr>
          <w:i/>
        </w:rPr>
        <w:t>Resources</w:t>
      </w:r>
      <w:r>
        <w:rPr/>
        <w:t>,</w:t>
      </w:r>
      <w:r>
        <w:rPr>
          <w:spacing w:val="-2"/>
        </w:rPr>
        <w:t> </w:t>
      </w:r>
      <w:r>
        <w:rPr/>
        <w:t>6</w:t>
      </w:r>
      <w:r>
        <w:rPr>
          <w:spacing w:val="-4"/>
        </w:rPr>
        <w:t> </w:t>
      </w:r>
      <w:r>
        <w:rPr/>
        <w:t>(1), </w:t>
      </w:r>
      <w:r>
        <w:rPr>
          <w:spacing w:val="-2"/>
        </w:rPr>
        <w:t>87-94</w:t>
      </w:r>
      <w:r>
        <w:rPr>
          <w:rFonts w:ascii="Calibri" w:hAnsi="Calibri"/>
          <w:spacing w:val="-2"/>
          <w:sz w:val="22"/>
        </w:rPr>
        <w:t>.</w:t>
      </w:r>
    </w:p>
    <w:p>
      <w:pPr>
        <w:pStyle w:val="BodyText"/>
        <w:spacing w:line="360" w:lineRule="auto" w:before="189"/>
        <w:ind w:left="420" w:right="600"/>
      </w:pPr>
      <w:r>
        <w:rPr/>
        <w:t>European</w:t>
      </w:r>
      <w:r>
        <w:rPr>
          <w:spacing w:val="-6"/>
        </w:rPr>
        <w:t> </w:t>
      </w:r>
      <w:r>
        <w:rPr/>
        <w:t>Commission</w:t>
      </w:r>
      <w:r>
        <w:rPr>
          <w:spacing w:val="-6"/>
        </w:rPr>
        <w:t> </w:t>
      </w:r>
      <w:r>
        <w:rPr/>
        <w:t>(2007). Opinion</w:t>
      </w:r>
      <w:r>
        <w:rPr>
          <w:spacing w:val="-6"/>
        </w:rPr>
        <w:t> </w:t>
      </w:r>
      <w:r>
        <w:rPr/>
        <w:t>of</w:t>
      </w:r>
      <w:r>
        <w:rPr>
          <w:spacing w:val="-9"/>
        </w:rPr>
        <w:t> </w:t>
      </w:r>
      <w:r>
        <w:rPr/>
        <w:t>the</w:t>
      </w:r>
      <w:r>
        <w:rPr>
          <w:spacing w:val="-2"/>
        </w:rPr>
        <w:t> </w:t>
      </w:r>
      <w:r>
        <w:rPr/>
        <w:t>scientific</w:t>
      </w:r>
      <w:r>
        <w:rPr>
          <w:spacing w:val="-2"/>
        </w:rPr>
        <w:t> </w:t>
      </w:r>
      <w:r>
        <w:rPr/>
        <w:t>committee</w:t>
      </w:r>
      <w:r>
        <w:rPr>
          <w:spacing w:val="-7"/>
        </w:rPr>
        <w:t> </w:t>
      </w:r>
      <w:r>
        <w:rPr/>
        <w:t>on</w:t>
      </w:r>
      <w:r>
        <w:rPr>
          <w:spacing w:val="-6"/>
        </w:rPr>
        <w:t> </w:t>
      </w:r>
      <w:r>
        <w:rPr/>
        <w:t>animal</w:t>
      </w:r>
      <w:r>
        <w:rPr>
          <w:spacing w:val="-1"/>
        </w:rPr>
        <w:t> </w:t>
      </w:r>
      <w:r>
        <w:rPr/>
        <w:t>nutrition</w:t>
      </w:r>
      <w:r>
        <w:rPr>
          <w:spacing w:val="-6"/>
        </w:rPr>
        <w:t> </w:t>
      </w:r>
      <w:r>
        <w:rPr/>
        <w:t>on</w:t>
      </w:r>
      <w:r>
        <w:rPr>
          <w:spacing w:val="-6"/>
        </w:rPr>
        <w:t> </w:t>
      </w:r>
      <w:r>
        <w:rPr/>
        <w:t>the</w:t>
      </w:r>
      <w:r>
        <w:rPr>
          <w:spacing w:val="-2"/>
        </w:rPr>
        <w:t> </w:t>
      </w:r>
      <w:r>
        <w:rPr/>
        <w:t>use of zinc in feedstuffs. European Commission, Health and Consumer Protection Directorate, Brussels, Belgium..</w:t>
      </w:r>
    </w:p>
    <w:p>
      <w:pPr>
        <w:pStyle w:val="BodyText"/>
        <w:spacing w:line="357" w:lineRule="auto" w:before="203"/>
        <w:ind w:left="420" w:right="722"/>
        <w:jc w:val="both"/>
      </w:pPr>
      <w:r>
        <w:rPr/>
        <w:t>European</w:t>
      </w:r>
      <w:r>
        <w:rPr>
          <w:spacing w:val="-5"/>
        </w:rPr>
        <w:t> </w:t>
      </w:r>
      <w:r>
        <w:rPr/>
        <w:t>Commission</w:t>
      </w:r>
      <w:r>
        <w:rPr>
          <w:spacing w:val="-5"/>
        </w:rPr>
        <w:t> </w:t>
      </w:r>
      <w:r>
        <w:rPr/>
        <w:t>(2007). Opinion</w:t>
      </w:r>
      <w:r>
        <w:rPr>
          <w:spacing w:val="-5"/>
        </w:rPr>
        <w:t> </w:t>
      </w:r>
      <w:r>
        <w:rPr/>
        <w:t>of</w:t>
      </w:r>
      <w:r>
        <w:rPr>
          <w:spacing w:val="-8"/>
        </w:rPr>
        <w:t> </w:t>
      </w:r>
      <w:r>
        <w:rPr/>
        <w:t>the</w:t>
      </w:r>
      <w:r>
        <w:rPr>
          <w:spacing w:val="-2"/>
        </w:rPr>
        <w:t> </w:t>
      </w:r>
      <w:r>
        <w:rPr/>
        <w:t>scientific</w:t>
      </w:r>
      <w:r>
        <w:rPr>
          <w:spacing w:val="-2"/>
        </w:rPr>
        <w:t> </w:t>
      </w:r>
      <w:r>
        <w:rPr/>
        <w:t>committee</w:t>
      </w:r>
      <w:r>
        <w:rPr>
          <w:spacing w:val="-2"/>
        </w:rPr>
        <w:t> </w:t>
      </w:r>
      <w:r>
        <w:rPr/>
        <w:t>on</w:t>
      </w:r>
      <w:r>
        <w:rPr>
          <w:spacing w:val="-5"/>
        </w:rPr>
        <w:t> </w:t>
      </w:r>
      <w:r>
        <w:rPr/>
        <w:t>animal</w:t>
      </w:r>
      <w:r>
        <w:rPr>
          <w:spacing w:val="-1"/>
        </w:rPr>
        <w:t> </w:t>
      </w:r>
      <w:r>
        <w:rPr/>
        <w:t>nutrition</w:t>
      </w:r>
      <w:r>
        <w:rPr>
          <w:spacing w:val="-5"/>
        </w:rPr>
        <w:t> </w:t>
      </w:r>
      <w:r>
        <w:rPr/>
        <w:t>on</w:t>
      </w:r>
      <w:r>
        <w:rPr>
          <w:spacing w:val="-5"/>
        </w:rPr>
        <w:t> </w:t>
      </w:r>
      <w:r>
        <w:rPr/>
        <w:t>the</w:t>
      </w:r>
      <w:r>
        <w:rPr>
          <w:spacing w:val="-2"/>
        </w:rPr>
        <w:t> </w:t>
      </w:r>
      <w:r>
        <w:rPr/>
        <w:t>use of copper in feedstuffs. European Commission, Health and Consumer Protection Directorate, Brussels, Belgium.</w:t>
      </w:r>
    </w:p>
    <w:p>
      <w:pPr>
        <w:pStyle w:val="BodyText"/>
        <w:spacing w:line="360" w:lineRule="auto" w:before="207"/>
        <w:ind w:left="420" w:right="714"/>
        <w:jc w:val="both"/>
      </w:pPr>
      <w:r>
        <w:rPr/>
        <w:t>European Commission (2007). Opinion of the scientific committee on animal nutrition on undesirable substances in feed. European Commission, Health and Consumer Protection Directorate, Brussels, Belgium.</w:t>
      </w:r>
    </w:p>
    <w:p>
      <w:pPr>
        <w:pStyle w:val="BodyText"/>
        <w:spacing w:line="357" w:lineRule="auto" w:before="204"/>
        <w:ind w:left="420" w:right="712"/>
        <w:jc w:val="both"/>
      </w:pPr>
      <w:r>
        <w:rPr/>
        <w:t>European</w:t>
      </w:r>
      <w:r>
        <w:rPr>
          <w:spacing w:val="-1"/>
        </w:rPr>
        <w:t> </w:t>
      </w:r>
      <w:r>
        <w:rPr/>
        <w:t>Commission</w:t>
      </w:r>
      <w:r>
        <w:rPr>
          <w:spacing w:val="-1"/>
        </w:rPr>
        <w:t> </w:t>
      </w:r>
      <w:r>
        <w:rPr/>
        <w:t>(2003)). Health</w:t>
      </w:r>
      <w:r>
        <w:rPr>
          <w:spacing w:val="-1"/>
        </w:rPr>
        <w:t> </w:t>
      </w:r>
      <w:r>
        <w:rPr/>
        <w:t>and Consumer Protection</w:t>
      </w:r>
      <w:r>
        <w:rPr>
          <w:spacing w:val="-1"/>
        </w:rPr>
        <w:t> </w:t>
      </w:r>
      <w:r>
        <w:rPr/>
        <w:t>Directorate - General, Belgium Opinion of the Scientific Committee on Animal Nutrition on Undesirable Substances in Feed </w:t>
      </w:r>
      <w:hyperlink r:id="rId101">
        <w:r>
          <w:rPr/>
          <w:t>http://ec.europa.eu/food/fs/sc/scan/out126_bis_en.pdf,</w:t>
        </w:r>
      </w:hyperlink>
      <w:r>
        <w:rPr/>
        <w:t> retrieved 10-04-2015.</w:t>
      </w:r>
    </w:p>
    <w:p>
      <w:pPr>
        <w:pStyle w:val="BodyText"/>
        <w:spacing w:line="357" w:lineRule="auto" w:before="206"/>
        <w:ind w:left="420" w:right="722"/>
        <w:jc w:val="both"/>
      </w:pPr>
      <w:r>
        <w:rPr/>
        <w:t>Food and Agriculture Organization (FAO, 2006). Integrated fish farming in China. Technical Manual 7. A World Food Day Publication of the Network of Agriculture Centre in Asia and the Pacific, Bangkok, Thailand, pp: 1-278.</w:t>
      </w:r>
    </w:p>
    <w:p>
      <w:pPr>
        <w:spacing w:after="0" w:line="357" w:lineRule="auto"/>
        <w:jc w:val="both"/>
        <w:sectPr>
          <w:pgSz w:w="12240" w:h="15840"/>
          <w:pgMar w:header="0" w:footer="1012" w:top="1360" w:bottom="1200" w:left="1020" w:right="720"/>
        </w:sectPr>
      </w:pPr>
    </w:p>
    <w:p>
      <w:pPr>
        <w:pStyle w:val="BodyText"/>
        <w:spacing w:line="357" w:lineRule="auto" w:before="72"/>
        <w:ind w:left="420" w:right="712"/>
        <w:jc w:val="both"/>
      </w:pPr>
      <w:r>
        <w:rPr/>
        <w:t>Food and Agriculture Organization (FAO, 2012). Report on the workshop on research needs in sustaining</w:t>
      </w:r>
      <w:r>
        <w:rPr>
          <w:spacing w:val="-1"/>
        </w:rPr>
        <w:t> </w:t>
      </w:r>
      <w:r>
        <w:rPr/>
        <w:t>the</w:t>
      </w:r>
      <w:r>
        <w:rPr>
          <w:spacing w:val="-2"/>
        </w:rPr>
        <w:t> </w:t>
      </w:r>
      <w:r>
        <w:rPr/>
        <w:t>agriculture</w:t>
      </w:r>
      <w:r>
        <w:rPr>
          <w:spacing w:val="-2"/>
        </w:rPr>
        <w:t> </w:t>
      </w:r>
      <w:r>
        <w:rPr/>
        <w:t>sector</w:t>
      </w:r>
      <w:r>
        <w:rPr>
          <w:spacing w:val="-4"/>
        </w:rPr>
        <w:t> </w:t>
      </w:r>
      <w:r>
        <w:rPr/>
        <w:t>in</w:t>
      </w:r>
      <w:r>
        <w:rPr>
          <w:spacing w:val="-1"/>
        </w:rPr>
        <w:t> </w:t>
      </w:r>
      <w:r>
        <w:rPr/>
        <w:t>Africa</w:t>
      </w:r>
      <w:r>
        <w:rPr>
          <w:spacing w:val="-2"/>
        </w:rPr>
        <w:t> </w:t>
      </w:r>
      <w:r>
        <w:rPr/>
        <w:t>to Year</w:t>
      </w:r>
      <w:r>
        <w:rPr>
          <w:spacing w:val="-9"/>
        </w:rPr>
        <w:t> </w:t>
      </w:r>
      <w:r>
        <w:rPr/>
        <w:t>2025</w:t>
      </w:r>
      <w:r>
        <w:rPr>
          <w:spacing w:val="-1"/>
        </w:rPr>
        <w:t> </w:t>
      </w:r>
      <w:r>
        <w:rPr/>
        <w:t>and</w:t>
      </w:r>
      <w:r>
        <w:rPr>
          <w:spacing w:val="-1"/>
        </w:rPr>
        <w:t> </w:t>
      </w:r>
      <w:r>
        <w:rPr/>
        <w:t>beyond, 4-7th</w:t>
      </w:r>
      <w:r>
        <w:rPr>
          <w:spacing w:val="-5"/>
        </w:rPr>
        <w:t> </w:t>
      </w:r>
      <w:r>
        <w:rPr/>
        <w:t>June</w:t>
      </w:r>
      <w:r>
        <w:rPr>
          <w:spacing w:val="-2"/>
        </w:rPr>
        <w:t> </w:t>
      </w:r>
      <w:r>
        <w:rPr/>
        <w:t>2012. Network</w:t>
      </w:r>
      <w:r>
        <w:rPr>
          <w:spacing w:val="-6"/>
        </w:rPr>
        <w:t> </w:t>
      </w:r>
      <w:r>
        <w:rPr/>
        <w:t>of Agricultural Centres in Africa and Asia, Nigeria. pp: 10.</w:t>
      </w:r>
    </w:p>
    <w:p>
      <w:pPr>
        <w:spacing w:line="360" w:lineRule="auto" w:before="207"/>
        <w:ind w:left="420" w:right="715" w:firstLine="0"/>
        <w:jc w:val="both"/>
        <w:rPr>
          <w:sz w:val="24"/>
        </w:rPr>
      </w:pPr>
      <w:r>
        <w:rPr>
          <w:sz w:val="24"/>
        </w:rPr>
        <w:t>Fatoki, O. S. (2000). Toxic elements in</w:t>
      </w:r>
      <w:r>
        <w:rPr>
          <w:spacing w:val="-6"/>
          <w:sz w:val="24"/>
        </w:rPr>
        <w:t> </w:t>
      </w:r>
      <w:r>
        <w:rPr>
          <w:sz w:val="24"/>
        </w:rPr>
        <w:t>road</w:t>
      </w:r>
      <w:r>
        <w:rPr>
          <w:spacing w:val="-1"/>
          <w:sz w:val="24"/>
        </w:rPr>
        <w:t> </w:t>
      </w:r>
      <w:r>
        <w:rPr>
          <w:sz w:val="24"/>
        </w:rPr>
        <w:t>side vegetation</w:t>
      </w:r>
      <w:r>
        <w:rPr>
          <w:spacing w:val="-1"/>
          <w:sz w:val="24"/>
        </w:rPr>
        <w:t> </w:t>
      </w:r>
      <w:r>
        <w:rPr>
          <w:sz w:val="24"/>
        </w:rPr>
        <w:t>and</w:t>
      </w:r>
      <w:r>
        <w:rPr>
          <w:spacing w:val="-1"/>
          <w:sz w:val="24"/>
        </w:rPr>
        <w:t> </w:t>
      </w:r>
      <w:r>
        <w:rPr>
          <w:sz w:val="24"/>
        </w:rPr>
        <w:t>surface soils: A</w:t>
      </w:r>
      <w:r>
        <w:rPr>
          <w:spacing w:val="-2"/>
          <w:sz w:val="24"/>
        </w:rPr>
        <w:t> </w:t>
      </w:r>
      <w:r>
        <w:rPr>
          <w:sz w:val="24"/>
        </w:rPr>
        <w:t>measurement of local atmospheric pollution in Alice, South Africa. </w:t>
      </w:r>
      <w:r>
        <w:rPr>
          <w:i/>
          <w:sz w:val="24"/>
        </w:rPr>
        <w:t>International Journal of Environmental Studies, </w:t>
      </w:r>
      <w:r>
        <w:rPr>
          <w:sz w:val="24"/>
        </w:rPr>
        <w:t>57(3), 501-513.</w:t>
      </w:r>
    </w:p>
    <w:p>
      <w:pPr>
        <w:pStyle w:val="BodyText"/>
        <w:spacing w:line="355" w:lineRule="auto" w:before="203"/>
        <w:ind w:left="420" w:right="728"/>
        <w:jc w:val="both"/>
      </w:pPr>
      <w:r>
        <w:rPr/>
        <w:t>Finster,</w:t>
      </w:r>
      <w:r>
        <w:rPr>
          <w:spacing w:val="-1"/>
        </w:rPr>
        <w:t> </w:t>
      </w:r>
      <w:r>
        <w:rPr/>
        <w:t>M.</w:t>
      </w:r>
      <w:r>
        <w:rPr>
          <w:spacing w:val="-5"/>
        </w:rPr>
        <w:t> </w:t>
      </w:r>
      <w:r>
        <w:rPr/>
        <w:t>E.,</w:t>
      </w:r>
      <w:r>
        <w:rPr>
          <w:spacing w:val="-5"/>
        </w:rPr>
        <w:t> </w:t>
      </w:r>
      <w:r>
        <w:rPr/>
        <w:t>Gray,</w:t>
      </w:r>
      <w:r>
        <w:rPr>
          <w:spacing w:val="-1"/>
        </w:rPr>
        <w:t> </w:t>
      </w:r>
      <w:r>
        <w:rPr/>
        <w:t>K.</w:t>
      </w:r>
      <w:r>
        <w:rPr>
          <w:spacing w:val="40"/>
        </w:rPr>
        <w:t> </w:t>
      </w:r>
      <w:r>
        <w:rPr/>
        <w:t>A.</w:t>
      </w:r>
      <w:r>
        <w:rPr>
          <w:spacing w:val="-1"/>
        </w:rPr>
        <w:t> </w:t>
      </w:r>
      <w:r>
        <w:rPr/>
        <w:t>and</w:t>
      </w:r>
      <w:r>
        <w:rPr>
          <w:spacing w:val="-3"/>
        </w:rPr>
        <w:t> </w:t>
      </w:r>
      <w:r>
        <w:rPr/>
        <w:t>Binns,</w:t>
      </w:r>
      <w:r>
        <w:rPr>
          <w:spacing w:val="-1"/>
        </w:rPr>
        <w:t> </w:t>
      </w:r>
      <w:r>
        <w:rPr/>
        <w:t>H.J.</w:t>
      </w:r>
      <w:r>
        <w:rPr>
          <w:spacing w:val="-1"/>
        </w:rPr>
        <w:t> </w:t>
      </w:r>
      <w:r>
        <w:rPr/>
        <w:t>(2004).</w:t>
      </w:r>
      <w:r>
        <w:rPr>
          <w:spacing w:val="-1"/>
        </w:rPr>
        <w:t> </w:t>
      </w:r>
      <w:r>
        <w:rPr/>
        <w:t>Lead</w:t>
      </w:r>
      <w:r>
        <w:rPr>
          <w:spacing w:val="-3"/>
        </w:rPr>
        <w:t> </w:t>
      </w:r>
      <w:r>
        <w:rPr/>
        <w:t>levels</w:t>
      </w:r>
      <w:r>
        <w:rPr>
          <w:spacing w:val="-5"/>
        </w:rPr>
        <w:t> </w:t>
      </w:r>
      <w:r>
        <w:rPr/>
        <w:t>of</w:t>
      </w:r>
      <w:r>
        <w:rPr>
          <w:spacing w:val="-10"/>
        </w:rPr>
        <w:t> </w:t>
      </w:r>
      <w:r>
        <w:rPr/>
        <w:t>edibles</w:t>
      </w:r>
      <w:r>
        <w:rPr>
          <w:spacing w:val="-5"/>
        </w:rPr>
        <w:t> </w:t>
      </w:r>
      <w:r>
        <w:rPr/>
        <w:t>grown</w:t>
      </w:r>
      <w:r>
        <w:rPr>
          <w:spacing w:val="-4"/>
        </w:rPr>
        <w:t> </w:t>
      </w:r>
      <w:r>
        <w:rPr/>
        <w:t>in</w:t>
      </w:r>
      <w:r>
        <w:rPr>
          <w:spacing w:val="-7"/>
        </w:rPr>
        <w:t> </w:t>
      </w:r>
      <w:r>
        <w:rPr/>
        <w:t>contaminated residential soils: A field survey</w:t>
      </w:r>
      <w:r>
        <w:rPr>
          <w:i/>
        </w:rPr>
        <w:t>. Science Total Environment</w:t>
      </w:r>
      <w:r>
        <w:rPr/>
        <w:t>, 230, 245-257.</w:t>
      </w:r>
    </w:p>
    <w:p>
      <w:pPr>
        <w:pStyle w:val="BodyText"/>
        <w:spacing w:line="360" w:lineRule="auto" w:before="211"/>
        <w:ind w:left="420" w:right="716"/>
        <w:jc w:val="both"/>
      </w:pPr>
      <w:r>
        <w:rPr/>
        <w:t>Fleming, B. and Modeni, F. (1991). Zinc Pollution and Ecology of the Environment: In Zinc in the</w:t>
      </w:r>
      <w:r>
        <w:rPr>
          <w:spacing w:val="56"/>
        </w:rPr>
        <w:t>  </w:t>
      </w:r>
      <w:r>
        <w:rPr/>
        <w:t>Environment</w:t>
      </w:r>
      <w:r>
        <w:rPr>
          <w:spacing w:val="59"/>
        </w:rPr>
        <w:t>  </w:t>
      </w:r>
      <w:r>
        <w:rPr/>
        <w:t>and</w:t>
      </w:r>
      <w:r>
        <w:rPr>
          <w:spacing w:val="56"/>
        </w:rPr>
        <w:t>  </w:t>
      </w:r>
      <w:r>
        <w:rPr/>
        <w:t>Ecological</w:t>
      </w:r>
      <w:r>
        <w:rPr>
          <w:spacing w:val="54"/>
        </w:rPr>
        <w:t>  </w:t>
      </w:r>
      <w:r>
        <w:rPr/>
        <w:t>Cycling.</w:t>
      </w:r>
      <w:r>
        <w:rPr>
          <w:spacing w:val="58"/>
        </w:rPr>
        <w:t>  </w:t>
      </w:r>
      <w:r>
        <w:rPr/>
        <w:t>John</w:t>
      </w:r>
      <w:r>
        <w:rPr>
          <w:spacing w:val="56"/>
        </w:rPr>
        <w:t>  </w:t>
      </w:r>
      <w:r>
        <w:rPr/>
        <w:t>Wiley,</w:t>
      </w:r>
      <w:r>
        <w:rPr>
          <w:spacing w:val="57"/>
        </w:rPr>
        <w:t>  </w:t>
      </w:r>
      <w:r>
        <w:rPr/>
        <w:t>New</w:t>
      </w:r>
      <w:r>
        <w:rPr>
          <w:spacing w:val="56"/>
        </w:rPr>
        <w:t>  </w:t>
      </w:r>
      <w:r>
        <w:rPr/>
        <w:t>York,</w:t>
      </w:r>
      <w:r>
        <w:rPr>
          <w:spacing w:val="58"/>
        </w:rPr>
        <w:t>  </w:t>
      </w:r>
      <w:r>
        <w:rPr/>
        <w:t>pp:</w:t>
      </w:r>
      <w:r>
        <w:rPr>
          <w:spacing w:val="57"/>
        </w:rPr>
        <w:t>  </w:t>
      </w:r>
      <w:r>
        <w:rPr/>
        <w:t>337-</w:t>
      </w:r>
      <w:r>
        <w:rPr>
          <w:spacing w:val="-4"/>
        </w:rPr>
        <w:t>417.</w:t>
      </w:r>
    </w:p>
    <w:p>
      <w:pPr>
        <w:pStyle w:val="BodyText"/>
      </w:pPr>
    </w:p>
    <w:p>
      <w:pPr>
        <w:pStyle w:val="BodyText"/>
      </w:pPr>
    </w:p>
    <w:p>
      <w:pPr>
        <w:pStyle w:val="BodyText"/>
        <w:spacing w:before="187"/>
      </w:pPr>
    </w:p>
    <w:p>
      <w:pPr>
        <w:pStyle w:val="BodyText"/>
        <w:spacing w:line="360" w:lineRule="auto" w:before="1"/>
        <w:ind w:left="420" w:right="711"/>
        <w:jc w:val="both"/>
        <w:rPr>
          <w:i/>
        </w:rPr>
      </w:pPr>
      <w:r>
        <w:rPr/>
        <w:t>Friberg, M., Willman, R., Halwatt, M. and Barg, K. (1986). Integrating fisheries and agriculture to enhance fish production and food security. FAO</w:t>
      </w:r>
      <w:r>
        <w:rPr>
          <w:spacing w:val="80"/>
        </w:rPr>
        <w:t> </w:t>
      </w:r>
      <w:r>
        <w:rPr/>
        <w:t>Aquaculture. Newsletter, 20: 3-12. Gabriel,U. U., Akinrotimi, D.O., Bekibele, P.E., Anyanwu, S. and Onunkwo, D. (2007). Economic benefit and ecological efficiency of integrated fish farming in Nigeria. </w:t>
      </w:r>
      <w:r>
        <w:rPr>
          <w:i/>
        </w:rPr>
        <w:t>Journal of Science Resource Essay, 2: 302-308.</w:t>
      </w:r>
    </w:p>
    <w:p>
      <w:pPr>
        <w:pStyle w:val="BodyText"/>
        <w:spacing w:line="360" w:lineRule="auto" w:before="201"/>
        <w:ind w:left="420" w:right="714"/>
        <w:jc w:val="both"/>
      </w:pPr>
      <w:r>
        <w:rPr/>
        <w:t>Garg, T. and Tatawat, B. (2005). Meat products and soil pollution caused by livestock and poultry feed additive in Liaoning, China. </w:t>
      </w:r>
      <w:r>
        <w:rPr>
          <w:i/>
        </w:rPr>
        <w:t>Journal of Environmental Science</w:t>
      </w:r>
      <w:r>
        <w:rPr/>
        <w:t>, 2011, 23, S135– </w:t>
      </w:r>
      <w:r>
        <w:rPr>
          <w:spacing w:val="-2"/>
        </w:rPr>
        <w:t>S137.</w:t>
      </w:r>
    </w:p>
    <w:p>
      <w:pPr>
        <w:pStyle w:val="BodyText"/>
        <w:spacing w:line="357" w:lineRule="auto" w:before="203"/>
        <w:ind w:left="420" w:right="721"/>
        <w:jc w:val="both"/>
      </w:pPr>
      <w:r>
        <w:rPr/>
        <w:t>Garcia, L., Leyva-perez, J. and Jara-marini, M.E. (2000). Content and daily intake of copper, zinc, lead, cadmium, and mercury from dietary supplements in Mexico. </w:t>
      </w:r>
      <w:r>
        <w:rPr>
          <w:i/>
        </w:rPr>
        <w:t>Food and chemical toxicology, </w:t>
      </w:r>
      <w:r>
        <w:rPr/>
        <w:t>45(9), 1599–1605.</w:t>
      </w:r>
    </w:p>
    <w:p>
      <w:pPr>
        <w:pStyle w:val="BodyText"/>
        <w:spacing w:before="207"/>
        <w:ind w:left="420"/>
        <w:jc w:val="both"/>
      </w:pPr>
      <w:r>
        <w:rPr/>
        <w:t>Giacomino, A.,</w:t>
      </w:r>
      <w:r>
        <w:rPr>
          <w:spacing w:val="-1"/>
        </w:rPr>
        <w:t> </w:t>
      </w:r>
      <w:r>
        <w:rPr/>
        <w:t>Malandrino,</w:t>
      </w:r>
      <w:r>
        <w:rPr>
          <w:spacing w:val="-2"/>
        </w:rPr>
        <w:t> </w:t>
      </w:r>
      <w:r>
        <w:rPr/>
        <w:t>M.,</w:t>
      </w:r>
      <w:r>
        <w:rPr>
          <w:spacing w:val="-2"/>
        </w:rPr>
        <w:t> </w:t>
      </w:r>
      <w:r>
        <w:rPr/>
        <w:t>Abollin,</w:t>
      </w:r>
      <w:r>
        <w:rPr>
          <w:spacing w:val="3"/>
        </w:rPr>
        <w:t> </w:t>
      </w:r>
      <w:r>
        <w:rPr/>
        <w:t>O.,</w:t>
      </w:r>
      <w:r>
        <w:rPr>
          <w:spacing w:val="-1"/>
        </w:rPr>
        <w:t> </w:t>
      </w:r>
      <w:r>
        <w:rPr/>
        <w:t>Velayutham,</w:t>
      </w:r>
      <w:r>
        <w:rPr>
          <w:spacing w:val="2"/>
        </w:rPr>
        <w:t> </w:t>
      </w:r>
      <w:r>
        <w:rPr/>
        <w:t>M.,</w:t>
      </w:r>
      <w:r>
        <w:rPr>
          <w:spacing w:val="-1"/>
        </w:rPr>
        <w:t> </w:t>
      </w:r>
      <w:r>
        <w:rPr/>
        <w:t>Chinnathangavel,</w:t>
      </w:r>
      <w:r>
        <w:rPr>
          <w:spacing w:val="-2"/>
        </w:rPr>
        <w:t> </w:t>
      </w:r>
      <w:r>
        <w:rPr/>
        <w:t>T.</w:t>
      </w:r>
      <w:r>
        <w:rPr>
          <w:spacing w:val="-2"/>
        </w:rPr>
        <w:t> </w:t>
      </w:r>
      <w:r>
        <w:rPr/>
        <w:t>and</w:t>
      </w:r>
      <w:r>
        <w:rPr>
          <w:spacing w:val="1"/>
        </w:rPr>
        <w:t> </w:t>
      </w:r>
      <w:r>
        <w:rPr>
          <w:spacing w:val="-2"/>
        </w:rPr>
        <w:t>Mentast,</w:t>
      </w:r>
    </w:p>
    <w:p>
      <w:pPr>
        <w:spacing w:line="355" w:lineRule="auto" w:before="137"/>
        <w:ind w:left="420" w:right="0" w:firstLine="0"/>
        <w:jc w:val="left"/>
        <w:rPr>
          <w:sz w:val="24"/>
        </w:rPr>
      </w:pPr>
      <w:r>
        <w:rPr>
          <w:sz w:val="24"/>
        </w:rPr>
        <w:t>E.</w:t>
      </w:r>
      <w:r>
        <w:rPr>
          <w:spacing w:val="76"/>
          <w:sz w:val="24"/>
        </w:rPr>
        <w:t> </w:t>
      </w:r>
      <w:r>
        <w:rPr>
          <w:sz w:val="24"/>
        </w:rPr>
        <w:t>(2007).</w:t>
      </w:r>
      <w:r>
        <w:rPr>
          <w:spacing w:val="78"/>
          <w:sz w:val="24"/>
        </w:rPr>
        <w:t> </w:t>
      </w:r>
      <w:r>
        <w:rPr>
          <w:sz w:val="24"/>
        </w:rPr>
        <w:t>An</w:t>
      </w:r>
      <w:r>
        <w:rPr>
          <w:spacing w:val="73"/>
          <w:sz w:val="24"/>
        </w:rPr>
        <w:t> </w:t>
      </w:r>
      <w:r>
        <w:rPr>
          <w:sz w:val="24"/>
        </w:rPr>
        <w:t>approach</w:t>
      </w:r>
      <w:r>
        <w:rPr>
          <w:spacing w:val="78"/>
          <w:sz w:val="24"/>
        </w:rPr>
        <w:t> </w:t>
      </w:r>
      <w:r>
        <w:rPr>
          <w:sz w:val="24"/>
        </w:rPr>
        <w:t>for</w:t>
      </w:r>
      <w:r>
        <w:rPr>
          <w:spacing w:val="80"/>
          <w:sz w:val="24"/>
        </w:rPr>
        <w:t> </w:t>
      </w:r>
      <w:r>
        <w:rPr>
          <w:sz w:val="24"/>
        </w:rPr>
        <w:t>arsenic</w:t>
      </w:r>
      <w:r>
        <w:rPr>
          <w:spacing w:val="80"/>
          <w:sz w:val="24"/>
        </w:rPr>
        <w:t> </w:t>
      </w:r>
      <w:r>
        <w:rPr>
          <w:sz w:val="24"/>
        </w:rPr>
        <w:t>in</w:t>
      </w:r>
      <w:r>
        <w:rPr>
          <w:spacing w:val="78"/>
          <w:sz w:val="24"/>
        </w:rPr>
        <w:t> </w:t>
      </w:r>
      <w:r>
        <w:rPr>
          <w:sz w:val="24"/>
        </w:rPr>
        <w:t>a</w:t>
      </w:r>
      <w:r>
        <w:rPr>
          <w:spacing w:val="77"/>
          <w:sz w:val="24"/>
        </w:rPr>
        <w:t> </w:t>
      </w:r>
      <w:r>
        <w:rPr>
          <w:sz w:val="24"/>
        </w:rPr>
        <w:t>contaminated</w:t>
      </w:r>
      <w:r>
        <w:rPr>
          <w:spacing w:val="78"/>
          <w:sz w:val="24"/>
        </w:rPr>
        <w:t> </w:t>
      </w:r>
      <w:r>
        <w:rPr>
          <w:sz w:val="24"/>
        </w:rPr>
        <w:t>soil:</w:t>
      </w:r>
      <w:r>
        <w:rPr>
          <w:spacing w:val="79"/>
          <w:sz w:val="24"/>
        </w:rPr>
        <w:t> </w:t>
      </w:r>
      <w:r>
        <w:rPr>
          <w:sz w:val="24"/>
        </w:rPr>
        <w:t>Specification.</w:t>
      </w:r>
      <w:r>
        <w:rPr>
          <w:spacing w:val="80"/>
          <w:sz w:val="24"/>
        </w:rPr>
        <w:t> </w:t>
      </w:r>
      <w:r>
        <w:rPr>
          <w:i/>
          <w:sz w:val="24"/>
        </w:rPr>
        <w:t>Environmental Pollution, </w:t>
      </w:r>
      <w:r>
        <w:rPr>
          <w:sz w:val="24"/>
        </w:rPr>
        <w:t>158: 12-13.</w:t>
      </w:r>
    </w:p>
    <w:p>
      <w:pPr>
        <w:spacing w:after="0" w:line="355" w:lineRule="auto"/>
        <w:jc w:val="left"/>
        <w:rPr>
          <w:sz w:val="24"/>
        </w:rPr>
        <w:sectPr>
          <w:pgSz w:w="12240" w:h="15840"/>
          <w:pgMar w:header="0" w:footer="1012" w:top="1360" w:bottom="1200" w:left="1020" w:right="720"/>
        </w:sectPr>
      </w:pPr>
    </w:p>
    <w:p>
      <w:pPr>
        <w:spacing w:line="355" w:lineRule="auto" w:before="72"/>
        <w:ind w:left="420" w:right="732" w:firstLine="0"/>
        <w:jc w:val="both"/>
        <w:rPr>
          <w:sz w:val="24"/>
        </w:rPr>
      </w:pPr>
      <w:r>
        <w:rPr>
          <w:sz w:val="24"/>
        </w:rPr>
        <w:t>Govil, H.K. (2001). Evaluation of issues relating to the carcinogens risk assessment of toxic metals. </w:t>
      </w:r>
      <w:r>
        <w:rPr>
          <w:i/>
          <w:sz w:val="24"/>
        </w:rPr>
        <w:t>The Science of the Total Environment</w:t>
      </w:r>
      <w:r>
        <w:rPr>
          <w:sz w:val="24"/>
        </w:rPr>
        <w:t>, 86, 181-186.</w:t>
      </w:r>
    </w:p>
    <w:p>
      <w:pPr>
        <w:pStyle w:val="BodyText"/>
        <w:spacing w:before="213"/>
      </w:pPr>
    </w:p>
    <w:p>
      <w:pPr>
        <w:pStyle w:val="BodyText"/>
        <w:spacing w:line="360" w:lineRule="auto"/>
        <w:ind w:left="420" w:right="716"/>
        <w:jc w:val="both"/>
      </w:pPr>
      <w:r>
        <w:rPr/>
        <w:t>Gupta, U. C. and Gupta, D. (2005). Trace elements toxicity</w:t>
      </w:r>
      <w:r>
        <w:rPr>
          <w:spacing w:val="-1"/>
        </w:rPr>
        <w:t> </w:t>
      </w:r>
      <w:r>
        <w:rPr/>
        <w:t>relationships to crop production and livestock</w:t>
      </w:r>
      <w:r>
        <w:rPr>
          <w:spacing w:val="-2"/>
        </w:rPr>
        <w:t> </w:t>
      </w:r>
      <w:r>
        <w:rPr/>
        <w:t>and human health:</w:t>
      </w:r>
      <w:r>
        <w:rPr>
          <w:spacing w:val="-2"/>
        </w:rPr>
        <w:t> </w:t>
      </w:r>
      <w:r>
        <w:rPr/>
        <w:t>Implication for management</w:t>
      </w:r>
      <w:r>
        <w:rPr>
          <w:i/>
        </w:rPr>
        <w:t>. Common</w:t>
      </w:r>
      <w:r>
        <w:rPr>
          <w:i/>
          <w:spacing w:val="-2"/>
        </w:rPr>
        <w:t> </w:t>
      </w:r>
      <w:r>
        <w:rPr>
          <w:i/>
        </w:rPr>
        <w:t>Soil</w:t>
      </w:r>
      <w:r>
        <w:rPr>
          <w:i/>
          <w:spacing w:val="-2"/>
        </w:rPr>
        <w:t> </w:t>
      </w:r>
      <w:r>
        <w:rPr>
          <w:i/>
        </w:rPr>
        <w:t>Science, Plant</w:t>
      </w:r>
      <w:r>
        <w:rPr>
          <w:i/>
          <w:spacing w:val="-2"/>
        </w:rPr>
        <w:t> </w:t>
      </w:r>
      <w:r>
        <w:rPr>
          <w:i/>
        </w:rPr>
        <w:t>Anatomy</w:t>
      </w:r>
      <w:r>
        <w:rPr/>
        <w:t>, 29, 1491-1522.</w:t>
      </w:r>
    </w:p>
    <w:p>
      <w:pPr>
        <w:pStyle w:val="BodyText"/>
        <w:spacing w:line="360" w:lineRule="auto"/>
        <w:ind w:left="420" w:right="765"/>
      </w:pPr>
      <w:r>
        <w:rPr/>
        <w:t>Gwoda,</w:t>
      </w:r>
      <w:r>
        <w:rPr>
          <w:spacing w:val="40"/>
        </w:rPr>
        <w:t> </w:t>
      </w:r>
      <w:r>
        <w:rPr/>
        <w:t>S.,</w:t>
      </w:r>
      <w:r>
        <w:rPr>
          <w:spacing w:val="40"/>
        </w:rPr>
        <w:t> </w:t>
      </w:r>
      <w:r>
        <w:rPr/>
        <w:t>Guyo, H., Saegerman, C., Lebreton, P., Sandersen, C. and Rollin, F. (2003). Epidemiology</w:t>
      </w:r>
      <w:r>
        <w:rPr>
          <w:spacing w:val="-7"/>
        </w:rPr>
        <w:t> </w:t>
      </w:r>
      <w:r>
        <w:rPr/>
        <w:t>of</w:t>
      </w:r>
      <w:r>
        <w:rPr>
          <w:spacing w:val="-10"/>
        </w:rPr>
        <w:t> </w:t>
      </w:r>
      <w:r>
        <w:rPr/>
        <w:t>trace</w:t>
      </w:r>
      <w:r>
        <w:rPr>
          <w:spacing w:val="-3"/>
        </w:rPr>
        <w:t> </w:t>
      </w:r>
      <w:r>
        <w:rPr/>
        <w:t>elements, deficiencies</w:t>
      </w:r>
      <w:r>
        <w:rPr>
          <w:spacing w:val="-1"/>
        </w:rPr>
        <w:t> </w:t>
      </w:r>
      <w:r>
        <w:rPr/>
        <w:t>in</w:t>
      </w:r>
      <w:r>
        <w:rPr>
          <w:spacing w:val="-7"/>
        </w:rPr>
        <w:t> </w:t>
      </w:r>
      <w:r>
        <w:rPr/>
        <w:t>Belgian</w:t>
      </w:r>
      <w:r>
        <w:rPr>
          <w:spacing w:val="-7"/>
        </w:rPr>
        <w:t> </w:t>
      </w:r>
      <w:r>
        <w:rPr/>
        <w:t>beef</w:t>
      </w:r>
      <w:r>
        <w:rPr>
          <w:spacing w:val="-10"/>
        </w:rPr>
        <w:t> </w:t>
      </w:r>
      <w:r>
        <w:rPr/>
        <w:t>and</w:t>
      </w:r>
      <w:r>
        <w:rPr>
          <w:spacing w:val="-2"/>
        </w:rPr>
        <w:t> </w:t>
      </w:r>
      <w:r>
        <w:rPr/>
        <w:t>dairy</w:t>
      </w:r>
      <w:r>
        <w:rPr>
          <w:spacing w:val="-7"/>
        </w:rPr>
        <w:t> </w:t>
      </w:r>
      <w:r>
        <w:rPr/>
        <w:t>cattle herds. </w:t>
      </w:r>
      <w:r>
        <w:rPr>
          <w:i/>
        </w:rPr>
        <w:t>Journal</w:t>
      </w:r>
      <w:r>
        <w:rPr>
          <w:i/>
          <w:spacing w:val="-2"/>
        </w:rPr>
        <w:t> </w:t>
      </w:r>
      <w:r>
        <w:rPr>
          <w:i/>
        </w:rPr>
        <w:t>of Trace Element in Medical Biology, </w:t>
      </w:r>
      <w:r>
        <w:rPr/>
        <w:t>23, 116–123.</w:t>
      </w:r>
    </w:p>
    <w:p>
      <w:pPr>
        <w:pStyle w:val="BodyText"/>
        <w:spacing w:line="360" w:lineRule="auto" w:before="200"/>
        <w:ind w:left="420" w:right="710" w:firstLine="57"/>
        <w:jc w:val="both"/>
      </w:pPr>
      <w:r>
        <w:rPr/>
        <w:t>Haque,</w:t>
      </w:r>
      <w:r>
        <w:rPr>
          <w:spacing w:val="-1"/>
        </w:rPr>
        <w:t> </w:t>
      </w:r>
      <w:r>
        <w:rPr/>
        <w:t>R.M.,</w:t>
      </w:r>
      <w:r>
        <w:rPr>
          <w:spacing w:val="-1"/>
        </w:rPr>
        <w:t> </w:t>
      </w:r>
      <w:r>
        <w:rPr/>
        <w:t>Ahamad,</w:t>
      </w:r>
      <w:r>
        <w:rPr>
          <w:spacing w:val="-1"/>
        </w:rPr>
        <w:t> </w:t>
      </w:r>
      <w:r>
        <w:rPr/>
        <w:t>M.</w:t>
      </w:r>
      <w:r>
        <w:rPr>
          <w:spacing w:val="-1"/>
        </w:rPr>
        <w:t> </w:t>
      </w:r>
      <w:r>
        <w:rPr/>
        <w:t>D.,</w:t>
      </w:r>
      <w:r>
        <w:rPr>
          <w:spacing w:val="-1"/>
        </w:rPr>
        <w:t> </w:t>
      </w:r>
      <w:r>
        <w:rPr/>
        <w:t>Chowdhury,</w:t>
      </w:r>
      <w:r>
        <w:rPr>
          <w:spacing w:val="-1"/>
        </w:rPr>
        <w:t> </w:t>
      </w:r>
      <w:r>
        <w:rPr/>
        <w:t>M. K.,</w:t>
      </w:r>
      <w:r>
        <w:rPr>
          <w:spacing w:val="-1"/>
        </w:rPr>
        <w:t> </w:t>
      </w:r>
      <w:r>
        <w:rPr/>
        <w:t>Ahmed,</w:t>
      </w:r>
      <w:r>
        <w:rPr>
          <w:spacing w:val="-1"/>
        </w:rPr>
        <w:t> </w:t>
      </w:r>
      <w:r>
        <w:rPr/>
        <w:t>S.</w:t>
      </w:r>
      <w:r>
        <w:rPr>
          <w:spacing w:val="-1"/>
        </w:rPr>
        <w:t> </w:t>
      </w:r>
      <w:r>
        <w:rPr/>
        <w:t>and</w:t>
      </w:r>
      <w:r>
        <w:rPr>
          <w:spacing w:val="-3"/>
        </w:rPr>
        <w:t> </w:t>
      </w:r>
      <w:r>
        <w:rPr/>
        <w:t>Rahman,</w:t>
      </w:r>
      <w:r>
        <w:rPr>
          <w:spacing w:val="-1"/>
        </w:rPr>
        <w:t> </w:t>
      </w:r>
      <w:r>
        <w:rPr/>
        <w:t>M.</w:t>
      </w:r>
      <w:r>
        <w:rPr>
          <w:spacing w:val="-1"/>
        </w:rPr>
        <w:t> </w:t>
      </w:r>
      <w:r>
        <w:rPr/>
        <w:t>(2005). Seasonal variation of heavy metals concentration in surface water of the rivers and estuaries of urban mangrove forest. </w:t>
      </w:r>
      <w:r>
        <w:rPr>
          <w:i/>
        </w:rPr>
        <w:t>Pollution</w:t>
      </w:r>
      <w:r>
        <w:rPr>
          <w:i/>
          <w:spacing w:val="40"/>
        </w:rPr>
        <w:t> </w:t>
      </w:r>
      <w:r>
        <w:rPr>
          <w:i/>
        </w:rPr>
        <w:t>Resource</w:t>
      </w:r>
      <w:r>
        <w:rPr/>
        <w:t>, 24: 463-472.</w:t>
      </w:r>
    </w:p>
    <w:p>
      <w:pPr>
        <w:pStyle w:val="BodyText"/>
        <w:spacing w:before="139"/>
      </w:pPr>
    </w:p>
    <w:p>
      <w:pPr>
        <w:spacing w:line="360" w:lineRule="auto" w:before="0"/>
        <w:ind w:left="511" w:right="765" w:firstLine="0"/>
        <w:jc w:val="left"/>
        <w:rPr>
          <w:sz w:val="24"/>
        </w:rPr>
      </w:pPr>
      <w:r>
        <w:rPr>
          <w:sz w:val="24"/>
        </w:rPr>
        <w:t>Ibeto, C.N., Okoye, C.O.B., Moses, M. F. and Prabakaran, J. J. (2011). Human and Ecological Risk Assessment: </w:t>
      </w:r>
      <w:r>
        <w:rPr>
          <w:i/>
          <w:sz w:val="24"/>
        </w:rPr>
        <w:t>An International Journal of Toxicology, </w:t>
      </w:r>
      <w:r>
        <w:rPr>
          <w:sz w:val="24"/>
        </w:rPr>
        <w:t>16:5, 1133-1144.</w:t>
      </w:r>
    </w:p>
    <w:p>
      <w:pPr>
        <w:pStyle w:val="BodyText"/>
      </w:pPr>
    </w:p>
    <w:p>
      <w:pPr>
        <w:pStyle w:val="BodyText"/>
        <w:spacing w:line="360" w:lineRule="auto"/>
        <w:ind w:left="511" w:right="600"/>
      </w:pPr>
      <w:r>
        <w:rPr/>
        <w:t>Ideria,</w:t>
      </w:r>
      <w:r>
        <w:rPr>
          <w:spacing w:val="28"/>
        </w:rPr>
        <w:t> </w:t>
      </w:r>
      <w:r>
        <w:rPr/>
        <w:t>S.,</w:t>
      </w:r>
      <w:r>
        <w:rPr>
          <w:spacing w:val="23"/>
        </w:rPr>
        <w:t> </w:t>
      </w:r>
      <w:r>
        <w:rPr/>
        <w:t>Poulsen,</w:t>
      </w:r>
      <w:r>
        <w:rPr>
          <w:spacing w:val="28"/>
        </w:rPr>
        <w:t> </w:t>
      </w:r>
      <w:r>
        <w:rPr/>
        <w:t>H.</w:t>
      </w:r>
      <w:r>
        <w:rPr>
          <w:spacing w:val="27"/>
        </w:rPr>
        <w:t> </w:t>
      </w:r>
      <w:r>
        <w:rPr/>
        <w:t>D.</w:t>
      </w:r>
      <w:r>
        <w:rPr>
          <w:spacing w:val="27"/>
        </w:rPr>
        <w:t> </w:t>
      </w:r>
      <w:r>
        <w:rPr/>
        <w:t>and</w:t>
      </w:r>
      <w:r>
        <w:rPr>
          <w:spacing w:val="25"/>
        </w:rPr>
        <w:t> </w:t>
      </w:r>
      <w:r>
        <w:rPr/>
        <w:t>Hosman,</w:t>
      </w:r>
      <w:r>
        <w:rPr>
          <w:spacing w:val="28"/>
        </w:rPr>
        <w:t> </w:t>
      </w:r>
      <w:r>
        <w:rPr/>
        <w:t>F.</w:t>
      </w:r>
      <w:r>
        <w:rPr>
          <w:spacing w:val="28"/>
        </w:rPr>
        <w:t> </w:t>
      </w:r>
      <w:r>
        <w:rPr/>
        <w:t>(2012).</w:t>
      </w:r>
      <w:r>
        <w:rPr>
          <w:spacing w:val="28"/>
        </w:rPr>
        <w:t> </w:t>
      </w:r>
      <w:r>
        <w:rPr/>
        <w:t>Zinc</w:t>
      </w:r>
      <w:r>
        <w:rPr>
          <w:spacing w:val="25"/>
        </w:rPr>
        <w:t> </w:t>
      </w:r>
      <w:r>
        <w:rPr/>
        <w:t>and</w:t>
      </w:r>
      <w:r>
        <w:rPr>
          <w:spacing w:val="25"/>
        </w:rPr>
        <w:t> </w:t>
      </w:r>
      <w:r>
        <w:rPr/>
        <w:t>copper</w:t>
      </w:r>
      <w:r>
        <w:rPr>
          <w:spacing w:val="27"/>
        </w:rPr>
        <w:t> </w:t>
      </w:r>
      <w:r>
        <w:rPr/>
        <w:t>as</w:t>
      </w:r>
      <w:r>
        <w:rPr>
          <w:spacing w:val="28"/>
        </w:rPr>
        <w:t> </w:t>
      </w:r>
      <w:r>
        <w:rPr/>
        <w:t>feed</w:t>
      </w:r>
      <w:r>
        <w:rPr>
          <w:spacing w:val="25"/>
        </w:rPr>
        <w:t> </w:t>
      </w:r>
      <w:r>
        <w:rPr/>
        <w:t>additives,</w:t>
      </w:r>
      <w:r>
        <w:rPr>
          <w:spacing w:val="28"/>
        </w:rPr>
        <w:t> </w:t>
      </w:r>
      <w:r>
        <w:rPr/>
        <w:t>growth factors or unwanted environmental factors. </w:t>
      </w:r>
      <w:r>
        <w:rPr>
          <w:i/>
        </w:rPr>
        <w:t>Journal of Animal Feed Science</w:t>
      </w:r>
      <w:r>
        <w:rPr/>
        <w:t>, 7, 135–142</w:t>
      </w:r>
    </w:p>
    <w:p>
      <w:pPr>
        <w:pStyle w:val="BodyText"/>
      </w:pPr>
    </w:p>
    <w:p>
      <w:pPr>
        <w:pStyle w:val="BodyText"/>
        <w:spacing w:before="138"/>
      </w:pPr>
    </w:p>
    <w:p>
      <w:pPr>
        <w:pStyle w:val="BodyText"/>
        <w:spacing w:line="360" w:lineRule="auto"/>
        <w:ind w:left="511" w:right="724"/>
        <w:jc w:val="both"/>
      </w:pPr>
      <w:r>
        <w:rPr/>
        <w:t>Igwegbe, A.O. (2013). Effects</w:t>
      </w:r>
      <w:r>
        <w:rPr>
          <w:spacing w:val="-2"/>
        </w:rPr>
        <w:t> </w:t>
      </w:r>
      <w:r>
        <w:rPr/>
        <w:t>of</w:t>
      </w:r>
      <w:r>
        <w:rPr>
          <w:spacing w:val="-3"/>
        </w:rPr>
        <w:t> </w:t>
      </w:r>
      <w:r>
        <w:rPr/>
        <w:t>Location, Season, and Processing on Heavy Metal</w:t>
      </w:r>
      <w:r>
        <w:rPr>
          <w:spacing w:val="-5"/>
        </w:rPr>
        <w:t> </w:t>
      </w:r>
      <w:r>
        <w:rPr/>
        <w:t>Contents in Selected Locally Harvested Fresh Fish Species from Borno State of Nigeria. A Ph.D Thesis, Department of Food Sciences and Technology, Faculty of Engineering, University of</w:t>
      </w:r>
      <w:r>
        <w:rPr>
          <w:spacing w:val="40"/>
        </w:rPr>
        <w:t> </w:t>
      </w:r>
      <w:r>
        <w:rPr>
          <w:spacing w:val="-2"/>
        </w:rPr>
        <w:t>Maiduguri.</w:t>
      </w:r>
    </w:p>
    <w:p>
      <w:pPr>
        <w:pStyle w:val="BodyText"/>
        <w:spacing w:line="362" w:lineRule="auto" w:before="274"/>
        <w:ind w:left="511"/>
      </w:pPr>
      <w:r>
        <w:rPr/>
        <w:t>Ihedioha,</w:t>
      </w:r>
      <w:r>
        <w:rPr>
          <w:spacing w:val="40"/>
        </w:rPr>
        <w:t> </w:t>
      </w:r>
      <w:r>
        <w:rPr/>
        <w:t>A.</w:t>
      </w:r>
      <w:r>
        <w:rPr>
          <w:spacing w:val="40"/>
        </w:rPr>
        <w:t> </w:t>
      </w:r>
      <w:r>
        <w:rPr/>
        <w:t>and</w:t>
      </w:r>
      <w:r>
        <w:rPr>
          <w:spacing w:val="40"/>
        </w:rPr>
        <w:t> </w:t>
      </w:r>
      <w:r>
        <w:rPr/>
        <w:t>Okoye,</w:t>
      </w:r>
      <w:r>
        <w:rPr>
          <w:spacing w:val="40"/>
        </w:rPr>
        <w:t> </w:t>
      </w:r>
      <w:r>
        <w:rPr/>
        <w:t>P.</w:t>
      </w:r>
      <w:r>
        <w:rPr>
          <w:spacing w:val="40"/>
        </w:rPr>
        <w:t> </w:t>
      </w:r>
      <w:r>
        <w:rPr/>
        <w:t>C.</w:t>
      </w:r>
      <w:r>
        <w:rPr>
          <w:spacing w:val="40"/>
        </w:rPr>
        <w:t> </w:t>
      </w:r>
      <w:r>
        <w:rPr/>
        <w:t>(2012).</w:t>
      </w:r>
      <w:r>
        <w:rPr>
          <w:spacing w:val="40"/>
        </w:rPr>
        <w:t> </w:t>
      </w:r>
      <w:r>
        <w:rPr/>
        <w:t>Heavy</w:t>
      </w:r>
      <w:r>
        <w:rPr>
          <w:spacing w:val="40"/>
        </w:rPr>
        <w:t> </w:t>
      </w:r>
      <w:r>
        <w:rPr/>
        <w:t>metals</w:t>
      </w:r>
      <w:r>
        <w:rPr>
          <w:spacing w:val="40"/>
        </w:rPr>
        <w:t> </w:t>
      </w:r>
      <w:r>
        <w:rPr/>
        <w:t>in</w:t>
      </w:r>
      <w:r>
        <w:rPr>
          <w:spacing w:val="40"/>
        </w:rPr>
        <w:t> </w:t>
      </w:r>
      <w:r>
        <w:rPr/>
        <w:t>feeds,</w:t>
      </w:r>
      <w:r>
        <w:rPr>
          <w:spacing w:val="40"/>
        </w:rPr>
        <w:t> </w:t>
      </w:r>
      <w:r>
        <w:rPr/>
        <w:t>growth</w:t>
      </w:r>
      <w:r>
        <w:rPr>
          <w:spacing w:val="40"/>
        </w:rPr>
        <w:t> </w:t>
      </w:r>
      <w:r>
        <w:rPr/>
        <w:t>factors</w:t>
      </w:r>
      <w:r>
        <w:rPr>
          <w:spacing w:val="39"/>
        </w:rPr>
        <w:t> </w:t>
      </w:r>
      <w:r>
        <w:rPr/>
        <w:t>or</w:t>
      </w:r>
      <w:r>
        <w:rPr>
          <w:spacing w:val="40"/>
        </w:rPr>
        <w:t> </w:t>
      </w:r>
      <w:r>
        <w:rPr/>
        <w:t>unwanted environmental factors. </w:t>
      </w:r>
      <w:r>
        <w:rPr>
          <w:i/>
        </w:rPr>
        <w:t>Journal of Animal Feed Science</w:t>
      </w:r>
      <w:r>
        <w:rPr/>
        <w:t>, 7: 135-142.</w:t>
      </w:r>
    </w:p>
    <w:p>
      <w:pPr>
        <w:pStyle w:val="BodyText"/>
        <w:spacing w:line="357" w:lineRule="auto" w:before="237"/>
        <w:ind w:left="420" w:right="717"/>
        <w:jc w:val="both"/>
      </w:pPr>
      <w:r>
        <w:rPr/>
        <w:t>Ikem, A., Osibanjo, O., Sridhart, M.K. and Sobanle, A. (2002). Evaluation of ground water quality characteristics near two waste sites in Ibadan and Lagos, Nigeria. </w:t>
      </w:r>
      <w:r>
        <w:rPr>
          <w:i/>
        </w:rPr>
        <w:t>Water, Air and Soil Pollution</w:t>
      </w:r>
      <w:r>
        <w:rPr/>
        <w:t>, 140, 307-333.</w:t>
      </w:r>
    </w:p>
    <w:p>
      <w:pPr>
        <w:spacing w:after="0" w:line="357" w:lineRule="auto"/>
        <w:jc w:val="both"/>
        <w:sectPr>
          <w:pgSz w:w="12240" w:h="15840"/>
          <w:pgMar w:header="0" w:footer="1012" w:top="1360" w:bottom="1200" w:left="1020" w:right="720"/>
        </w:sectPr>
      </w:pPr>
    </w:p>
    <w:p>
      <w:pPr>
        <w:pStyle w:val="BodyText"/>
        <w:spacing w:line="355" w:lineRule="auto" w:before="72"/>
        <w:ind w:left="420" w:right="724"/>
        <w:jc w:val="both"/>
      </w:pPr>
      <w:r>
        <w:rPr/>
        <w:t>Kaplan, O., N.,. Yildirim, N., Yildirim, N. and Cimen, M. (2010). Toxic elements in animal products and environmental health Asian. </w:t>
      </w:r>
      <w:r>
        <w:rPr>
          <w:i/>
        </w:rPr>
        <w:t>Journal of Animal Vetenary</w:t>
      </w:r>
      <w:r>
        <w:rPr/>
        <w:t>, 6: 228-232.</w:t>
      </w:r>
    </w:p>
    <w:p>
      <w:pPr>
        <w:pStyle w:val="BodyText"/>
        <w:spacing w:line="360" w:lineRule="auto" w:before="211"/>
        <w:ind w:left="420" w:right="729"/>
        <w:jc w:val="both"/>
      </w:pPr>
      <w:r>
        <w:rPr/>
        <w:t>Kessler, J. (2001). Heavy</w:t>
      </w:r>
      <w:r>
        <w:rPr>
          <w:spacing w:val="-1"/>
        </w:rPr>
        <w:t> </w:t>
      </w:r>
      <w:r>
        <w:rPr/>
        <w:t>metal</w:t>
      </w:r>
      <w:r>
        <w:rPr>
          <w:spacing w:val="-6"/>
        </w:rPr>
        <w:t> </w:t>
      </w:r>
      <w:r>
        <w:rPr/>
        <w:t>content of</w:t>
      </w:r>
      <w:r>
        <w:rPr>
          <w:spacing w:val="-4"/>
        </w:rPr>
        <w:t> </w:t>
      </w:r>
      <w:r>
        <w:rPr/>
        <w:t>manures in</w:t>
      </w:r>
      <w:r>
        <w:rPr>
          <w:spacing w:val="-1"/>
        </w:rPr>
        <w:t> </w:t>
      </w:r>
      <w:r>
        <w:rPr/>
        <w:t>Switzerland. In:</w:t>
      </w:r>
      <w:r>
        <w:rPr>
          <w:spacing w:val="-1"/>
        </w:rPr>
        <w:t> </w:t>
      </w:r>
      <w:r>
        <w:rPr/>
        <w:t>Proceedings</w:t>
      </w:r>
      <w:r>
        <w:rPr>
          <w:spacing w:val="-3"/>
        </w:rPr>
        <w:t> </w:t>
      </w:r>
      <w:r>
        <w:rPr/>
        <w:t>of</w:t>
      </w:r>
      <w:r>
        <w:rPr>
          <w:spacing w:val="-8"/>
        </w:rPr>
        <w:t> </w:t>
      </w:r>
      <w:r>
        <w:rPr/>
        <w:t>the</w:t>
      </w:r>
      <w:r>
        <w:rPr>
          <w:spacing w:val="-2"/>
        </w:rPr>
        <w:t> </w:t>
      </w:r>
      <w:r>
        <w:rPr/>
        <w:t>Eighth International Conference of the FAO Network on Recycling of Agricultural. Municipal and Industrial Residues in Agriculture (Impress).</w:t>
      </w:r>
    </w:p>
    <w:p>
      <w:pPr>
        <w:pStyle w:val="BodyText"/>
        <w:spacing w:line="480" w:lineRule="auto" w:before="203"/>
        <w:ind w:left="420" w:right="718"/>
        <w:jc w:val="both"/>
      </w:pPr>
      <w:r>
        <w:rPr/>
        <w:t>Khan, Z., Ashraf, M., Ahmad, K., Mustafa, I. and Danish, B. (2012).</w:t>
      </w:r>
      <w:r>
        <w:rPr>
          <w:spacing w:val="40"/>
        </w:rPr>
        <w:t> </w:t>
      </w:r>
      <w:r>
        <w:rPr/>
        <w:t>Evaluation of micro minerals composition</w:t>
      </w:r>
      <w:r>
        <w:rPr>
          <w:spacing w:val="-7"/>
        </w:rPr>
        <w:t> </w:t>
      </w:r>
      <w:r>
        <w:rPr/>
        <w:t>of</w:t>
      </w:r>
      <w:r>
        <w:rPr>
          <w:spacing w:val="-5"/>
        </w:rPr>
        <w:t> </w:t>
      </w:r>
      <w:r>
        <w:rPr/>
        <w:t>different grasses in</w:t>
      </w:r>
      <w:r>
        <w:rPr>
          <w:spacing w:val="-2"/>
        </w:rPr>
        <w:t> </w:t>
      </w:r>
      <w:r>
        <w:rPr/>
        <w:t>relation</w:t>
      </w:r>
      <w:r>
        <w:rPr>
          <w:spacing w:val="-7"/>
        </w:rPr>
        <w:t> </w:t>
      </w:r>
      <w:r>
        <w:rPr/>
        <w:t>to livestock</w:t>
      </w:r>
      <w:r>
        <w:rPr>
          <w:spacing w:val="-2"/>
        </w:rPr>
        <w:t> </w:t>
      </w:r>
      <w:r>
        <w:rPr/>
        <w:t>requirement. </w:t>
      </w:r>
      <w:r>
        <w:rPr>
          <w:i/>
        </w:rPr>
        <w:t>Journal</w:t>
      </w:r>
      <w:r>
        <w:rPr>
          <w:i/>
          <w:spacing w:val="-2"/>
        </w:rPr>
        <w:t> </w:t>
      </w:r>
      <w:r>
        <w:rPr>
          <w:i/>
        </w:rPr>
        <w:t>of Botany, </w:t>
      </w:r>
      <w:r>
        <w:rPr/>
        <w:t>39(3), 719-728.</w:t>
      </w:r>
    </w:p>
    <w:p>
      <w:pPr>
        <w:pStyle w:val="BodyText"/>
        <w:spacing w:line="357" w:lineRule="auto"/>
        <w:ind w:left="420" w:right="721"/>
        <w:jc w:val="both"/>
      </w:pPr>
      <w:r>
        <w:rPr/>
        <w:t>Konegay, E.T., Hedges, J.D., Martens, D.C. and</w:t>
      </w:r>
      <w:r>
        <w:rPr>
          <w:spacing w:val="40"/>
        </w:rPr>
        <w:t> </w:t>
      </w:r>
      <w:r>
        <w:rPr/>
        <w:t>Kramer, C.Y. (1976). Effect on soil and plant mineral levels following application of manures of different copper contents. </w:t>
      </w:r>
      <w:r>
        <w:rPr>
          <w:i/>
        </w:rPr>
        <w:t>Journal of Plant and Soil, </w:t>
      </w:r>
      <w:r>
        <w:rPr/>
        <w:t>45, 151-162.</w:t>
      </w:r>
    </w:p>
    <w:p>
      <w:pPr>
        <w:pStyle w:val="BodyText"/>
        <w:spacing w:line="271" w:lineRule="auto" w:before="207"/>
        <w:ind w:left="420" w:right="719"/>
        <w:jc w:val="both"/>
      </w:pPr>
      <w:r>
        <w:rPr/>
        <w:t>Koklu, W.E., Carr, L.E., Carter, T.A. and Bossard, E.H. (2000). The levels of nutrients and</w:t>
      </w:r>
      <w:r>
        <w:rPr>
          <w:spacing w:val="40"/>
        </w:rPr>
        <w:t> </w:t>
      </w:r>
      <w:r>
        <w:rPr/>
        <w:t>heavy metals in sea water. </w:t>
      </w:r>
      <w:r>
        <w:rPr>
          <w:i/>
        </w:rPr>
        <w:t>Journal of Science, </w:t>
      </w:r>
      <w:r>
        <w:rPr/>
        <w:t>60, 1160-1164.</w:t>
      </w:r>
    </w:p>
    <w:p>
      <w:pPr>
        <w:pStyle w:val="BodyText"/>
        <w:spacing w:line="357" w:lineRule="auto" w:before="212"/>
        <w:ind w:left="420" w:right="718"/>
        <w:jc w:val="both"/>
      </w:pPr>
      <w:r>
        <w:rPr/>
        <w:t>Linden, R.A., Driemeier, E.B., Guimaraes, I.S., Dutra, A.E., Mori, G. and Barros, C. (2002). Lead poisoning in cattle grazing pasture contaminated by</w:t>
      </w:r>
      <w:r>
        <w:rPr>
          <w:spacing w:val="-2"/>
        </w:rPr>
        <w:t> </w:t>
      </w:r>
      <w:r>
        <w:rPr/>
        <w:t>industrial</w:t>
      </w:r>
      <w:r>
        <w:rPr>
          <w:spacing w:val="-2"/>
        </w:rPr>
        <w:t> </w:t>
      </w:r>
      <w:r>
        <w:rPr/>
        <w:t>waste. </w:t>
      </w:r>
      <w:r>
        <w:rPr>
          <w:i/>
        </w:rPr>
        <w:t>Journal of Veterinary and Human Toxicology</w:t>
      </w:r>
      <w:r>
        <w:rPr/>
        <w:t>, 46: 326-328.</w:t>
      </w:r>
    </w:p>
    <w:p>
      <w:pPr>
        <w:spacing w:line="355" w:lineRule="auto" w:before="207"/>
        <w:ind w:left="420" w:right="725" w:firstLine="0"/>
        <w:jc w:val="both"/>
        <w:rPr>
          <w:sz w:val="24"/>
        </w:rPr>
      </w:pPr>
      <w:r>
        <w:rPr>
          <w:sz w:val="24"/>
        </w:rPr>
        <w:t>Li-wenfan, Z., Ping, M., Zhou, H. and Yosuf, W. (1995). Influences of heavy metal</w:t>
      </w:r>
      <w:r>
        <w:rPr>
          <w:spacing w:val="-1"/>
          <w:sz w:val="24"/>
        </w:rPr>
        <w:t> </w:t>
      </w:r>
      <w:r>
        <w:rPr>
          <w:sz w:val="24"/>
        </w:rPr>
        <w:t>pollution of the environment on the health of sheep. </w:t>
      </w:r>
      <w:r>
        <w:rPr>
          <w:i/>
          <w:sz w:val="24"/>
        </w:rPr>
        <w:t>Chinese Journal of Veterinary Science</w:t>
      </w:r>
      <w:r>
        <w:rPr>
          <w:sz w:val="24"/>
        </w:rPr>
        <w:t>, 25: 15-17</w:t>
      </w:r>
    </w:p>
    <w:p>
      <w:pPr>
        <w:pStyle w:val="BodyText"/>
        <w:spacing w:line="360" w:lineRule="auto" w:before="210"/>
        <w:ind w:left="420" w:right="715"/>
        <w:jc w:val="both"/>
      </w:pPr>
      <w:r>
        <w:rPr/>
        <w:t>Lokande, R.S. and</w:t>
      </w:r>
      <w:r>
        <w:rPr>
          <w:spacing w:val="-1"/>
        </w:rPr>
        <w:t> </w:t>
      </w:r>
      <w:r>
        <w:rPr/>
        <w:t>Sathe</w:t>
      </w:r>
      <w:r>
        <w:rPr>
          <w:spacing w:val="-2"/>
        </w:rPr>
        <w:t> </w:t>
      </w:r>
      <w:r>
        <w:rPr/>
        <w:t>C. N. (2001). Monitoring and</w:t>
      </w:r>
      <w:r>
        <w:rPr>
          <w:spacing w:val="-1"/>
        </w:rPr>
        <w:t> </w:t>
      </w:r>
      <w:r>
        <w:rPr/>
        <w:t>assessment of</w:t>
      </w:r>
      <w:r>
        <w:rPr>
          <w:spacing w:val="-9"/>
        </w:rPr>
        <w:t> </w:t>
      </w:r>
      <w:r>
        <w:rPr/>
        <w:t>heavy</w:t>
      </w:r>
      <w:r>
        <w:rPr>
          <w:spacing w:val="-6"/>
        </w:rPr>
        <w:t> </w:t>
      </w:r>
      <w:r>
        <w:rPr/>
        <w:t>metal</w:t>
      </w:r>
      <w:r>
        <w:rPr>
          <w:spacing w:val="-10"/>
        </w:rPr>
        <w:t> </w:t>
      </w:r>
      <w:r>
        <w:rPr/>
        <w:t>contents in</w:t>
      </w:r>
      <w:r>
        <w:rPr>
          <w:spacing w:val="-6"/>
        </w:rPr>
        <w:t> </w:t>
      </w:r>
      <w:r>
        <w:rPr/>
        <w:t>the industrial effluents from Ambarnath M.I.D.C. area Maharashtra. </w:t>
      </w:r>
      <w:r>
        <w:rPr>
          <w:i/>
        </w:rPr>
        <w:t>Pollution Resources</w:t>
      </w:r>
      <w:r>
        <w:rPr/>
        <w:t>, 20: 239- </w:t>
      </w:r>
      <w:r>
        <w:rPr>
          <w:spacing w:val="-4"/>
        </w:rPr>
        <w:t>243.</w:t>
      </w:r>
    </w:p>
    <w:p>
      <w:pPr>
        <w:pStyle w:val="BodyText"/>
        <w:tabs>
          <w:tab w:pos="2249" w:val="left" w:leader="none"/>
          <w:tab w:pos="4678" w:val="left" w:leader="none"/>
          <w:tab w:pos="7027" w:val="left" w:leader="none"/>
          <w:tab w:pos="8923" w:val="left" w:leader="none"/>
        </w:tabs>
        <w:spacing w:line="360" w:lineRule="auto" w:before="204"/>
        <w:ind w:left="420" w:right="711"/>
        <w:jc w:val="both"/>
      </w:pPr>
      <w:r>
        <w:rPr/>
        <w:t>Lemos, R.A., Driemeier, E.B., Guimaraes, I.S., Dutra, A.E., Mori, F. and Barros, C. (2004).</w:t>
      </w:r>
      <w:r>
        <w:rPr>
          <w:spacing w:val="80"/>
        </w:rPr>
        <w:t> </w:t>
      </w:r>
      <w:r>
        <w:rPr/>
        <w:t>Lead poisoning in cattle grazing pasture contaminated by</w:t>
      </w:r>
      <w:r>
        <w:rPr>
          <w:spacing w:val="-1"/>
        </w:rPr>
        <w:t> </w:t>
      </w:r>
      <w:r>
        <w:rPr/>
        <w:t>industrial</w:t>
      </w:r>
      <w:r>
        <w:rPr>
          <w:spacing w:val="-1"/>
        </w:rPr>
        <w:t> </w:t>
      </w:r>
      <w:r>
        <w:rPr/>
        <w:t>waste. </w:t>
      </w:r>
      <w:r>
        <w:rPr>
          <w:i/>
        </w:rPr>
        <w:t>Journal of Veterinary </w:t>
      </w:r>
      <w:r>
        <w:rPr>
          <w:i/>
          <w:spacing w:val="-5"/>
        </w:rPr>
        <w:t>and</w:t>
      </w:r>
      <w:r>
        <w:rPr>
          <w:i/>
        </w:rPr>
        <w:tab/>
      </w:r>
      <w:r>
        <w:rPr>
          <w:i/>
          <w:spacing w:val="-2"/>
        </w:rPr>
        <w:t>HumanTo</w:t>
      </w:r>
      <w:r>
        <w:rPr>
          <w:i/>
        </w:rPr>
        <w:tab/>
      </w:r>
      <w:r>
        <w:rPr>
          <w:i/>
          <w:spacing w:val="-2"/>
        </w:rPr>
        <w:t>xicology.</w:t>
      </w:r>
      <w:r>
        <w:rPr>
          <w:i/>
        </w:rPr>
        <w:tab/>
      </w:r>
      <w:r>
        <w:rPr>
          <w:spacing w:val="-4"/>
        </w:rPr>
        <w:t>146:</w:t>
      </w:r>
      <w:r>
        <w:rPr/>
        <w:tab/>
      </w:r>
      <w:r>
        <w:rPr>
          <w:spacing w:val="-2"/>
        </w:rPr>
        <w:t>326-</w:t>
      </w:r>
      <w:r>
        <w:rPr>
          <w:spacing w:val="-4"/>
        </w:rPr>
        <w:t>328.</w:t>
      </w:r>
    </w:p>
    <w:p>
      <w:pPr>
        <w:spacing w:line="360" w:lineRule="auto" w:before="0"/>
        <w:ind w:left="420" w:right="721" w:firstLine="0"/>
        <w:jc w:val="both"/>
        <w:rPr>
          <w:sz w:val="24"/>
        </w:rPr>
      </w:pPr>
      <w:r>
        <w:rPr>
          <w:sz w:val="24"/>
        </w:rPr>
        <w:t>Lopez - Alonso, M. L., Benedito, M., Miranda, C., Castillo, P. and Hernandez, F. (2002). Interactions between toxic and essential trace metals in cattle from a region with low levels of pollution. </w:t>
      </w:r>
      <w:r>
        <w:rPr>
          <w:i/>
          <w:sz w:val="24"/>
        </w:rPr>
        <w:t>Archives of Environmental Contamination and Toxicology</w:t>
      </w:r>
      <w:r>
        <w:rPr>
          <w:sz w:val="24"/>
        </w:rPr>
        <w:t>, 42: 165-172.</w:t>
      </w:r>
    </w:p>
    <w:p>
      <w:pPr>
        <w:spacing w:after="0" w:line="360" w:lineRule="auto"/>
        <w:jc w:val="both"/>
        <w:rPr>
          <w:sz w:val="24"/>
        </w:rPr>
        <w:sectPr>
          <w:pgSz w:w="12240" w:h="15840"/>
          <w:pgMar w:header="0" w:footer="1012" w:top="1360" w:bottom="1200" w:left="1020" w:right="720"/>
        </w:sectPr>
      </w:pPr>
    </w:p>
    <w:p>
      <w:pPr>
        <w:pStyle w:val="BodyText"/>
        <w:spacing w:line="355" w:lineRule="auto" w:before="72"/>
        <w:ind w:left="420" w:right="729"/>
        <w:jc w:val="both"/>
      </w:pPr>
      <w:r>
        <w:rPr/>
        <w:t>Lyaka, Y.A., Nda-Umar, U.I., Muhammad, M.N. and Ajai, A.I. (2005). Contents of lead and copper in poultry feeds in Niger State. </w:t>
      </w:r>
      <w:r>
        <w:rPr>
          <w:i/>
        </w:rPr>
        <w:t>Polymath Journal</w:t>
      </w:r>
      <w:r>
        <w:rPr/>
        <w:t>, 6, 107-111</w:t>
      </w:r>
    </w:p>
    <w:p>
      <w:pPr>
        <w:pStyle w:val="BodyText"/>
        <w:spacing w:line="360" w:lineRule="auto" w:before="211"/>
        <w:ind w:left="420" w:right="718"/>
        <w:jc w:val="both"/>
      </w:pPr>
      <w:r>
        <w:rPr/>
        <w:t>Mamud, M. O., Yusuf, L. and</w:t>
      </w:r>
      <w:r>
        <w:rPr>
          <w:spacing w:val="-1"/>
        </w:rPr>
        <w:t> </w:t>
      </w:r>
      <w:r>
        <w:rPr/>
        <w:t>Babayemi, J. (2004). Assessment of</w:t>
      </w:r>
      <w:r>
        <w:rPr>
          <w:spacing w:val="-9"/>
        </w:rPr>
        <w:t> </w:t>
      </w:r>
      <w:r>
        <w:rPr/>
        <w:t>heavy</w:t>
      </w:r>
      <w:r>
        <w:rPr>
          <w:spacing w:val="-1"/>
        </w:rPr>
        <w:t> </w:t>
      </w:r>
      <w:r>
        <w:rPr/>
        <w:t>metal</w:t>
      </w:r>
      <w:r>
        <w:rPr>
          <w:spacing w:val="-10"/>
        </w:rPr>
        <w:t> </w:t>
      </w:r>
      <w:r>
        <w:rPr/>
        <w:t>concentrations in the liver of</w:t>
      </w:r>
      <w:r>
        <w:rPr>
          <w:spacing w:val="-2"/>
        </w:rPr>
        <w:t> </w:t>
      </w:r>
      <w:r>
        <w:rPr/>
        <w:t>cattle at slaughter during three different seasons. </w:t>
      </w:r>
      <w:r>
        <w:rPr>
          <w:i/>
        </w:rPr>
        <w:t>Resource Journal of Environmental Science </w:t>
      </w:r>
      <w:r>
        <w:rPr/>
        <w:t>43; 54 - 70</w:t>
      </w:r>
    </w:p>
    <w:p>
      <w:pPr>
        <w:pStyle w:val="BodyText"/>
        <w:spacing w:line="357" w:lineRule="auto" w:before="1"/>
        <w:ind w:left="420" w:right="730"/>
        <w:jc w:val="both"/>
      </w:pPr>
      <w:r>
        <w:rPr/>
        <w:t>Menzi,</w:t>
      </w:r>
      <w:r>
        <w:rPr>
          <w:spacing w:val="-1"/>
        </w:rPr>
        <w:t> </w:t>
      </w:r>
      <w:r>
        <w:rPr/>
        <w:t>H.</w:t>
      </w:r>
      <w:r>
        <w:rPr>
          <w:spacing w:val="-2"/>
        </w:rPr>
        <w:t> </w:t>
      </w:r>
      <w:r>
        <w:rPr/>
        <w:t>and Kessler,</w:t>
      </w:r>
      <w:r>
        <w:rPr>
          <w:spacing w:val="-1"/>
        </w:rPr>
        <w:t> </w:t>
      </w:r>
      <w:r>
        <w:rPr/>
        <w:t>J.</w:t>
      </w:r>
      <w:r>
        <w:rPr>
          <w:spacing w:val="-1"/>
        </w:rPr>
        <w:t> </w:t>
      </w:r>
      <w:r>
        <w:rPr/>
        <w:t>(2001).</w:t>
      </w:r>
      <w:r>
        <w:rPr>
          <w:spacing w:val="-1"/>
        </w:rPr>
        <w:t> </w:t>
      </w:r>
      <w:r>
        <w:rPr/>
        <w:t>Heavy</w:t>
      </w:r>
      <w:r>
        <w:rPr>
          <w:spacing w:val="-7"/>
        </w:rPr>
        <w:t> </w:t>
      </w:r>
      <w:r>
        <w:rPr/>
        <w:t>metal</w:t>
      </w:r>
      <w:r>
        <w:rPr>
          <w:spacing w:val="-11"/>
        </w:rPr>
        <w:t> </w:t>
      </w:r>
      <w:r>
        <w:rPr/>
        <w:t>content</w:t>
      </w:r>
      <w:r>
        <w:rPr>
          <w:spacing w:val="-3"/>
        </w:rPr>
        <w:t> </w:t>
      </w:r>
      <w:r>
        <w:rPr/>
        <w:t>of</w:t>
      </w:r>
      <w:r>
        <w:rPr>
          <w:spacing w:val="-6"/>
        </w:rPr>
        <w:t> </w:t>
      </w:r>
      <w:r>
        <w:rPr/>
        <w:t>manure in</w:t>
      </w:r>
      <w:r>
        <w:rPr>
          <w:spacing w:val="-7"/>
        </w:rPr>
        <w:t> </w:t>
      </w:r>
      <w:r>
        <w:rPr/>
        <w:t>Switzerland.</w:t>
      </w:r>
      <w:r>
        <w:rPr>
          <w:spacing w:val="-1"/>
        </w:rPr>
        <w:t> </w:t>
      </w:r>
      <w:r>
        <w:rPr/>
        <w:t>In:</w:t>
      </w:r>
      <w:r>
        <w:rPr>
          <w:spacing w:val="-3"/>
        </w:rPr>
        <w:t> </w:t>
      </w:r>
      <w:r>
        <w:rPr/>
        <w:t>Proceedings of the Eighth International Conference of the FAO Network on Recycling of Agricultural. Municipal and Industrial Residues in Agriculture (Inpress).</w:t>
      </w:r>
    </w:p>
    <w:p>
      <w:pPr>
        <w:pStyle w:val="BodyText"/>
        <w:spacing w:line="360" w:lineRule="auto" w:before="207"/>
        <w:ind w:left="420" w:right="728"/>
        <w:jc w:val="both"/>
      </w:pPr>
      <w:r>
        <w:rPr/>
        <w:t>Miranda, M., M., Lopez-Alonso, C., Castillo, J., Hernandez, H. and Benedito, L. (2005). Effects of moderate pollution on toxic and trace metal levels in calves from a polluted area of Northern Spain. </w:t>
      </w:r>
      <w:r>
        <w:rPr>
          <w:i/>
        </w:rPr>
        <w:t>Environmental International Journal</w:t>
      </w:r>
      <w:r>
        <w:rPr/>
        <w:t>, 31: 543-548</w:t>
      </w:r>
    </w:p>
    <w:p>
      <w:pPr>
        <w:pStyle w:val="BodyText"/>
        <w:spacing w:line="271" w:lineRule="auto" w:before="204"/>
        <w:ind w:left="420" w:right="718"/>
        <w:jc w:val="both"/>
      </w:pPr>
      <w:r>
        <w:rPr/>
        <w:t>Moore, S. A. (2007). Soil and Plants as biomonitor of the environmental pollution. </w:t>
      </w:r>
      <w:r>
        <w:rPr>
          <w:i/>
        </w:rPr>
        <w:t>Toxicology Bulletin</w:t>
      </w:r>
      <w:r>
        <w:rPr/>
        <w:t>, 74: 2914-2914.</w:t>
      </w:r>
    </w:p>
    <w:p>
      <w:pPr>
        <w:pStyle w:val="BodyText"/>
        <w:spacing w:before="211"/>
        <w:ind w:left="420"/>
      </w:pPr>
      <w:r>
        <w:rPr/>
        <w:t>Morrison,</w:t>
      </w:r>
      <w:r>
        <w:rPr>
          <w:spacing w:val="33"/>
        </w:rPr>
        <w:t> </w:t>
      </w:r>
      <w:r>
        <w:rPr/>
        <w:t>J.</w:t>
      </w:r>
      <w:r>
        <w:rPr>
          <w:spacing w:val="35"/>
        </w:rPr>
        <w:t> </w:t>
      </w:r>
      <w:r>
        <w:rPr/>
        <w:t>L.</w:t>
      </w:r>
      <w:r>
        <w:rPr>
          <w:spacing w:val="35"/>
        </w:rPr>
        <w:t> </w:t>
      </w:r>
      <w:r>
        <w:rPr/>
        <w:t>(2011).</w:t>
      </w:r>
      <w:r>
        <w:rPr>
          <w:spacing w:val="36"/>
        </w:rPr>
        <w:t> </w:t>
      </w:r>
      <w:r>
        <w:rPr/>
        <w:t>Distribution</w:t>
      </w:r>
      <w:r>
        <w:rPr>
          <w:spacing w:val="28"/>
        </w:rPr>
        <w:t> </w:t>
      </w:r>
      <w:r>
        <w:rPr/>
        <w:t>of</w:t>
      </w:r>
      <w:r>
        <w:rPr>
          <w:spacing w:val="26"/>
        </w:rPr>
        <w:t> </w:t>
      </w:r>
      <w:r>
        <w:rPr/>
        <w:t>arsenic</w:t>
      </w:r>
      <w:r>
        <w:rPr>
          <w:spacing w:val="37"/>
        </w:rPr>
        <w:t> </w:t>
      </w:r>
      <w:r>
        <w:rPr/>
        <w:t>from</w:t>
      </w:r>
      <w:r>
        <w:rPr>
          <w:spacing w:val="24"/>
        </w:rPr>
        <w:t> </w:t>
      </w:r>
      <w:r>
        <w:rPr/>
        <w:t>poultry</w:t>
      </w:r>
      <w:r>
        <w:rPr>
          <w:spacing w:val="29"/>
        </w:rPr>
        <w:t> </w:t>
      </w:r>
      <w:r>
        <w:rPr/>
        <w:t>litter</w:t>
      </w:r>
      <w:r>
        <w:rPr>
          <w:spacing w:val="35"/>
        </w:rPr>
        <w:t> </w:t>
      </w:r>
      <w:r>
        <w:rPr/>
        <w:t>in</w:t>
      </w:r>
      <w:r>
        <w:rPr>
          <w:spacing w:val="28"/>
        </w:rPr>
        <w:t> </w:t>
      </w:r>
      <w:r>
        <w:rPr/>
        <w:t>chickens,</w:t>
      </w:r>
      <w:r>
        <w:rPr>
          <w:spacing w:val="36"/>
        </w:rPr>
        <w:t> </w:t>
      </w:r>
      <w:r>
        <w:rPr/>
        <w:t>soil</w:t>
      </w:r>
      <w:r>
        <w:rPr>
          <w:spacing w:val="29"/>
        </w:rPr>
        <w:t> </w:t>
      </w:r>
      <w:r>
        <w:rPr/>
        <w:t>and</w:t>
      </w:r>
      <w:r>
        <w:rPr>
          <w:spacing w:val="34"/>
        </w:rPr>
        <w:t> </w:t>
      </w:r>
      <w:r>
        <w:rPr>
          <w:spacing w:val="-2"/>
        </w:rPr>
        <w:t>crops.</w:t>
      </w:r>
    </w:p>
    <w:p>
      <w:pPr>
        <w:spacing w:before="132"/>
        <w:ind w:left="420" w:right="0" w:firstLine="0"/>
        <w:jc w:val="left"/>
        <w:rPr>
          <w:sz w:val="24"/>
        </w:rPr>
      </w:pPr>
      <w:r>
        <w:rPr>
          <w:sz w:val="24"/>
        </w:rPr>
        <w:t>.</w:t>
      </w:r>
      <w:r>
        <w:rPr>
          <w:i/>
          <w:sz w:val="24"/>
        </w:rPr>
        <w:t>Journal</w:t>
      </w:r>
      <w:r>
        <w:rPr>
          <w:i/>
          <w:spacing w:val="-4"/>
          <w:sz w:val="24"/>
        </w:rPr>
        <w:t> </w:t>
      </w:r>
      <w:r>
        <w:rPr>
          <w:i/>
          <w:sz w:val="24"/>
        </w:rPr>
        <w:t>of</w:t>
      </w:r>
      <w:r>
        <w:rPr>
          <w:i/>
          <w:spacing w:val="-1"/>
          <w:sz w:val="24"/>
        </w:rPr>
        <w:t> </w:t>
      </w:r>
      <w:r>
        <w:rPr>
          <w:i/>
          <w:sz w:val="24"/>
        </w:rPr>
        <w:t>Agricultural</w:t>
      </w:r>
      <w:r>
        <w:rPr>
          <w:i/>
          <w:spacing w:val="-1"/>
          <w:sz w:val="24"/>
        </w:rPr>
        <w:t> </w:t>
      </w:r>
      <w:r>
        <w:rPr>
          <w:i/>
          <w:sz w:val="24"/>
        </w:rPr>
        <w:t>and</w:t>
      </w:r>
      <w:r>
        <w:rPr>
          <w:i/>
          <w:spacing w:val="-1"/>
          <w:sz w:val="24"/>
        </w:rPr>
        <w:t> </w:t>
      </w:r>
      <w:r>
        <w:rPr>
          <w:i/>
          <w:sz w:val="24"/>
        </w:rPr>
        <w:t>Food</w:t>
      </w:r>
      <w:r>
        <w:rPr>
          <w:i/>
          <w:spacing w:val="-1"/>
          <w:sz w:val="24"/>
        </w:rPr>
        <w:t> </w:t>
      </w:r>
      <w:r>
        <w:rPr>
          <w:i/>
          <w:sz w:val="24"/>
        </w:rPr>
        <w:t>Chemistry.</w:t>
      </w:r>
      <w:r>
        <w:rPr>
          <w:i/>
          <w:spacing w:val="4"/>
          <w:sz w:val="24"/>
        </w:rPr>
        <w:t> </w:t>
      </w:r>
      <w:r>
        <w:rPr>
          <w:sz w:val="24"/>
        </w:rPr>
        <w:t>17,</w:t>
      </w:r>
      <w:r>
        <w:rPr>
          <w:spacing w:val="-3"/>
          <w:sz w:val="24"/>
        </w:rPr>
        <w:t> </w:t>
      </w:r>
      <w:r>
        <w:rPr>
          <w:sz w:val="24"/>
        </w:rPr>
        <w:t>1288-</w:t>
      </w:r>
      <w:r>
        <w:rPr>
          <w:spacing w:val="-2"/>
          <w:sz w:val="24"/>
        </w:rPr>
        <w:t>1290.</w:t>
      </w:r>
    </w:p>
    <w:p>
      <w:pPr>
        <w:pStyle w:val="BodyText"/>
        <w:spacing w:before="77"/>
      </w:pPr>
    </w:p>
    <w:p>
      <w:pPr>
        <w:pStyle w:val="BodyText"/>
        <w:spacing w:before="1"/>
        <w:ind w:left="420"/>
        <w:rPr>
          <w:rFonts w:ascii="Calibri"/>
        </w:rPr>
      </w:pPr>
      <w:r>
        <w:rPr/>
        <w:t>Medecins</w:t>
      </w:r>
      <w:r>
        <w:rPr>
          <w:spacing w:val="20"/>
        </w:rPr>
        <w:t> </w:t>
      </w:r>
      <w:r>
        <w:rPr/>
        <w:t>Sans</w:t>
      </w:r>
      <w:r>
        <w:rPr>
          <w:spacing w:val="25"/>
        </w:rPr>
        <w:t> </w:t>
      </w:r>
      <w:r>
        <w:rPr/>
        <w:t>Frontieres</w:t>
      </w:r>
      <w:r>
        <w:rPr>
          <w:spacing w:val="21"/>
        </w:rPr>
        <w:t> </w:t>
      </w:r>
      <w:r>
        <w:rPr/>
        <w:t>(MSF,</w:t>
      </w:r>
      <w:r>
        <w:rPr>
          <w:spacing w:val="24"/>
        </w:rPr>
        <w:t> </w:t>
      </w:r>
      <w:r>
        <w:rPr/>
        <w:t>2010).</w:t>
      </w:r>
      <w:r>
        <w:rPr>
          <w:spacing w:val="30"/>
        </w:rPr>
        <w:t> </w:t>
      </w:r>
      <w:r>
        <w:rPr/>
        <w:t>Doctors</w:t>
      </w:r>
      <w:r>
        <w:rPr>
          <w:spacing w:val="16"/>
        </w:rPr>
        <w:t> </w:t>
      </w:r>
      <w:r>
        <w:rPr/>
        <w:t>without</w:t>
      </w:r>
      <w:r>
        <w:rPr>
          <w:spacing w:val="22"/>
        </w:rPr>
        <w:t> </w:t>
      </w:r>
      <w:r>
        <w:rPr/>
        <w:t>Borders:</w:t>
      </w:r>
      <w:r>
        <w:rPr>
          <w:spacing w:val="23"/>
        </w:rPr>
        <w:t> </w:t>
      </w:r>
      <w:r>
        <w:rPr/>
        <w:t>MSF</w:t>
      </w:r>
      <w:r>
        <w:rPr>
          <w:spacing w:val="19"/>
        </w:rPr>
        <w:t> </w:t>
      </w:r>
      <w:r>
        <w:rPr/>
        <w:t>Article</w:t>
      </w:r>
      <w:r>
        <w:rPr>
          <w:spacing w:val="27"/>
        </w:rPr>
        <w:t> </w:t>
      </w:r>
      <w:r>
        <w:rPr/>
        <w:t>on</w:t>
      </w:r>
      <w:r>
        <w:rPr>
          <w:spacing w:val="17"/>
        </w:rPr>
        <w:t> </w:t>
      </w:r>
      <w:hyperlink r:id="rId102">
        <w:r>
          <w:rPr>
            <w:rFonts w:ascii="Calibri"/>
            <w:u w:val="single"/>
          </w:rPr>
          <w:t>health</w:t>
        </w:r>
        <w:r>
          <w:rPr>
            <w:rFonts w:ascii="Calibri"/>
            <w:spacing w:val="19"/>
            <w:u w:val="single"/>
          </w:rPr>
          <w:t> </w:t>
        </w:r>
        <w:r>
          <w:rPr>
            <w:rFonts w:ascii="Calibri"/>
            <w:spacing w:val="-4"/>
            <w:u w:val="single"/>
          </w:rPr>
          <w:t>care</w:t>
        </w:r>
      </w:hyperlink>
    </w:p>
    <w:p>
      <w:pPr>
        <w:pStyle w:val="BodyText"/>
        <w:spacing w:before="288"/>
        <w:ind w:left="420"/>
        <w:jc w:val="both"/>
      </w:pPr>
      <w:hyperlink r:id="rId102">
        <w:r>
          <w:rPr>
            <w:rFonts w:ascii="Calibri"/>
            <w:u w:val="single"/>
          </w:rPr>
          <w:t>crucial</w:t>
        </w:r>
        <w:r>
          <w:rPr>
            <w:rFonts w:ascii="Calibri"/>
            <w:spacing w:val="-5"/>
            <w:u w:val="single"/>
          </w:rPr>
          <w:t> </w:t>
        </w:r>
        <w:r>
          <w:rPr>
            <w:rFonts w:ascii="Calibri"/>
            <w:u w:val="single"/>
          </w:rPr>
          <w:t>in</w:t>
        </w:r>
        <w:r>
          <w:rPr>
            <w:rFonts w:ascii="Calibri"/>
            <w:spacing w:val="-7"/>
            <w:u w:val="single"/>
          </w:rPr>
          <w:t> </w:t>
        </w:r>
        <w:r>
          <w:rPr>
            <w:rFonts w:ascii="Calibri"/>
            <w:u w:val="single"/>
          </w:rPr>
          <w:t>emergency</w:t>
        </w:r>
        <w:r>
          <w:rPr>
            <w:rFonts w:ascii="Calibri"/>
            <w:spacing w:val="-4"/>
            <w:u w:val="single"/>
          </w:rPr>
          <w:t> </w:t>
        </w:r>
        <w:r>
          <w:rPr>
            <w:rFonts w:ascii="Calibri"/>
            <w:u w:val="single"/>
          </w:rPr>
          <w:t>situations</w:t>
        </w:r>
        <w:r>
          <w:rPr/>
          <w:t>.</w:t>
        </w:r>
      </w:hyperlink>
      <w:r>
        <w:rPr>
          <w:spacing w:val="-1"/>
        </w:rPr>
        <w:t> </w:t>
      </w:r>
      <w:r>
        <w:rPr/>
        <w:t>Retrieved</w:t>
      </w:r>
      <w:r>
        <w:rPr>
          <w:spacing w:val="-3"/>
        </w:rPr>
        <w:t> </w:t>
      </w:r>
      <w:r>
        <w:rPr/>
        <w:t>28</w:t>
      </w:r>
      <w:r>
        <w:rPr>
          <w:spacing w:val="-3"/>
        </w:rPr>
        <w:t> </w:t>
      </w:r>
      <w:r>
        <w:rPr/>
        <w:t>December</w:t>
      </w:r>
      <w:r>
        <w:rPr>
          <w:spacing w:val="-2"/>
        </w:rPr>
        <w:t> 2010.</w:t>
      </w:r>
    </w:p>
    <w:p>
      <w:pPr>
        <w:pStyle w:val="BodyText"/>
        <w:spacing w:before="213"/>
      </w:pPr>
    </w:p>
    <w:p>
      <w:pPr>
        <w:pStyle w:val="BodyText"/>
        <w:spacing w:line="480" w:lineRule="auto"/>
        <w:ind w:left="420" w:right="725"/>
        <w:jc w:val="both"/>
      </w:pPr>
      <w:r>
        <w:rPr/>
        <w:t>Musa , H., Yakasai, I. A. and Musa, H. H. (2004). Determination of Lead concentration in well and Bore hole water in Zaria, Nigeria. </w:t>
      </w:r>
      <w:r>
        <w:rPr>
          <w:i/>
        </w:rPr>
        <w:t>Journal of Chemclass</w:t>
      </w:r>
      <w:r>
        <w:rPr/>
        <w:t>, 1, 14-18.</w:t>
      </w:r>
    </w:p>
    <w:p>
      <w:pPr>
        <w:pStyle w:val="BodyText"/>
        <w:spacing w:line="480" w:lineRule="auto" w:before="197"/>
        <w:ind w:left="420" w:right="717"/>
        <w:jc w:val="both"/>
      </w:pPr>
      <w:r>
        <w:rPr/>
        <w:t>NACA. (200)7. Report</w:t>
      </w:r>
      <w:r>
        <w:rPr>
          <w:spacing w:val="-1"/>
        </w:rPr>
        <w:t> </w:t>
      </w:r>
      <w:r>
        <w:rPr/>
        <w:t>on</w:t>
      </w:r>
      <w:r>
        <w:rPr>
          <w:spacing w:val="-6"/>
        </w:rPr>
        <w:t> </w:t>
      </w:r>
      <w:r>
        <w:rPr/>
        <w:t>the</w:t>
      </w:r>
      <w:r>
        <w:rPr>
          <w:spacing w:val="-2"/>
        </w:rPr>
        <w:t> </w:t>
      </w:r>
      <w:r>
        <w:rPr/>
        <w:t>workshop</w:t>
      </w:r>
      <w:r>
        <w:rPr>
          <w:spacing w:val="-1"/>
        </w:rPr>
        <w:t> </w:t>
      </w:r>
      <w:r>
        <w:rPr/>
        <w:t>on</w:t>
      </w:r>
      <w:r>
        <w:rPr>
          <w:spacing w:val="-6"/>
        </w:rPr>
        <w:t> </w:t>
      </w:r>
      <w:r>
        <w:rPr/>
        <w:t>research</w:t>
      </w:r>
      <w:r>
        <w:rPr>
          <w:spacing w:val="-1"/>
        </w:rPr>
        <w:t> </w:t>
      </w:r>
      <w:r>
        <w:rPr/>
        <w:t>needs in</w:t>
      </w:r>
      <w:r>
        <w:rPr>
          <w:spacing w:val="-1"/>
        </w:rPr>
        <w:t> </w:t>
      </w:r>
      <w:r>
        <w:rPr/>
        <w:t>sustaining</w:t>
      </w:r>
      <w:r>
        <w:rPr>
          <w:spacing w:val="-1"/>
        </w:rPr>
        <w:t> </w:t>
      </w:r>
      <w:r>
        <w:rPr/>
        <w:t>the aquaculture</w:t>
      </w:r>
      <w:r>
        <w:rPr>
          <w:spacing w:val="-2"/>
        </w:rPr>
        <w:t> </w:t>
      </w:r>
      <w:r>
        <w:rPr/>
        <w:t>sector in Asia-pacific to Year 2025 and beyond, 4-7th June 2007, Rayong, Thailand. Network of Aquaculture centers in Asia and the Pacific, Bangkok. pp: 10.</w:t>
      </w:r>
    </w:p>
    <w:p>
      <w:pPr>
        <w:pStyle w:val="BodyText"/>
        <w:spacing w:line="271" w:lineRule="auto" w:before="203"/>
        <w:ind w:left="420" w:right="720"/>
        <w:jc w:val="both"/>
      </w:pPr>
      <w:r>
        <w:rPr/>
        <w:t>Ndiokwere, C. Godwin C. and Ezehe, C.A. (2009). The occurrence of heavy metals in the vicinity of industrial complexes in Nigeria</w:t>
      </w:r>
      <w:r>
        <w:rPr>
          <w:i/>
        </w:rPr>
        <w:t>. Environmental International</w:t>
      </w:r>
      <w:r>
        <w:rPr/>
        <w:t>, 16, 291-295</w:t>
      </w:r>
    </w:p>
    <w:p>
      <w:pPr>
        <w:spacing w:after="0" w:line="271" w:lineRule="auto"/>
        <w:jc w:val="both"/>
        <w:sectPr>
          <w:pgSz w:w="12240" w:h="15840"/>
          <w:pgMar w:header="0" w:footer="1012" w:top="1360" w:bottom="1200" w:left="1020" w:right="720"/>
        </w:sectPr>
      </w:pPr>
    </w:p>
    <w:p>
      <w:pPr>
        <w:pStyle w:val="BodyText"/>
        <w:spacing w:line="357" w:lineRule="auto" w:before="72"/>
        <w:ind w:left="420" w:right="715"/>
        <w:jc w:val="both"/>
      </w:pPr>
      <w:r>
        <w:rPr/>
        <w:t>Nicholson, F., Chambers, B., Alloway, B., Hird, A., Smith, S., Carlton-Smith, C. (2000). An inventory of heavy metal inputs to Agricultural soils in England and Wales. In: Proceedings of the 16</w:t>
      </w:r>
      <w:r>
        <w:rPr>
          <w:vertAlign w:val="superscript"/>
        </w:rPr>
        <w:t>th</w:t>
      </w:r>
      <w:r>
        <w:rPr>
          <w:vertAlign w:val="baseline"/>
        </w:rPr>
        <w:t> World Congress of Soil Science. Montpellier, France.</w:t>
      </w:r>
    </w:p>
    <w:p>
      <w:pPr>
        <w:pStyle w:val="BodyText"/>
        <w:spacing w:line="360" w:lineRule="auto" w:before="207"/>
        <w:ind w:left="420" w:right="715"/>
        <w:jc w:val="both"/>
      </w:pPr>
      <w:r>
        <w:rPr/>
        <w:t>Nnaji, C. J., Okoye, F. and Ogunseye, J. (2003). Integrated fish farming practices with special reference to combination rates production figures and economic evaluation, Proceedings of the 18th Conference of Fisheries Society of Nigerian (FISON). December 8-12, Owerri, page 173- </w:t>
      </w:r>
      <w:r>
        <w:rPr>
          <w:spacing w:val="-4"/>
        </w:rPr>
        <w:t>178.</w:t>
      </w:r>
    </w:p>
    <w:p>
      <w:pPr>
        <w:pStyle w:val="BodyText"/>
        <w:spacing w:line="355" w:lineRule="auto" w:before="202"/>
        <w:ind w:left="420" w:right="725"/>
        <w:jc w:val="both"/>
      </w:pPr>
      <w:r>
        <w:rPr/>
        <w:t>NRC. (1994). Nutrient Requirements of Poultry.9th revised edition, National Academy of Sciences, Washington, DC. Pages 19-34.</w:t>
      </w:r>
    </w:p>
    <w:p>
      <w:pPr>
        <w:pStyle w:val="BodyText"/>
        <w:spacing w:line="360" w:lineRule="auto" w:before="211"/>
        <w:ind w:left="420" w:right="726"/>
        <w:jc w:val="both"/>
      </w:pPr>
      <w:r>
        <w:rPr/>
        <w:t>Nwude, D., Okoye, P. and Benjami, O. (2012). Metal accumulation in cattle raised in a serpentine-soil area: Relationship between metal concentrations in soil, forage and animal</w:t>
      </w:r>
      <w:r>
        <w:rPr>
          <w:spacing w:val="40"/>
        </w:rPr>
        <w:t> </w:t>
      </w:r>
      <w:r>
        <w:rPr/>
        <w:t>tissues. </w:t>
      </w:r>
      <w:r>
        <w:rPr>
          <w:i/>
        </w:rPr>
        <w:t>Journal of Trace Elements Medical Biology</w:t>
      </w:r>
      <w:r>
        <w:rPr/>
        <w:t>, 23: 231-238</w:t>
      </w:r>
    </w:p>
    <w:p>
      <w:pPr>
        <w:spacing w:line="357" w:lineRule="auto" w:before="203"/>
        <w:ind w:left="420" w:right="720" w:firstLine="0"/>
        <w:jc w:val="both"/>
        <w:rPr>
          <w:sz w:val="24"/>
        </w:rPr>
      </w:pPr>
      <w:r>
        <w:rPr>
          <w:sz w:val="24"/>
        </w:rPr>
        <w:t>Odai, S.N., Mensah, E., Sipitey, D., Ryo, S. and Awuah, E. (2008). Heavy metals uptake by vegetables cultivated on urban waste dumpsites: Case study of Kumasi, Ghana</w:t>
      </w:r>
      <w:r>
        <w:rPr>
          <w:i/>
          <w:sz w:val="24"/>
        </w:rPr>
        <w:t>. Research</w:t>
      </w:r>
      <w:r>
        <w:rPr>
          <w:i/>
          <w:spacing w:val="40"/>
          <w:sz w:val="24"/>
        </w:rPr>
        <w:t> </w:t>
      </w:r>
      <w:r>
        <w:rPr>
          <w:i/>
          <w:sz w:val="24"/>
        </w:rPr>
        <w:t>Journal of Environmental Toxicology</w:t>
      </w:r>
      <w:r>
        <w:rPr>
          <w:sz w:val="24"/>
        </w:rPr>
        <w:t>, 2, 92-99.</w:t>
      </w:r>
    </w:p>
    <w:p>
      <w:pPr>
        <w:spacing w:line="355" w:lineRule="auto" w:before="207"/>
        <w:ind w:left="420" w:right="722" w:firstLine="0"/>
        <w:jc w:val="both"/>
        <w:rPr>
          <w:b/>
          <w:sz w:val="24"/>
        </w:rPr>
      </w:pPr>
      <w:r>
        <w:rPr>
          <w:sz w:val="24"/>
        </w:rPr>
        <w:t>Oduemeran, P. (2005). Study of heavy metal pollution of River Antau, Keffi, Nasarawa State, Nigeria,</w:t>
      </w:r>
      <w:r>
        <w:rPr>
          <w:spacing w:val="40"/>
          <w:sz w:val="24"/>
        </w:rPr>
        <w:t> </w:t>
      </w:r>
      <w:r>
        <w:rPr>
          <w:i/>
          <w:sz w:val="24"/>
        </w:rPr>
        <w:t>India Journal of Multinational Resource., </w:t>
      </w:r>
      <w:r>
        <w:rPr>
          <w:sz w:val="24"/>
        </w:rPr>
        <w:t>4 </w:t>
      </w:r>
      <w:r>
        <w:rPr>
          <w:b/>
          <w:sz w:val="24"/>
        </w:rPr>
        <w:t>(</w:t>
      </w:r>
      <w:r>
        <w:rPr>
          <w:sz w:val="24"/>
        </w:rPr>
        <w:t>1</w:t>
      </w:r>
      <w:r>
        <w:rPr>
          <w:b/>
          <w:sz w:val="24"/>
        </w:rPr>
        <w:t>), </w:t>
      </w:r>
      <w:r>
        <w:rPr>
          <w:sz w:val="24"/>
        </w:rPr>
        <w:t>8-18</w:t>
      </w:r>
      <w:r>
        <w:rPr>
          <w:b/>
          <w:sz w:val="24"/>
        </w:rPr>
        <w:t>.</w:t>
      </w:r>
    </w:p>
    <w:p>
      <w:pPr>
        <w:pStyle w:val="BodyText"/>
        <w:rPr>
          <w:b/>
        </w:rPr>
      </w:pPr>
    </w:p>
    <w:p>
      <w:pPr>
        <w:pStyle w:val="BodyText"/>
        <w:spacing w:before="273"/>
        <w:rPr>
          <w:b/>
        </w:rPr>
      </w:pPr>
    </w:p>
    <w:p>
      <w:pPr>
        <w:pStyle w:val="BodyText"/>
        <w:spacing w:line="360" w:lineRule="auto"/>
        <w:ind w:left="420" w:right="711"/>
        <w:jc w:val="both"/>
      </w:pPr>
      <w:r>
        <w:rPr/>
        <w:t>Oforka, N. C., Osuji, L.C. and Onwuachu, U. I. (2012). Estimation</w:t>
      </w:r>
      <w:r>
        <w:rPr>
          <w:spacing w:val="-4"/>
        </w:rPr>
        <w:t> </w:t>
      </w:r>
      <w:r>
        <w:rPr/>
        <w:t>of</w:t>
      </w:r>
      <w:r>
        <w:rPr>
          <w:spacing w:val="-7"/>
        </w:rPr>
        <w:t> </w:t>
      </w:r>
      <w:r>
        <w:rPr/>
        <w:t>dietary</w:t>
      </w:r>
      <w:r>
        <w:rPr>
          <w:spacing w:val="-4"/>
        </w:rPr>
        <w:t> </w:t>
      </w:r>
      <w:r>
        <w:rPr/>
        <w:t>intake of</w:t>
      </w:r>
      <w:r>
        <w:rPr>
          <w:spacing w:val="-7"/>
        </w:rPr>
        <w:t> </w:t>
      </w:r>
      <w:r>
        <w:rPr/>
        <w:t>cadmium, lead, manganese, zinc and nickel due to consumption of chicken meat by inhabitants of Port- Harcourt Metropolis, Nigeria. </w:t>
      </w:r>
      <w:r>
        <w:rPr>
          <w:i/>
        </w:rPr>
        <w:t>Archives of Applied Science Research</w:t>
      </w:r>
      <w:r>
        <w:rPr/>
        <w:t>, 4(1): 675-684.</w:t>
      </w:r>
    </w:p>
    <w:p>
      <w:pPr>
        <w:spacing w:line="360" w:lineRule="auto" w:before="199"/>
        <w:ind w:left="420" w:right="720" w:firstLine="0"/>
        <w:jc w:val="both"/>
        <w:rPr>
          <w:sz w:val="24"/>
        </w:rPr>
      </w:pPr>
      <w:r>
        <w:rPr>
          <w:sz w:val="24"/>
        </w:rPr>
        <w:t>Ogabiola, E.,</w:t>
      </w:r>
      <w:r>
        <w:rPr>
          <w:spacing w:val="40"/>
          <w:sz w:val="24"/>
        </w:rPr>
        <w:t> </w:t>
      </w:r>
      <w:r>
        <w:rPr>
          <w:sz w:val="24"/>
        </w:rPr>
        <w:t>Yabpella, G., Adesina, O. B., Udiba, U.,</w:t>
      </w:r>
      <w:r>
        <w:rPr>
          <w:spacing w:val="40"/>
          <w:sz w:val="24"/>
        </w:rPr>
        <w:t> </w:t>
      </w:r>
      <w:r>
        <w:rPr>
          <w:sz w:val="24"/>
        </w:rPr>
        <w:t>Ade – Ajayi,</w:t>
      </w:r>
      <w:r>
        <w:rPr>
          <w:spacing w:val="40"/>
          <w:sz w:val="24"/>
        </w:rPr>
        <w:t> </w:t>
      </w:r>
      <w:r>
        <w:rPr>
          <w:sz w:val="24"/>
        </w:rPr>
        <w:t>A.,</w:t>
      </w:r>
      <w:r>
        <w:rPr>
          <w:spacing w:val="80"/>
          <w:sz w:val="24"/>
        </w:rPr>
        <w:t> </w:t>
      </w:r>
      <w:r>
        <w:rPr>
          <w:sz w:val="24"/>
        </w:rPr>
        <w:t>Agomya, M., Hammuel, C. and Abdulahi, M. (2013). Effects of heavy metal contamination in river Yatsman</w:t>
      </w:r>
      <w:r>
        <w:rPr>
          <w:spacing w:val="40"/>
          <w:sz w:val="24"/>
        </w:rPr>
        <w:t> </w:t>
      </w:r>
      <w:r>
        <w:rPr>
          <w:sz w:val="24"/>
        </w:rPr>
        <w:t>in Borno state, Nigeria. </w:t>
      </w:r>
      <w:r>
        <w:rPr>
          <w:i/>
          <w:sz w:val="24"/>
        </w:rPr>
        <w:t>Journal of Applied Environmental and Biological sciences</w:t>
      </w:r>
      <w:r>
        <w:rPr>
          <w:sz w:val="24"/>
        </w:rPr>
        <w:t>, (4) pp 69 – </w:t>
      </w:r>
      <w:r>
        <w:rPr>
          <w:spacing w:val="-4"/>
          <w:sz w:val="24"/>
        </w:rPr>
        <w:t>73.</w:t>
      </w:r>
    </w:p>
    <w:p>
      <w:pPr>
        <w:spacing w:after="0" w:line="360" w:lineRule="auto"/>
        <w:jc w:val="both"/>
        <w:rPr>
          <w:sz w:val="24"/>
        </w:rPr>
        <w:sectPr>
          <w:pgSz w:w="12240" w:h="15840"/>
          <w:pgMar w:header="0" w:footer="1012" w:top="1360" w:bottom="1200" w:left="1020" w:right="720"/>
        </w:sectPr>
      </w:pPr>
    </w:p>
    <w:p>
      <w:pPr>
        <w:pStyle w:val="BodyText"/>
        <w:spacing w:line="357" w:lineRule="auto" w:before="72"/>
        <w:ind w:left="420" w:right="728"/>
        <w:jc w:val="both"/>
      </w:pPr>
      <w:r>
        <w:rPr/>
        <w:t>Ogundiran, M. B., Ogundele, D. T., Afolayan, P. G. and Osibanjo, F. (2012).Heavy Metals Levels in Forage Grasses, Leachate and Lactating Cows Reared around Lead Slag Dumpsites in Nigeria </w:t>
      </w:r>
      <w:r>
        <w:rPr>
          <w:i/>
        </w:rPr>
        <w:t>International Journal of</w:t>
      </w:r>
      <w:r>
        <w:rPr>
          <w:i/>
          <w:spacing w:val="40"/>
        </w:rPr>
        <w:t> </w:t>
      </w:r>
      <w:r>
        <w:rPr>
          <w:i/>
        </w:rPr>
        <w:t>Environmental Resource, </w:t>
      </w:r>
      <w:r>
        <w:rPr/>
        <w:t>6(3):695-702.</w:t>
      </w:r>
    </w:p>
    <w:p>
      <w:pPr>
        <w:pStyle w:val="BodyText"/>
        <w:spacing w:line="360" w:lineRule="auto" w:before="207"/>
        <w:ind w:left="420" w:right="724"/>
        <w:jc w:val="both"/>
      </w:pPr>
      <w:r>
        <w:rPr/>
        <w:t>Okoronkwo,</w:t>
      </w:r>
      <w:r>
        <w:rPr>
          <w:spacing w:val="-2"/>
        </w:rPr>
        <w:t> </w:t>
      </w:r>
      <w:r>
        <w:rPr/>
        <w:t>N.E.,</w:t>
      </w:r>
      <w:r>
        <w:rPr>
          <w:spacing w:val="-1"/>
        </w:rPr>
        <w:t> </w:t>
      </w:r>
      <w:r>
        <w:rPr/>
        <w:t>Odemelam,</w:t>
      </w:r>
      <w:r>
        <w:rPr>
          <w:spacing w:val="-1"/>
        </w:rPr>
        <w:t> </w:t>
      </w:r>
      <w:r>
        <w:rPr/>
        <w:t>S.</w:t>
      </w:r>
      <w:r>
        <w:rPr>
          <w:spacing w:val="-1"/>
        </w:rPr>
        <w:t> </w:t>
      </w:r>
      <w:r>
        <w:rPr/>
        <w:t>A.</w:t>
      </w:r>
      <w:r>
        <w:rPr>
          <w:spacing w:val="-1"/>
        </w:rPr>
        <w:t> </w:t>
      </w:r>
      <w:r>
        <w:rPr/>
        <w:t>and Amos,</w:t>
      </w:r>
      <w:r>
        <w:rPr>
          <w:spacing w:val="-1"/>
        </w:rPr>
        <w:t> </w:t>
      </w:r>
      <w:r>
        <w:rPr/>
        <w:t>O.</w:t>
      </w:r>
      <w:r>
        <w:rPr>
          <w:spacing w:val="-2"/>
        </w:rPr>
        <w:t> </w:t>
      </w:r>
      <w:r>
        <w:rPr/>
        <w:t>A.</w:t>
      </w:r>
      <w:r>
        <w:rPr>
          <w:spacing w:val="-1"/>
        </w:rPr>
        <w:t> </w:t>
      </w:r>
      <w:r>
        <w:rPr/>
        <w:t>(2006).</w:t>
      </w:r>
      <w:r>
        <w:rPr>
          <w:spacing w:val="-5"/>
        </w:rPr>
        <w:t> </w:t>
      </w:r>
      <w:r>
        <w:rPr/>
        <w:t>Levels</w:t>
      </w:r>
      <w:r>
        <w:rPr>
          <w:spacing w:val="-5"/>
        </w:rPr>
        <w:t> </w:t>
      </w:r>
      <w:r>
        <w:rPr/>
        <w:t>of</w:t>
      </w:r>
      <w:r>
        <w:rPr>
          <w:spacing w:val="-10"/>
        </w:rPr>
        <w:t> </w:t>
      </w:r>
      <w:r>
        <w:rPr/>
        <w:t>toxic</w:t>
      </w:r>
      <w:r>
        <w:rPr>
          <w:spacing w:val="-4"/>
        </w:rPr>
        <w:t> </w:t>
      </w:r>
      <w:r>
        <w:rPr/>
        <w:t>elements</w:t>
      </w:r>
      <w:r>
        <w:rPr>
          <w:spacing w:val="-1"/>
        </w:rPr>
        <w:t> </w:t>
      </w:r>
      <w:r>
        <w:rPr/>
        <w:t>in</w:t>
      </w:r>
      <w:r>
        <w:rPr>
          <w:spacing w:val="-7"/>
        </w:rPr>
        <w:t> </w:t>
      </w:r>
      <w:r>
        <w:rPr/>
        <w:t>soils</w:t>
      </w:r>
      <w:r>
        <w:rPr>
          <w:spacing w:val="-5"/>
        </w:rPr>
        <w:t> </w:t>
      </w:r>
      <w:r>
        <w:rPr/>
        <w:t>of abandoned waste dumpsite. </w:t>
      </w:r>
      <w:r>
        <w:rPr>
          <w:i/>
        </w:rPr>
        <w:t>African Journal of Biotechnology</w:t>
      </w:r>
      <w:r>
        <w:rPr/>
        <w:t>, 5, 1241-1244</w:t>
      </w:r>
    </w:p>
    <w:p>
      <w:pPr>
        <w:spacing w:line="355" w:lineRule="auto" w:before="204"/>
        <w:ind w:left="420" w:right="728" w:firstLine="0"/>
        <w:jc w:val="both"/>
        <w:rPr>
          <w:sz w:val="24"/>
        </w:rPr>
      </w:pPr>
      <w:r>
        <w:rPr>
          <w:sz w:val="24"/>
        </w:rPr>
        <w:t>Okoye, C.O. B., Ibeto, C. N. and Ihedioha, J. N. (2011). Assessment of heavy metals in chicken feeds sold in south eastern Nigeria.</w:t>
      </w:r>
      <w:r>
        <w:rPr>
          <w:spacing w:val="40"/>
          <w:sz w:val="24"/>
        </w:rPr>
        <w:t> </w:t>
      </w:r>
      <w:r>
        <w:rPr>
          <w:i/>
          <w:sz w:val="24"/>
        </w:rPr>
        <w:t>Advances in Applied Science Research, </w:t>
      </w:r>
      <w:r>
        <w:rPr>
          <w:sz w:val="24"/>
        </w:rPr>
        <w:t>2(3):63-68.</w:t>
      </w:r>
    </w:p>
    <w:p>
      <w:pPr>
        <w:spacing w:line="355" w:lineRule="auto" w:before="211"/>
        <w:ind w:left="420" w:right="718" w:firstLine="0"/>
        <w:jc w:val="both"/>
        <w:rPr>
          <w:sz w:val="24"/>
        </w:rPr>
      </w:pPr>
      <w:r>
        <w:rPr>
          <w:sz w:val="24"/>
        </w:rPr>
        <w:t>Obasohan,</w:t>
      </w:r>
      <w:r>
        <w:rPr>
          <w:spacing w:val="-1"/>
          <w:sz w:val="24"/>
        </w:rPr>
        <w:t> </w:t>
      </w:r>
      <w:r>
        <w:rPr>
          <w:sz w:val="24"/>
        </w:rPr>
        <w:t>B.</w:t>
      </w:r>
      <w:r>
        <w:rPr>
          <w:spacing w:val="-1"/>
          <w:sz w:val="24"/>
        </w:rPr>
        <w:t> </w:t>
      </w:r>
      <w:r>
        <w:rPr>
          <w:sz w:val="24"/>
        </w:rPr>
        <w:t>and</w:t>
      </w:r>
      <w:r>
        <w:rPr>
          <w:spacing w:val="-3"/>
          <w:sz w:val="24"/>
        </w:rPr>
        <w:t> </w:t>
      </w:r>
      <w:r>
        <w:rPr>
          <w:sz w:val="24"/>
        </w:rPr>
        <w:t>Egwavon,</w:t>
      </w:r>
      <w:r>
        <w:rPr>
          <w:spacing w:val="-1"/>
          <w:sz w:val="24"/>
        </w:rPr>
        <w:t> </w:t>
      </w:r>
      <w:r>
        <w:rPr>
          <w:sz w:val="24"/>
        </w:rPr>
        <w:t>R.</w:t>
      </w:r>
      <w:r>
        <w:rPr>
          <w:spacing w:val="-1"/>
          <w:sz w:val="24"/>
        </w:rPr>
        <w:t> </w:t>
      </w:r>
      <w:r>
        <w:rPr>
          <w:sz w:val="24"/>
        </w:rPr>
        <w:t>(2008).</w:t>
      </w:r>
      <w:r>
        <w:rPr>
          <w:spacing w:val="-1"/>
          <w:sz w:val="24"/>
        </w:rPr>
        <w:t> </w:t>
      </w:r>
      <w:r>
        <w:rPr>
          <w:sz w:val="24"/>
        </w:rPr>
        <w:t>Lead</w:t>
      </w:r>
      <w:r>
        <w:rPr>
          <w:spacing w:val="-3"/>
          <w:sz w:val="24"/>
        </w:rPr>
        <w:t> </w:t>
      </w:r>
      <w:r>
        <w:rPr>
          <w:sz w:val="24"/>
        </w:rPr>
        <w:t>poisoning in</w:t>
      </w:r>
      <w:r>
        <w:rPr>
          <w:spacing w:val="-3"/>
          <w:sz w:val="24"/>
        </w:rPr>
        <w:t> </w:t>
      </w:r>
      <w:r>
        <w:rPr>
          <w:sz w:val="24"/>
        </w:rPr>
        <w:t>cattle-</w:t>
      </w:r>
      <w:r>
        <w:rPr>
          <w:spacing w:val="-1"/>
          <w:sz w:val="24"/>
        </w:rPr>
        <w:t> </w:t>
      </w:r>
      <w:r>
        <w:rPr>
          <w:sz w:val="24"/>
        </w:rPr>
        <w:t>transfer</w:t>
      </w:r>
      <w:r>
        <w:rPr>
          <w:spacing w:val="-2"/>
          <w:sz w:val="24"/>
        </w:rPr>
        <w:t> </w:t>
      </w:r>
      <w:r>
        <w:rPr>
          <w:sz w:val="24"/>
        </w:rPr>
        <w:t>of</w:t>
      </w:r>
      <w:r>
        <w:rPr>
          <w:spacing w:val="-6"/>
          <w:sz w:val="24"/>
        </w:rPr>
        <w:t> </w:t>
      </w:r>
      <w:r>
        <w:rPr>
          <w:sz w:val="24"/>
        </w:rPr>
        <w:t>lead</w:t>
      </w:r>
      <w:r>
        <w:rPr>
          <w:spacing w:val="-3"/>
          <w:sz w:val="24"/>
        </w:rPr>
        <w:t> </w:t>
      </w:r>
      <w:r>
        <w:rPr>
          <w:sz w:val="24"/>
        </w:rPr>
        <w:t>to milk. </w:t>
      </w:r>
      <w:r>
        <w:rPr>
          <w:i/>
          <w:sz w:val="24"/>
        </w:rPr>
        <w:t>Science and total Environment</w:t>
      </w:r>
      <w:r>
        <w:rPr>
          <w:sz w:val="24"/>
        </w:rPr>
        <w:t>, 111, 83-94.</w:t>
      </w:r>
    </w:p>
    <w:p>
      <w:pPr>
        <w:pStyle w:val="BodyText"/>
        <w:spacing w:before="211"/>
        <w:ind w:left="420"/>
        <w:jc w:val="both"/>
      </w:pPr>
      <w:r>
        <w:rPr/>
        <w:t>Oliver,</w:t>
      </w:r>
      <w:r>
        <w:rPr>
          <w:spacing w:val="28"/>
        </w:rPr>
        <w:t> </w:t>
      </w:r>
      <w:r>
        <w:rPr/>
        <w:t>T.</w:t>
      </w:r>
      <w:r>
        <w:rPr>
          <w:spacing w:val="31"/>
        </w:rPr>
        <w:t> </w:t>
      </w:r>
      <w:r>
        <w:rPr/>
        <w:t>N.</w:t>
      </w:r>
      <w:r>
        <w:rPr>
          <w:spacing w:val="30"/>
        </w:rPr>
        <w:t> </w:t>
      </w:r>
      <w:r>
        <w:rPr/>
        <w:t>(2007):</w:t>
      </w:r>
      <w:r>
        <w:rPr>
          <w:spacing w:val="28"/>
        </w:rPr>
        <w:t> </w:t>
      </w:r>
      <w:r>
        <w:rPr/>
        <w:t>Heavy</w:t>
      </w:r>
      <w:r>
        <w:rPr>
          <w:spacing w:val="33"/>
        </w:rPr>
        <w:t> </w:t>
      </w:r>
      <w:r>
        <w:rPr/>
        <w:t>metals</w:t>
      </w:r>
      <w:r>
        <w:rPr>
          <w:spacing w:val="31"/>
        </w:rPr>
        <w:t> </w:t>
      </w:r>
      <w:r>
        <w:rPr/>
        <w:t>pollution</w:t>
      </w:r>
      <w:r>
        <w:rPr>
          <w:spacing w:val="27"/>
        </w:rPr>
        <w:t> </w:t>
      </w:r>
      <w:r>
        <w:rPr/>
        <w:t>profiles</w:t>
      </w:r>
      <w:r>
        <w:rPr>
          <w:spacing w:val="36"/>
        </w:rPr>
        <w:t> </w:t>
      </w:r>
      <w:r>
        <w:rPr/>
        <w:t>in</w:t>
      </w:r>
      <w:r>
        <w:rPr>
          <w:spacing w:val="28"/>
        </w:rPr>
        <w:t> </w:t>
      </w:r>
      <w:r>
        <w:rPr/>
        <w:t>river</w:t>
      </w:r>
      <w:r>
        <w:rPr>
          <w:spacing w:val="30"/>
        </w:rPr>
        <w:t> </w:t>
      </w:r>
      <w:r>
        <w:rPr/>
        <w:t>Nasarawa</w:t>
      </w:r>
      <w:r>
        <w:rPr>
          <w:spacing w:val="26"/>
        </w:rPr>
        <w:t> </w:t>
      </w:r>
      <w:r>
        <w:rPr/>
        <w:t>and</w:t>
      </w:r>
      <w:r>
        <w:rPr>
          <w:spacing w:val="38"/>
        </w:rPr>
        <w:t> </w:t>
      </w:r>
      <w:r>
        <w:rPr/>
        <w:t>its</w:t>
      </w:r>
      <w:r>
        <w:rPr>
          <w:spacing w:val="31"/>
        </w:rPr>
        <w:t> </w:t>
      </w:r>
      <w:r>
        <w:rPr>
          <w:spacing w:val="-2"/>
        </w:rPr>
        <w:t>distributaries.</w:t>
      </w:r>
    </w:p>
    <w:p>
      <w:pPr>
        <w:spacing w:before="132"/>
        <w:ind w:left="420" w:right="0" w:firstLine="0"/>
        <w:jc w:val="both"/>
        <w:rPr>
          <w:sz w:val="24"/>
        </w:rPr>
      </w:pPr>
      <w:r>
        <w:rPr>
          <w:i/>
          <w:sz w:val="24"/>
        </w:rPr>
        <w:t>African</w:t>
      </w:r>
      <w:r>
        <w:rPr>
          <w:i/>
          <w:spacing w:val="-2"/>
          <w:sz w:val="24"/>
        </w:rPr>
        <w:t> </w:t>
      </w:r>
      <w:r>
        <w:rPr>
          <w:i/>
          <w:sz w:val="24"/>
        </w:rPr>
        <w:t>Journal of</w:t>
      </w:r>
      <w:r>
        <w:rPr>
          <w:i/>
          <w:spacing w:val="-1"/>
          <w:sz w:val="24"/>
        </w:rPr>
        <w:t> </w:t>
      </w:r>
      <w:r>
        <w:rPr>
          <w:i/>
          <w:sz w:val="24"/>
        </w:rPr>
        <w:t>Environmental Science</w:t>
      </w:r>
      <w:r>
        <w:rPr>
          <w:i/>
          <w:spacing w:val="-2"/>
          <w:sz w:val="24"/>
        </w:rPr>
        <w:t> </w:t>
      </w:r>
      <w:r>
        <w:rPr>
          <w:i/>
          <w:sz w:val="24"/>
        </w:rPr>
        <w:t>Technology,</w:t>
      </w:r>
      <w:r>
        <w:rPr>
          <w:i/>
          <w:spacing w:val="6"/>
          <w:sz w:val="24"/>
        </w:rPr>
        <w:t> </w:t>
      </w:r>
      <w:r>
        <w:rPr>
          <w:sz w:val="24"/>
        </w:rPr>
        <w:t>2</w:t>
      </w:r>
      <w:r>
        <w:rPr>
          <w:spacing w:val="-5"/>
          <w:sz w:val="24"/>
        </w:rPr>
        <w:t> </w:t>
      </w:r>
      <w:r>
        <w:rPr>
          <w:sz w:val="24"/>
        </w:rPr>
        <w:t>(11),</w:t>
      </w:r>
      <w:r>
        <w:rPr>
          <w:spacing w:val="2"/>
          <w:sz w:val="24"/>
        </w:rPr>
        <w:t> </w:t>
      </w:r>
      <w:r>
        <w:rPr>
          <w:sz w:val="24"/>
        </w:rPr>
        <w:t>354-</w:t>
      </w:r>
      <w:r>
        <w:rPr>
          <w:spacing w:val="-5"/>
          <w:sz w:val="24"/>
        </w:rPr>
        <w:t>359</w:t>
      </w:r>
    </w:p>
    <w:p>
      <w:pPr>
        <w:pStyle w:val="BodyText"/>
        <w:spacing w:before="67"/>
      </w:pPr>
    </w:p>
    <w:p>
      <w:pPr>
        <w:pStyle w:val="BodyText"/>
        <w:spacing w:line="360" w:lineRule="auto"/>
        <w:ind w:left="420" w:right="711"/>
        <w:jc w:val="both"/>
      </w:pPr>
      <w:r>
        <w:rPr/>
        <w:t>Patel, K.P., Pandya, P. R., Maliwal, K.C., Patel, V.P. and George, D. (2004). Heavy metal content of different effluents and their relative availability in soils irrigated with effluent waters around</w:t>
      </w:r>
      <w:r>
        <w:rPr>
          <w:spacing w:val="56"/>
        </w:rPr>
        <w:t> </w:t>
      </w:r>
      <w:r>
        <w:rPr/>
        <w:t>major</w:t>
      </w:r>
      <w:r>
        <w:rPr>
          <w:spacing w:val="58"/>
        </w:rPr>
        <w:t> </w:t>
      </w:r>
      <w:r>
        <w:rPr/>
        <w:t>industrial</w:t>
      </w:r>
      <w:r>
        <w:rPr>
          <w:spacing w:val="48"/>
        </w:rPr>
        <w:t> </w:t>
      </w:r>
      <w:r>
        <w:rPr/>
        <w:t>cities</w:t>
      </w:r>
      <w:r>
        <w:rPr>
          <w:spacing w:val="50"/>
        </w:rPr>
        <w:t> </w:t>
      </w:r>
      <w:r>
        <w:rPr/>
        <w:t>of</w:t>
      </w:r>
      <w:r>
        <w:rPr>
          <w:spacing w:val="44"/>
        </w:rPr>
        <w:t> </w:t>
      </w:r>
      <w:r>
        <w:rPr/>
        <w:t>Gujarat.</w:t>
      </w:r>
      <w:r>
        <w:rPr>
          <w:spacing w:val="62"/>
        </w:rPr>
        <w:t> </w:t>
      </w:r>
      <w:r>
        <w:rPr>
          <w:i/>
        </w:rPr>
        <w:t>Journal</w:t>
      </w:r>
      <w:r>
        <w:rPr>
          <w:i/>
          <w:spacing w:val="52"/>
        </w:rPr>
        <w:t> </w:t>
      </w:r>
      <w:r>
        <w:rPr>
          <w:i/>
        </w:rPr>
        <w:t>Indian</w:t>
      </w:r>
      <w:r>
        <w:rPr>
          <w:i/>
          <w:spacing w:val="53"/>
        </w:rPr>
        <w:t> </w:t>
      </w:r>
      <w:r>
        <w:rPr>
          <w:i/>
        </w:rPr>
        <w:t>of</w:t>
      </w:r>
      <w:r>
        <w:rPr>
          <w:i/>
          <w:spacing w:val="57"/>
        </w:rPr>
        <w:t> </w:t>
      </w:r>
      <w:r>
        <w:rPr>
          <w:i/>
        </w:rPr>
        <w:t>Social</w:t>
      </w:r>
      <w:r>
        <w:rPr>
          <w:i/>
          <w:spacing w:val="53"/>
        </w:rPr>
        <w:t> </w:t>
      </w:r>
      <w:r>
        <w:rPr>
          <w:i/>
        </w:rPr>
        <w:t>Soil</w:t>
      </w:r>
      <w:r>
        <w:rPr>
          <w:i/>
          <w:spacing w:val="53"/>
        </w:rPr>
        <w:t> </w:t>
      </w:r>
      <w:r>
        <w:rPr>
          <w:i/>
        </w:rPr>
        <w:t>Science,</w:t>
      </w:r>
      <w:r>
        <w:rPr>
          <w:i/>
          <w:spacing w:val="58"/>
        </w:rPr>
        <w:t> </w:t>
      </w:r>
      <w:r>
        <w:rPr/>
        <w:t>52:</w:t>
      </w:r>
      <w:r>
        <w:rPr>
          <w:spacing w:val="53"/>
        </w:rPr>
        <w:t> </w:t>
      </w:r>
      <w:r>
        <w:rPr/>
        <w:t>89-</w:t>
      </w:r>
      <w:r>
        <w:rPr>
          <w:spacing w:val="-5"/>
        </w:rPr>
        <w:t>94.</w:t>
      </w:r>
    </w:p>
    <w:p>
      <w:pPr>
        <w:pStyle w:val="BodyText"/>
        <w:spacing w:before="138"/>
      </w:pPr>
    </w:p>
    <w:p>
      <w:pPr>
        <w:pStyle w:val="BodyText"/>
        <w:spacing w:line="360" w:lineRule="auto" w:before="1"/>
        <w:ind w:left="420" w:right="722"/>
        <w:jc w:val="both"/>
        <w:rPr>
          <w:sz w:val="15"/>
        </w:rPr>
      </w:pPr>
      <w:r>
        <w:rPr/>
        <w:t>Paul, T.K., Ghosh, T. K. and Haldar, S. (2005). Assessment of trace element status in common goat feeds and in vital body tissues of black bengal bucks (</w:t>
      </w:r>
      <w:r>
        <w:rPr>
          <w:i/>
        </w:rPr>
        <w:t>Capra hircus</w:t>
      </w:r>
      <w:r>
        <w:rPr/>
        <w:t>) with special reference to</w:t>
      </w:r>
      <w:r>
        <w:rPr>
          <w:spacing w:val="67"/>
          <w:w w:val="150"/>
        </w:rPr>
        <w:t>   </w:t>
      </w:r>
      <w:r>
        <w:rPr/>
        <w:t>chromium.</w:t>
      </w:r>
      <w:r>
        <w:rPr>
          <w:spacing w:val="67"/>
          <w:w w:val="150"/>
        </w:rPr>
        <w:t>   </w:t>
      </w:r>
      <w:r>
        <w:rPr>
          <w:i/>
        </w:rPr>
        <w:t>Indian</w:t>
      </w:r>
      <w:r>
        <w:rPr>
          <w:i/>
          <w:spacing w:val="66"/>
          <w:w w:val="150"/>
        </w:rPr>
        <w:t>   </w:t>
      </w:r>
      <w:r>
        <w:rPr>
          <w:i/>
        </w:rPr>
        <w:t>Journal</w:t>
      </w:r>
      <w:r>
        <w:rPr>
          <w:i/>
          <w:spacing w:val="66"/>
          <w:w w:val="150"/>
        </w:rPr>
        <w:t>   </w:t>
      </w:r>
      <w:r>
        <w:rPr>
          <w:i/>
        </w:rPr>
        <w:t>of</w:t>
      </w:r>
      <w:r>
        <w:rPr>
          <w:i/>
          <w:spacing w:val="67"/>
          <w:w w:val="150"/>
        </w:rPr>
        <w:t>   </w:t>
      </w:r>
      <w:r>
        <w:rPr>
          <w:i/>
        </w:rPr>
        <w:t>Animal</w:t>
      </w:r>
      <w:r>
        <w:rPr>
          <w:i/>
          <w:spacing w:val="66"/>
          <w:w w:val="150"/>
        </w:rPr>
        <w:t>   </w:t>
      </w:r>
      <w:r>
        <w:rPr>
          <w:i/>
        </w:rPr>
        <w:t>Science</w:t>
      </w:r>
      <w:r>
        <w:rPr/>
        <w:t>,</w:t>
      </w:r>
      <w:r>
        <w:rPr>
          <w:spacing w:val="66"/>
          <w:w w:val="150"/>
        </w:rPr>
        <w:t>   </w:t>
      </w:r>
      <w:r>
        <w:rPr/>
        <w:t>75:</w:t>
      </w:r>
      <w:r>
        <w:rPr>
          <w:spacing w:val="66"/>
          <w:w w:val="150"/>
        </w:rPr>
        <w:t>   </w:t>
      </w:r>
      <w:r>
        <w:rPr/>
        <w:t>429-432.</w:t>
      </w:r>
      <w:r>
        <w:rPr>
          <w:spacing w:val="19"/>
        </w:rPr>
        <w:t> </w:t>
      </w:r>
      <w:r>
        <w:rPr>
          <w:sz w:val="15"/>
        </w:rPr>
        <w:t>|</w:t>
      </w:r>
    </w:p>
    <w:p>
      <w:pPr>
        <w:pStyle w:val="BodyText"/>
        <w:spacing w:before="138"/>
      </w:pPr>
    </w:p>
    <w:p>
      <w:pPr>
        <w:pStyle w:val="BodyText"/>
        <w:ind w:left="420"/>
        <w:jc w:val="both"/>
      </w:pPr>
      <w:r>
        <w:rPr/>
        <w:t>Ping,</w:t>
      </w:r>
      <w:r>
        <w:rPr>
          <w:spacing w:val="66"/>
        </w:rPr>
        <w:t> </w:t>
      </w:r>
      <w:r>
        <w:rPr/>
        <w:t>Z.L.</w:t>
      </w:r>
      <w:r>
        <w:rPr>
          <w:spacing w:val="68"/>
        </w:rPr>
        <w:t> </w:t>
      </w:r>
      <w:r>
        <w:rPr/>
        <w:t>(2005).</w:t>
      </w:r>
      <w:r>
        <w:rPr>
          <w:spacing w:val="63"/>
        </w:rPr>
        <w:t> </w:t>
      </w:r>
      <w:r>
        <w:rPr/>
        <w:t>Effect</w:t>
      </w:r>
      <w:r>
        <w:rPr>
          <w:spacing w:val="66"/>
        </w:rPr>
        <w:t> </w:t>
      </w:r>
      <w:r>
        <w:rPr/>
        <w:t>of</w:t>
      </w:r>
      <w:r>
        <w:rPr>
          <w:spacing w:val="59"/>
        </w:rPr>
        <w:t> </w:t>
      </w:r>
      <w:r>
        <w:rPr/>
        <w:t>environmental</w:t>
      </w:r>
      <w:r>
        <w:rPr>
          <w:spacing w:val="62"/>
        </w:rPr>
        <w:t> </w:t>
      </w:r>
      <w:r>
        <w:rPr/>
        <w:t>lead</w:t>
      </w:r>
      <w:r>
        <w:rPr>
          <w:spacing w:val="66"/>
        </w:rPr>
        <w:t> </w:t>
      </w:r>
      <w:r>
        <w:rPr/>
        <w:t>and</w:t>
      </w:r>
      <w:r>
        <w:rPr>
          <w:spacing w:val="66"/>
        </w:rPr>
        <w:t> </w:t>
      </w:r>
      <w:r>
        <w:rPr/>
        <w:t>cadmium</w:t>
      </w:r>
      <w:r>
        <w:rPr>
          <w:spacing w:val="63"/>
        </w:rPr>
        <w:t> </w:t>
      </w:r>
      <w:r>
        <w:rPr/>
        <w:t>pollution</w:t>
      </w:r>
      <w:r>
        <w:rPr>
          <w:spacing w:val="61"/>
        </w:rPr>
        <w:t> </w:t>
      </w:r>
      <w:r>
        <w:rPr/>
        <w:t>on</w:t>
      </w:r>
      <w:r>
        <w:rPr>
          <w:spacing w:val="61"/>
        </w:rPr>
        <w:t> </w:t>
      </w:r>
      <w:r>
        <w:rPr/>
        <w:t>animal</w:t>
      </w:r>
      <w:r>
        <w:rPr>
          <w:spacing w:val="67"/>
        </w:rPr>
        <w:t> </w:t>
      </w:r>
      <w:r>
        <w:rPr>
          <w:spacing w:val="-2"/>
        </w:rPr>
        <w:t>health.</w:t>
      </w:r>
    </w:p>
    <w:p>
      <w:pPr>
        <w:tabs>
          <w:tab w:pos="3478" w:val="left" w:leader="none"/>
          <w:tab w:pos="6340" w:val="left" w:leader="none"/>
          <w:tab w:pos="8683" w:val="left" w:leader="none"/>
          <w:tab w:pos="8846" w:val="left" w:leader="none"/>
        </w:tabs>
        <w:spacing w:line="360" w:lineRule="auto" w:before="137"/>
        <w:ind w:left="420" w:right="711" w:firstLine="0"/>
        <w:jc w:val="both"/>
        <w:rPr>
          <w:sz w:val="24"/>
        </w:rPr>
      </w:pPr>
      <w:r>
        <w:rPr>
          <w:i/>
          <w:spacing w:val="-2"/>
          <w:sz w:val="24"/>
        </w:rPr>
        <w:t>Veterinary</w:t>
      </w:r>
      <w:r>
        <w:rPr>
          <w:i/>
          <w:sz w:val="24"/>
        </w:rPr>
        <w:tab/>
      </w:r>
      <w:r>
        <w:rPr>
          <w:i/>
          <w:spacing w:val="-2"/>
          <w:sz w:val="24"/>
        </w:rPr>
        <w:t>Bulletin</w:t>
      </w:r>
      <w:r>
        <w:rPr>
          <w:spacing w:val="-2"/>
          <w:sz w:val="24"/>
        </w:rPr>
        <w:t>,</w:t>
      </w:r>
      <w:r>
        <w:rPr>
          <w:sz w:val="24"/>
        </w:rPr>
        <w:tab/>
      </w:r>
      <w:r>
        <w:rPr>
          <w:spacing w:val="-4"/>
          <w:sz w:val="24"/>
        </w:rPr>
        <w:t>75:</w:t>
      </w:r>
      <w:r>
        <w:rPr>
          <w:sz w:val="24"/>
        </w:rPr>
        <w:tab/>
      </w:r>
      <w:r>
        <w:rPr>
          <w:spacing w:val="-2"/>
          <w:sz w:val="24"/>
        </w:rPr>
        <w:t>5040-5040. </w:t>
      </w:r>
      <w:r>
        <w:rPr>
          <w:sz w:val="24"/>
        </w:rPr>
        <w:t>Piska, R.S., Swamy, P. Y. and Parvathi, H. (2004). Heavy metal pollution and its toxic effect on ground water quality</w:t>
      </w:r>
      <w:r>
        <w:rPr>
          <w:spacing w:val="-2"/>
          <w:sz w:val="24"/>
        </w:rPr>
        <w:t> </w:t>
      </w:r>
      <w:r>
        <w:rPr>
          <w:sz w:val="24"/>
        </w:rPr>
        <w:t>of</w:t>
      </w:r>
      <w:r>
        <w:rPr>
          <w:spacing w:val="-1"/>
          <w:sz w:val="24"/>
        </w:rPr>
        <w:t> </w:t>
      </w:r>
      <w:r>
        <w:rPr>
          <w:sz w:val="24"/>
        </w:rPr>
        <w:t>Jeedimetla IDA, Hyderabad. </w:t>
      </w:r>
      <w:r>
        <w:rPr>
          <w:i/>
          <w:sz w:val="24"/>
        </w:rPr>
        <w:t>Indian Journal of Environmental Protocol</w:t>
      </w:r>
      <w:r>
        <w:rPr>
          <w:sz w:val="24"/>
        </w:rPr>
        <w:t>, </w:t>
      </w:r>
      <w:r>
        <w:rPr>
          <w:spacing w:val="-4"/>
          <w:sz w:val="24"/>
        </w:rPr>
        <w:t>24:</w:t>
      </w:r>
      <w:r>
        <w:rPr>
          <w:sz w:val="24"/>
        </w:rPr>
        <w:tab/>
        <w:tab/>
        <w:tab/>
        <w:tab/>
      </w:r>
      <w:r>
        <w:rPr>
          <w:spacing w:val="-2"/>
          <w:sz w:val="24"/>
        </w:rPr>
        <w:t>177-181.</w:t>
      </w:r>
    </w:p>
    <w:p>
      <w:pPr>
        <w:pStyle w:val="BodyText"/>
        <w:spacing w:line="360" w:lineRule="auto" w:before="1"/>
        <w:ind w:left="420" w:right="716"/>
        <w:jc w:val="both"/>
      </w:pPr>
      <w:r>
        <w:rPr/>
        <w:t>Prasad, B. and Jaiprakas, C. K. (1999). Evaluation of</w:t>
      </w:r>
      <w:r>
        <w:rPr>
          <w:spacing w:val="-1"/>
        </w:rPr>
        <w:t> </w:t>
      </w:r>
      <w:r>
        <w:rPr/>
        <w:t>heavy metals in ground water near mining area and development of heavy metal</w:t>
      </w:r>
      <w:r>
        <w:rPr>
          <w:spacing w:val="-5"/>
        </w:rPr>
        <w:t> </w:t>
      </w:r>
      <w:r>
        <w:rPr/>
        <w:t>pollution index. </w:t>
      </w:r>
      <w:r>
        <w:rPr>
          <w:i/>
        </w:rPr>
        <w:t>Journal of Environmental Health Science</w:t>
      </w:r>
      <w:r>
        <w:rPr/>
        <w:t>, 34: 91-102.</w:t>
      </w:r>
    </w:p>
    <w:p>
      <w:pPr>
        <w:spacing w:after="0" w:line="360" w:lineRule="auto"/>
        <w:jc w:val="both"/>
        <w:sectPr>
          <w:pgSz w:w="12240" w:h="15840"/>
          <w:pgMar w:header="0" w:footer="1012" w:top="1360" w:bottom="1200" w:left="1020" w:right="720"/>
        </w:sectPr>
      </w:pPr>
    </w:p>
    <w:p>
      <w:pPr>
        <w:pStyle w:val="BodyText"/>
        <w:spacing w:line="357" w:lineRule="auto" w:before="72"/>
        <w:ind w:left="420" w:right="727"/>
        <w:jc w:val="both"/>
      </w:pPr>
      <w:r>
        <w:rPr/>
        <w:t>Prasad, C.S., Gowda, J.V., Ramana K. S. and Singh, K. (2005). Micronutrient content of soil, water, feeds and fodders in the adopted villages under IVLP and assessing their availability to lactating cows. </w:t>
      </w:r>
      <w:r>
        <w:rPr>
          <w:i/>
        </w:rPr>
        <w:t>Indian Journal of Dairy Science</w:t>
      </w:r>
      <w:r>
        <w:rPr/>
        <w:t>, 58: 44-48.</w:t>
      </w:r>
    </w:p>
    <w:p>
      <w:pPr>
        <w:pStyle w:val="BodyText"/>
        <w:spacing w:line="360" w:lineRule="auto" w:before="207"/>
        <w:ind w:left="420" w:right="729"/>
        <w:jc w:val="both"/>
      </w:pPr>
      <w:r>
        <w:rPr/>
        <w:t>Rai, V., Xavier, F., Saseendran, P. C. and Oommen, G. T. (2001). Study</w:t>
      </w:r>
      <w:r>
        <w:rPr>
          <w:spacing w:val="-5"/>
        </w:rPr>
        <w:t> </w:t>
      </w:r>
      <w:r>
        <w:rPr/>
        <w:t>of heavy metal level in beef</w:t>
      </w:r>
      <w:r>
        <w:rPr>
          <w:spacing w:val="-5"/>
        </w:rPr>
        <w:t> </w:t>
      </w:r>
      <w:r>
        <w:rPr/>
        <w:t>sample in industrial</w:t>
      </w:r>
      <w:r>
        <w:rPr>
          <w:spacing w:val="-6"/>
        </w:rPr>
        <w:t> </w:t>
      </w:r>
      <w:r>
        <w:rPr/>
        <w:t>area</w:t>
      </w:r>
      <w:r>
        <w:rPr>
          <w:spacing w:val="-3"/>
        </w:rPr>
        <w:t> </w:t>
      </w:r>
      <w:r>
        <w:rPr/>
        <w:t>of</w:t>
      </w:r>
      <w:r>
        <w:rPr>
          <w:spacing w:val="-9"/>
        </w:rPr>
        <w:t> </w:t>
      </w:r>
      <w:r>
        <w:rPr/>
        <w:t>Palakkad, Kerala, India. Proceedings</w:t>
      </w:r>
      <w:r>
        <w:rPr>
          <w:spacing w:val="-4"/>
        </w:rPr>
        <w:t> </w:t>
      </w:r>
      <w:r>
        <w:rPr/>
        <w:t>of</w:t>
      </w:r>
      <w:r>
        <w:rPr>
          <w:spacing w:val="-9"/>
        </w:rPr>
        <w:t> </w:t>
      </w:r>
      <w:r>
        <w:rPr/>
        <w:t>National</w:t>
      </w:r>
      <w:r>
        <w:rPr>
          <w:spacing w:val="-6"/>
        </w:rPr>
        <w:t> </w:t>
      </w:r>
      <w:r>
        <w:rPr/>
        <w:t>Symposium</w:t>
      </w:r>
      <w:r>
        <w:rPr>
          <w:spacing w:val="-6"/>
        </w:rPr>
        <w:t> </w:t>
      </w:r>
      <w:r>
        <w:rPr/>
        <w:t>on Safe Meat for Good Health and Environment, July 4-5, Bangalore, pp: 37-38.</w:t>
      </w:r>
    </w:p>
    <w:p>
      <w:pPr>
        <w:spacing w:line="357" w:lineRule="auto" w:before="203"/>
        <w:ind w:left="420" w:right="723" w:firstLine="0"/>
        <w:jc w:val="both"/>
        <w:rPr>
          <w:sz w:val="24"/>
        </w:rPr>
      </w:pPr>
      <w:r>
        <w:rPr>
          <w:sz w:val="24"/>
        </w:rPr>
        <w:t>Raji, M.I.O., Ibrahim, Y.K.E. and Ehinmidu, J.O. (2006). Physico-chemical characteristics and Heavy metal levels in Drinking Water sources in Sokoto metropolis in North-western Nigeria. </w:t>
      </w:r>
      <w:r>
        <w:rPr>
          <w:i/>
          <w:sz w:val="24"/>
        </w:rPr>
        <w:t>Journal of Applied Sciences and Environmental Management</w:t>
      </w:r>
      <w:r>
        <w:rPr>
          <w:sz w:val="24"/>
        </w:rPr>
        <w:t>, 14, 81-85.</w:t>
      </w:r>
    </w:p>
    <w:p>
      <w:pPr>
        <w:spacing w:line="355" w:lineRule="auto" w:before="207"/>
        <w:ind w:left="420" w:right="725" w:firstLine="0"/>
        <w:jc w:val="both"/>
        <w:rPr>
          <w:sz w:val="24"/>
        </w:rPr>
      </w:pPr>
      <w:r>
        <w:rPr>
          <w:sz w:val="24"/>
        </w:rPr>
        <w:t>Ramadan, M.A.E. (2007). The effect of</w:t>
      </w:r>
      <w:r>
        <w:rPr>
          <w:spacing w:val="-5"/>
          <w:sz w:val="24"/>
        </w:rPr>
        <w:t> </w:t>
      </w:r>
      <w:r>
        <w:rPr>
          <w:sz w:val="24"/>
        </w:rPr>
        <w:t>chicken manure and mineral fertilizers on</w:t>
      </w:r>
      <w:r>
        <w:rPr>
          <w:spacing w:val="-2"/>
          <w:sz w:val="24"/>
        </w:rPr>
        <w:t> </w:t>
      </w:r>
      <w:r>
        <w:rPr>
          <w:sz w:val="24"/>
        </w:rPr>
        <w:t>distribution</w:t>
      </w:r>
      <w:r>
        <w:rPr>
          <w:spacing w:val="-2"/>
          <w:sz w:val="24"/>
        </w:rPr>
        <w:t> </w:t>
      </w:r>
      <w:r>
        <w:rPr>
          <w:sz w:val="24"/>
        </w:rPr>
        <w:t>of heavy metals in soil and plant organs. </w:t>
      </w:r>
      <w:r>
        <w:rPr>
          <w:i/>
          <w:sz w:val="24"/>
        </w:rPr>
        <w:t>Indian Journal Basic Applied Science, 1: 226-231</w:t>
      </w:r>
      <w:r>
        <w:rPr>
          <w:sz w:val="24"/>
        </w:rPr>
        <w:t>.</w:t>
      </w:r>
    </w:p>
    <w:p>
      <w:pPr>
        <w:pStyle w:val="BodyText"/>
        <w:spacing w:line="360" w:lineRule="auto" w:before="211"/>
        <w:ind w:left="420" w:right="721"/>
        <w:jc w:val="both"/>
      </w:pPr>
      <w:r>
        <w:rPr/>
        <w:t>Ramos, M.A., Essen, J. and Adam, S. M. (2000). The effect of chicken manure and mineral fertilizers on distribution of heavy metals in soil and tomato organs. </w:t>
      </w:r>
      <w:r>
        <w:rPr>
          <w:i/>
        </w:rPr>
        <w:t>Australian Journal of Basic Applied Science</w:t>
      </w:r>
      <w:r>
        <w:rPr/>
        <w:t>, 1: 226-231.</w:t>
      </w:r>
    </w:p>
    <w:p>
      <w:pPr>
        <w:pStyle w:val="BodyText"/>
        <w:spacing w:line="355" w:lineRule="auto" w:before="203"/>
        <w:ind w:left="420" w:right="725"/>
        <w:jc w:val="both"/>
      </w:pPr>
      <w:r>
        <w:rPr/>
        <w:t>Rozso, K., Varhegyi, A.R., Mocsenyi, K., Fugli, H. (2003). Lead content of the forages and the effect of lead exposure on ruminants. </w:t>
      </w:r>
      <w:r>
        <w:rPr>
          <w:i/>
        </w:rPr>
        <w:t>Veterinary Bullettin</w:t>
      </w:r>
      <w:r>
        <w:rPr/>
        <w:t>, 73: 510-510.</w:t>
      </w:r>
    </w:p>
    <w:p>
      <w:pPr>
        <w:pStyle w:val="BodyText"/>
        <w:spacing w:before="211"/>
        <w:ind w:left="420"/>
        <w:jc w:val="both"/>
      </w:pPr>
      <w:r>
        <w:rPr/>
        <w:t>Saad,</w:t>
      </w:r>
      <w:r>
        <w:rPr>
          <w:spacing w:val="14"/>
        </w:rPr>
        <w:t> </w:t>
      </w:r>
      <w:r>
        <w:rPr/>
        <w:t>M.A.H.</w:t>
      </w:r>
      <w:r>
        <w:rPr>
          <w:spacing w:val="16"/>
        </w:rPr>
        <w:t> </w:t>
      </w:r>
      <w:r>
        <w:rPr/>
        <w:t>and</w:t>
      </w:r>
      <w:r>
        <w:rPr>
          <w:spacing w:val="14"/>
        </w:rPr>
        <w:t> </w:t>
      </w:r>
      <w:r>
        <w:rPr/>
        <w:t>Fahmy.</w:t>
      </w:r>
      <w:r>
        <w:rPr>
          <w:spacing w:val="16"/>
        </w:rPr>
        <w:t> </w:t>
      </w:r>
      <w:r>
        <w:rPr/>
        <w:t>M.</w:t>
      </w:r>
      <w:r>
        <w:rPr>
          <w:spacing w:val="17"/>
        </w:rPr>
        <w:t> </w:t>
      </w:r>
      <w:r>
        <w:rPr/>
        <w:t>(1996).</w:t>
      </w:r>
      <w:r>
        <w:rPr>
          <w:spacing w:val="16"/>
        </w:rPr>
        <w:t> </w:t>
      </w:r>
      <w:r>
        <w:rPr/>
        <w:t>Heavy</w:t>
      </w:r>
      <w:r>
        <w:rPr>
          <w:spacing w:val="9"/>
        </w:rPr>
        <w:t> </w:t>
      </w:r>
      <w:r>
        <w:rPr/>
        <w:t>metal</w:t>
      </w:r>
      <w:r>
        <w:rPr>
          <w:spacing w:val="6"/>
        </w:rPr>
        <w:t> </w:t>
      </w:r>
      <w:r>
        <w:rPr/>
        <w:t>pollution</w:t>
      </w:r>
      <w:r>
        <w:rPr>
          <w:spacing w:val="14"/>
        </w:rPr>
        <w:t> </w:t>
      </w:r>
      <w:r>
        <w:rPr/>
        <w:t>in</w:t>
      </w:r>
      <w:r>
        <w:rPr>
          <w:spacing w:val="14"/>
        </w:rPr>
        <w:t> </w:t>
      </w:r>
      <w:r>
        <w:rPr/>
        <w:t>coastal</w:t>
      </w:r>
      <w:r>
        <w:rPr>
          <w:spacing w:val="6"/>
        </w:rPr>
        <w:t> </w:t>
      </w:r>
      <w:r>
        <w:rPr/>
        <w:t>Red</w:t>
      </w:r>
      <w:r>
        <w:rPr>
          <w:spacing w:val="14"/>
        </w:rPr>
        <w:t> </w:t>
      </w:r>
      <w:r>
        <w:rPr/>
        <w:t>sea</w:t>
      </w:r>
      <w:r>
        <w:rPr>
          <w:spacing w:val="13"/>
        </w:rPr>
        <w:t> </w:t>
      </w:r>
      <w:r>
        <w:rPr/>
        <w:t>waters,</w:t>
      </w:r>
      <w:r>
        <w:rPr>
          <w:spacing w:val="17"/>
        </w:rPr>
        <w:t> </w:t>
      </w:r>
      <w:r>
        <w:rPr>
          <w:spacing w:val="-2"/>
        </w:rPr>
        <w:t>Jeddah.</w:t>
      </w:r>
    </w:p>
    <w:p>
      <w:pPr>
        <w:spacing w:before="132"/>
        <w:ind w:left="420" w:right="0" w:firstLine="0"/>
        <w:jc w:val="both"/>
        <w:rPr>
          <w:sz w:val="24"/>
        </w:rPr>
      </w:pPr>
      <w:r>
        <w:rPr>
          <w:i/>
          <w:sz w:val="24"/>
        </w:rPr>
        <w:t>Journal</w:t>
      </w:r>
      <w:r>
        <w:rPr>
          <w:i/>
          <w:spacing w:val="-2"/>
          <w:sz w:val="24"/>
        </w:rPr>
        <w:t> </w:t>
      </w:r>
      <w:r>
        <w:rPr>
          <w:i/>
          <w:sz w:val="24"/>
        </w:rPr>
        <w:t>of</w:t>
      </w:r>
      <w:r>
        <w:rPr>
          <w:i/>
          <w:spacing w:val="1"/>
          <w:sz w:val="24"/>
        </w:rPr>
        <w:t> </w:t>
      </w:r>
      <w:r>
        <w:rPr>
          <w:i/>
          <w:sz w:val="24"/>
        </w:rPr>
        <w:t>King</w:t>
      </w:r>
      <w:r>
        <w:rPr>
          <w:i/>
          <w:spacing w:val="1"/>
          <w:sz w:val="24"/>
        </w:rPr>
        <w:t> </w:t>
      </w:r>
      <w:r>
        <w:rPr>
          <w:i/>
          <w:sz w:val="24"/>
        </w:rPr>
        <w:t>Abdulaziz</w:t>
      </w:r>
      <w:r>
        <w:rPr>
          <w:sz w:val="24"/>
        </w:rPr>
        <w:t>,</w:t>
      </w:r>
      <w:r>
        <w:rPr>
          <w:spacing w:val="-2"/>
          <w:sz w:val="24"/>
        </w:rPr>
        <w:t> </w:t>
      </w:r>
      <w:r>
        <w:rPr>
          <w:sz w:val="24"/>
        </w:rPr>
        <w:t>University</w:t>
      </w:r>
      <w:r>
        <w:rPr>
          <w:spacing w:val="-8"/>
          <w:sz w:val="24"/>
        </w:rPr>
        <w:t> </w:t>
      </w:r>
      <w:r>
        <w:rPr>
          <w:sz w:val="24"/>
        </w:rPr>
        <w:t>of</w:t>
      </w:r>
      <w:r>
        <w:rPr>
          <w:spacing w:val="-7"/>
          <w:sz w:val="24"/>
        </w:rPr>
        <w:t> </w:t>
      </w:r>
      <w:r>
        <w:rPr>
          <w:sz w:val="24"/>
        </w:rPr>
        <w:t>Science,</w:t>
      </w:r>
      <w:r>
        <w:rPr>
          <w:spacing w:val="3"/>
          <w:sz w:val="24"/>
        </w:rPr>
        <w:t> </w:t>
      </w:r>
      <w:r>
        <w:rPr>
          <w:sz w:val="24"/>
        </w:rPr>
        <w:t>7:</w:t>
      </w:r>
      <w:r>
        <w:rPr>
          <w:spacing w:val="1"/>
          <w:sz w:val="24"/>
        </w:rPr>
        <w:t> </w:t>
      </w:r>
      <w:r>
        <w:rPr>
          <w:sz w:val="24"/>
        </w:rPr>
        <w:t>67-</w:t>
      </w:r>
      <w:r>
        <w:rPr>
          <w:spacing w:val="-5"/>
          <w:sz w:val="24"/>
        </w:rPr>
        <w:t>74.</w:t>
      </w:r>
    </w:p>
    <w:p>
      <w:pPr>
        <w:pStyle w:val="BodyText"/>
        <w:spacing w:before="67"/>
      </w:pPr>
    </w:p>
    <w:p>
      <w:pPr>
        <w:pStyle w:val="BodyText"/>
        <w:spacing w:line="360" w:lineRule="auto"/>
        <w:ind w:left="420" w:right="717"/>
        <w:jc w:val="both"/>
      </w:pPr>
      <w:r>
        <w:rPr/>
        <w:t>Sawidis, S.D., Sathyanarayanan, S. P., Satish, F. G. and Nagaraju, D. (2001). A sewage and sludge treated lake and its impact on the environment Mysore, </w:t>
      </w:r>
      <w:r>
        <w:rPr>
          <w:i/>
        </w:rPr>
        <w:t>Journal of India Environmental Geology</w:t>
      </w:r>
      <w:r>
        <w:rPr/>
        <w:t>, 40: 1209-1213.</w:t>
      </w:r>
    </w:p>
    <w:p>
      <w:pPr>
        <w:spacing w:line="360" w:lineRule="auto" w:before="199"/>
        <w:ind w:left="420" w:right="728" w:firstLine="0"/>
        <w:jc w:val="both"/>
        <w:rPr>
          <w:sz w:val="24"/>
        </w:rPr>
      </w:pPr>
      <w:r>
        <w:rPr>
          <w:sz w:val="24"/>
        </w:rPr>
        <w:t>Scot,</w:t>
      </w:r>
      <w:r>
        <w:rPr>
          <w:spacing w:val="-1"/>
          <w:sz w:val="24"/>
        </w:rPr>
        <w:t> </w:t>
      </w:r>
      <w:r>
        <w:rPr>
          <w:sz w:val="24"/>
        </w:rPr>
        <w:t>D.S.,</w:t>
      </w:r>
      <w:r>
        <w:rPr>
          <w:spacing w:val="-1"/>
          <w:sz w:val="24"/>
        </w:rPr>
        <w:t> </w:t>
      </w:r>
      <w:r>
        <w:rPr>
          <w:sz w:val="24"/>
        </w:rPr>
        <w:t>Dwivedi, K.</w:t>
      </w:r>
      <w:r>
        <w:rPr>
          <w:spacing w:val="-1"/>
          <w:sz w:val="24"/>
        </w:rPr>
        <w:t> </w:t>
      </w:r>
      <w:r>
        <w:rPr>
          <w:sz w:val="24"/>
        </w:rPr>
        <w:t>N., Pandey,</w:t>
      </w:r>
      <w:r>
        <w:rPr>
          <w:spacing w:val="40"/>
          <w:sz w:val="24"/>
        </w:rPr>
        <w:t> </w:t>
      </w:r>
      <w:r>
        <w:rPr>
          <w:sz w:val="24"/>
        </w:rPr>
        <w:t>N.</w:t>
      </w:r>
      <w:r>
        <w:rPr>
          <w:spacing w:val="-2"/>
          <w:sz w:val="24"/>
        </w:rPr>
        <w:t> </w:t>
      </w:r>
      <w:r>
        <w:rPr>
          <w:sz w:val="24"/>
        </w:rPr>
        <w:t>and</w:t>
      </w:r>
      <w:r>
        <w:rPr>
          <w:spacing w:val="-3"/>
          <w:sz w:val="24"/>
        </w:rPr>
        <w:t> </w:t>
      </w:r>
      <w:r>
        <w:rPr>
          <w:sz w:val="24"/>
        </w:rPr>
        <w:t>Sharma,</w:t>
      </w:r>
      <w:r>
        <w:rPr>
          <w:spacing w:val="-1"/>
          <w:sz w:val="24"/>
        </w:rPr>
        <w:t> </w:t>
      </w:r>
      <w:r>
        <w:rPr>
          <w:sz w:val="24"/>
        </w:rPr>
        <w:t>S.</w:t>
      </w:r>
      <w:r>
        <w:rPr>
          <w:spacing w:val="-1"/>
          <w:sz w:val="24"/>
        </w:rPr>
        <w:t> </w:t>
      </w:r>
      <w:r>
        <w:rPr>
          <w:sz w:val="24"/>
        </w:rPr>
        <w:t>(1996).</w:t>
      </w:r>
      <w:r>
        <w:rPr>
          <w:spacing w:val="-1"/>
          <w:sz w:val="24"/>
        </w:rPr>
        <w:t> </w:t>
      </w:r>
      <w:r>
        <w:rPr>
          <w:sz w:val="24"/>
        </w:rPr>
        <w:t>Lead in</w:t>
      </w:r>
      <w:r>
        <w:rPr>
          <w:spacing w:val="-3"/>
          <w:sz w:val="24"/>
        </w:rPr>
        <w:t> </w:t>
      </w:r>
      <w:r>
        <w:rPr>
          <w:sz w:val="24"/>
        </w:rPr>
        <w:t>feed</w:t>
      </w:r>
      <w:r>
        <w:rPr>
          <w:spacing w:val="-3"/>
          <w:sz w:val="24"/>
        </w:rPr>
        <w:t> </w:t>
      </w:r>
      <w:r>
        <w:rPr>
          <w:sz w:val="24"/>
        </w:rPr>
        <w:t>and blood</w:t>
      </w:r>
      <w:r>
        <w:rPr>
          <w:spacing w:val="-3"/>
          <w:sz w:val="24"/>
        </w:rPr>
        <w:t> </w:t>
      </w:r>
      <w:r>
        <w:rPr>
          <w:sz w:val="24"/>
        </w:rPr>
        <w:t>of</w:t>
      </w:r>
      <w:r>
        <w:rPr>
          <w:spacing w:val="-10"/>
          <w:sz w:val="24"/>
        </w:rPr>
        <w:t> </w:t>
      </w:r>
      <w:r>
        <w:rPr>
          <w:sz w:val="24"/>
        </w:rPr>
        <w:t>bovine in varied environmental sites. </w:t>
      </w:r>
      <w:r>
        <w:rPr>
          <w:i/>
          <w:sz w:val="24"/>
        </w:rPr>
        <w:t>Indian Journal of Veterinary Resource</w:t>
      </w:r>
      <w:r>
        <w:rPr>
          <w:sz w:val="24"/>
        </w:rPr>
        <w:t>, 2: 34-37.</w:t>
      </w:r>
    </w:p>
    <w:p>
      <w:pPr>
        <w:pStyle w:val="BodyText"/>
        <w:tabs>
          <w:tab w:pos="4765" w:val="left" w:leader="none"/>
          <w:tab w:pos="8626" w:val="left" w:leader="none"/>
        </w:tabs>
        <w:spacing w:line="360" w:lineRule="auto" w:before="204"/>
        <w:ind w:left="420" w:right="722"/>
        <w:jc w:val="both"/>
      </w:pPr>
      <w:r>
        <w:rPr/>
        <w:t>Singh, R., Randhawa, S. S. and Randhawa, S. H. (2012). Trace</w:t>
      </w:r>
      <w:r>
        <w:rPr>
          <w:spacing w:val="-1"/>
        </w:rPr>
        <w:t> </w:t>
      </w:r>
      <w:r>
        <w:rPr/>
        <w:t>element status</w:t>
      </w:r>
      <w:r>
        <w:rPr>
          <w:spacing w:val="-7"/>
        </w:rPr>
        <w:t> </w:t>
      </w:r>
      <w:r>
        <w:rPr/>
        <w:t>of</w:t>
      </w:r>
      <w:r>
        <w:rPr>
          <w:spacing w:val="-3"/>
        </w:rPr>
        <w:t> </w:t>
      </w:r>
      <w:r>
        <w:rPr/>
        <w:t>crossbred cattle from sub-mountainous belt of Punjab in relation to soil and fodder. </w:t>
      </w:r>
      <w:r>
        <w:rPr>
          <w:i/>
        </w:rPr>
        <w:t>Indian Journal Animal </w:t>
      </w:r>
      <w:r>
        <w:rPr>
          <w:i/>
          <w:spacing w:val="-2"/>
        </w:rPr>
        <w:t>Science</w:t>
      </w:r>
      <w:r>
        <w:rPr>
          <w:spacing w:val="-2"/>
        </w:rPr>
        <w:t>,</w:t>
      </w:r>
      <w:r>
        <w:rPr/>
        <w:tab/>
      </w:r>
      <w:r>
        <w:rPr>
          <w:spacing w:val="-4"/>
        </w:rPr>
        <w:t>73:</w:t>
      </w:r>
      <w:r>
        <w:rPr/>
        <w:tab/>
      </w:r>
      <w:r>
        <w:rPr>
          <w:spacing w:val="-2"/>
        </w:rPr>
        <w:t>1072-1076.</w:t>
      </w:r>
    </w:p>
    <w:p>
      <w:pPr>
        <w:spacing w:after="0" w:line="360" w:lineRule="auto"/>
        <w:jc w:val="both"/>
        <w:sectPr>
          <w:pgSz w:w="12240" w:h="15840"/>
          <w:pgMar w:header="0" w:footer="1012" w:top="1360" w:bottom="1200" w:left="1020" w:right="720"/>
        </w:sectPr>
      </w:pPr>
    </w:p>
    <w:p>
      <w:pPr>
        <w:pStyle w:val="BodyText"/>
        <w:spacing w:line="355" w:lineRule="auto" w:before="72"/>
        <w:ind w:left="420" w:right="730"/>
        <w:jc w:val="both"/>
      </w:pPr>
      <w:r>
        <w:rPr/>
        <w:t>Sinha, D.K. (2004). Level</w:t>
      </w:r>
      <w:r>
        <w:rPr>
          <w:spacing w:val="-1"/>
        </w:rPr>
        <w:t> </w:t>
      </w:r>
      <w:r>
        <w:rPr/>
        <w:t>of</w:t>
      </w:r>
      <w:r>
        <w:rPr>
          <w:spacing w:val="-4"/>
        </w:rPr>
        <w:t> </w:t>
      </w:r>
      <w:r>
        <w:rPr/>
        <w:t>some heavy metals in</w:t>
      </w:r>
      <w:r>
        <w:rPr>
          <w:spacing w:val="-1"/>
        </w:rPr>
        <w:t> </w:t>
      </w:r>
      <w:r>
        <w:rPr/>
        <w:t>waters from</w:t>
      </w:r>
      <w:r>
        <w:rPr>
          <w:spacing w:val="-6"/>
        </w:rPr>
        <w:t> </w:t>
      </w:r>
      <w:r>
        <w:rPr/>
        <w:t>Sai</w:t>
      </w:r>
      <w:r>
        <w:rPr>
          <w:spacing w:val="-6"/>
        </w:rPr>
        <w:t> </w:t>
      </w:r>
      <w:r>
        <w:rPr/>
        <w:t>River at Rae Bareli</w:t>
      </w:r>
      <w:r>
        <w:rPr>
          <w:spacing w:val="-6"/>
        </w:rPr>
        <w:t> </w:t>
      </w:r>
      <w:r>
        <w:rPr/>
        <w:t>India for the pre-monsoon period and after onset of monsoon</w:t>
      </w:r>
      <w:r>
        <w:rPr>
          <w:i/>
        </w:rPr>
        <w:t>. Pollution Resource, </w:t>
      </w:r>
      <w:r>
        <w:rPr/>
        <w:t>23: 113-116.</w:t>
      </w:r>
    </w:p>
    <w:p>
      <w:pPr>
        <w:pStyle w:val="BodyText"/>
        <w:spacing w:line="360" w:lineRule="auto" w:before="211"/>
        <w:ind w:left="420" w:right="717"/>
        <w:jc w:val="both"/>
      </w:pPr>
      <w:r>
        <w:rPr/>
        <w:t>Singer,</w:t>
      </w:r>
      <w:r>
        <w:rPr>
          <w:spacing w:val="-2"/>
        </w:rPr>
        <w:t> </w:t>
      </w:r>
      <w:r>
        <w:rPr/>
        <w:t>D.,</w:t>
      </w:r>
      <w:r>
        <w:rPr>
          <w:spacing w:val="-6"/>
        </w:rPr>
        <w:t> </w:t>
      </w:r>
      <w:r>
        <w:rPr/>
        <w:t>Patra,</w:t>
      </w:r>
      <w:r>
        <w:rPr>
          <w:spacing w:val="-2"/>
        </w:rPr>
        <w:t> </w:t>
      </w:r>
      <w:r>
        <w:rPr/>
        <w:t>R.,</w:t>
      </w:r>
      <w:r>
        <w:rPr>
          <w:spacing w:val="-2"/>
        </w:rPr>
        <w:t> </w:t>
      </w:r>
      <w:r>
        <w:rPr/>
        <w:t>Naresh,</w:t>
      </w:r>
      <w:r>
        <w:rPr>
          <w:spacing w:val="-2"/>
        </w:rPr>
        <w:t> </w:t>
      </w:r>
      <w:r>
        <w:rPr/>
        <w:t>P.,</w:t>
      </w:r>
      <w:r>
        <w:rPr>
          <w:spacing w:val="-2"/>
        </w:rPr>
        <w:t> </w:t>
      </w:r>
      <w:r>
        <w:rPr/>
        <w:t>Kumar,</w:t>
      </w:r>
      <w:r>
        <w:rPr>
          <w:spacing w:val="-2"/>
        </w:rPr>
        <w:t> </w:t>
      </w:r>
      <w:r>
        <w:rPr/>
        <w:t>R.</w:t>
      </w:r>
      <w:r>
        <w:rPr>
          <w:spacing w:val="-2"/>
        </w:rPr>
        <w:t> </w:t>
      </w:r>
      <w:r>
        <w:rPr/>
        <w:t>and</w:t>
      </w:r>
      <w:r>
        <w:rPr>
          <w:spacing w:val="-4"/>
        </w:rPr>
        <w:t> </w:t>
      </w:r>
      <w:r>
        <w:rPr/>
        <w:t>Shekhar,</w:t>
      </w:r>
      <w:r>
        <w:rPr>
          <w:spacing w:val="-2"/>
        </w:rPr>
        <w:t> </w:t>
      </w:r>
      <w:r>
        <w:rPr/>
        <w:t>P.</w:t>
      </w:r>
      <w:r>
        <w:rPr>
          <w:spacing w:val="-2"/>
        </w:rPr>
        <w:t> </w:t>
      </w:r>
      <w:r>
        <w:rPr/>
        <w:t>(1990).</w:t>
      </w:r>
      <w:r>
        <w:rPr>
          <w:spacing w:val="-6"/>
        </w:rPr>
        <w:t> </w:t>
      </w:r>
      <w:r>
        <w:rPr/>
        <w:t>Blood</w:t>
      </w:r>
      <w:r>
        <w:rPr>
          <w:spacing w:val="-4"/>
        </w:rPr>
        <w:t> </w:t>
      </w:r>
      <w:r>
        <w:rPr/>
        <w:t>lead levels</w:t>
      </w:r>
      <w:r>
        <w:rPr>
          <w:spacing w:val="-2"/>
        </w:rPr>
        <w:t> </w:t>
      </w:r>
      <w:r>
        <w:rPr/>
        <w:t>in</w:t>
      </w:r>
      <w:r>
        <w:rPr>
          <w:spacing w:val="-4"/>
        </w:rPr>
        <w:t> </w:t>
      </w:r>
      <w:r>
        <w:rPr/>
        <w:t>lactating cows reared around polluted localities; transfer of lead into milk. </w:t>
      </w:r>
      <w:r>
        <w:rPr>
          <w:i/>
        </w:rPr>
        <w:t>Journal of Science Total Environment</w:t>
      </w:r>
      <w:r>
        <w:rPr/>
        <w:t>, 347: 67-71.</w:t>
      </w:r>
    </w:p>
    <w:p>
      <w:pPr>
        <w:pStyle w:val="BodyText"/>
        <w:spacing w:line="357" w:lineRule="auto" w:before="203"/>
        <w:ind w:left="420" w:right="721"/>
        <w:jc w:val="both"/>
      </w:pPr>
      <w:r>
        <w:rPr/>
        <w:t>Solomon, G., Smith, K. M., Dagleish, M. P. and Abrahams, P. W. (2000). The intake</w:t>
      </w:r>
      <w:r>
        <w:rPr>
          <w:spacing w:val="-3"/>
        </w:rPr>
        <w:t> </w:t>
      </w:r>
      <w:r>
        <w:rPr/>
        <w:t>of</w:t>
      </w:r>
      <w:r>
        <w:rPr>
          <w:spacing w:val="-5"/>
        </w:rPr>
        <w:t> </w:t>
      </w:r>
      <w:r>
        <w:rPr/>
        <w:t>lead and associated metals by sheep grazing mining-contaminated floodplain pastures in mid-Wales, United Kingdom: II. Metal concentrations in blood and wool. </w:t>
      </w:r>
      <w:r>
        <w:rPr>
          <w:i/>
        </w:rPr>
        <w:t>Science and Total Environment</w:t>
      </w:r>
      <w:r>
        <w:rPr/>
        <w:t>, 408, 1035–1042.</w:t>
      </w:r>
    </w:p>
    <w:p>
      <w:pPr>
        <w:pStyle w:val="BodyText"/>
        <w:spacing w:line="360" w:lineRule="auto" w:before="209"/>
        <w:ind w:left="420" w:right="713"/>
        <w:jc w:val="both"/>
      </w:pPr>
      <w:r>
        <w:rPr/>
        <w:t>Teresa, M. S., Vasconcelos, D. S. and Tavares, H. M. (1977). Trace element concentrations in blood and hair of young apprentices of a technical-professional school. </w:t>
      </w:r>
      <w:r>
        <w:rPr>
          <w:i/>
        </w:rPr>
        <w:t>Science of Total Environment</w:t>
      </w:r>
      <w:r>
        <w:rPr/>
        <w:t>, 205: 189-1999.</w:t>
      </w:r>
    </w:p>
    <w:p>
      <w:pPr>
        <w:pStyle w:val="BodyText"/>
        <w:spacing w:line="273" w:lineRule="auto" w:before="203"/>
        <w:ind w:left="420" w:right="726"/>
        <w:jc w:val="both"/>
      </w:pPr>
      <w:r>
        <w:rPr/>
        <w:t>Uba, A. S., Ahmad, K., Mustafa, I. and David, C. (2008). Comparison of digestion methods for trace metal determination in moss samples, Proceeding of the 1st National Conference of the Faculty of Science, University of Jos, Nigeria, 77-8.</w:t>
      </w:r>
    </w:p>
    <w:p>
      <w:pPr>
        <w:pStyle w:val="BodyText"/>
        <w:spacing w:line="273" w:lineRule="auto" w:before="208"/>
        <w:ind w:left="420" w:right="719"/>
        <w:jc w:val="both"/>
      </w:pPr>
      <w:r>
        <w:rPr/>
        <w:t>Udiba, U. U., Hassan, D. B., Odey, D., Michael, O., Bashir, I.,L., Aisha, L. (2013).</w:t>
      </w:r>
      <w:r>
        <w:rPr>
          <w:spacing w:val="40"/>
        </w:rPr>
        <w:t> </w:t>
      </w:r>
      <w:r>
        <w:rPr/>
        <w:t>Toxicological implications of grazing on forage grasses in Dareta Village, Zamfara, Nigeria. </w:t>
      </w:r>
      <w:r>
        <w:rPr>
          <w:i/>
        </w:rPr>
        <w:t>Archives of Applied Science Research, </w:t>
      </w:r>
      <w:r>
        <w:rPr/>
        <w:t>5 (3): 220-228</w:t>
      </w:r>
    </w:p>
    <w:p>
      <w:pPr>
        <w:pStyle w:val="BodyText"/>
        <w:spacing w:line="355" w:lineRule="auto" w:before="209"/>
        <w:ind w:left="420" w:right="723"/>
        <w:jc w:val="both"/>
      </w:pPr>
      <w:r>
        <w:rPr/>
        <w:t>Underwood, C. K. (1977). Toxicological Interactions among arsenic, cadmium, chromium and lead in human keratinocytes. </w:t>
      </w:r>
      <w:r>
        <w:rPr>
          <w:i/>
        </w:rPr>
        <w:t>Toxicology Science</w:t>
      </w:r>
      <w:r>
        <w:rPr/>
        <w:t>, 63: 132-142.</w:t>
      </w:r>
    </w:p>
    <w:p>
      <w:pPr>
        <w:pStyle w:val="BodyText"/>
        <w:spacing w:line="362" w:lineRule="auto" w:before="210"/>
        <w:ind w:left="420" w:right="726"/>
        <w:jc w:val="both"/>
      </w:pPr>
      <w:r>
        <w:rPr/>
        <w:t>United Nations Development Programme (UNDP, 2010). Commission on Sustainable Development, Report on the Ninth Session. E/CN.17/2001/19. </w:t>
      </w:r>
      <w:hyperlink r:id="rId103">
        <w:r>
          <w:rPr>
            <w:rFonts w:ascii="Calibri"/>
            <w:color w:val="0000FF"/>
            <w:spacing w:val="-2"/>
            <w:u w:val="single" w:color="0000FF"/>
          </w:rPr>
          <w:t>www.un.org/esa/sustdev/csd/</w:t>
        </w:r>
      </w:hyperlink>
      <w:r>
        <w:rPr>
          <w:spacing w:val="-2"/>
        </w:rPr>
        <w:t>ecn172001-19e.htm.</w:t>
      </w:r>
    </w:p>
    <w:p>
      <w:pPr>
        <w:pStyle w:val="BodyText"/>
        <w:spacing w:line="360" w:lineRule="auto" w:before="189"/>
        <w:ind w:left="420" w:right="716"/>
        <w:jc w:val="both"/>
      </w:pPr>
      <w:r>
        <w:rPr/>
        <w:t>.United States Environmental Protection Agency (USEPA, 2007). United States Environmental Protection Agency acid digestion of Sediments, Sludge and Soils, Method 3050B </w:t>
      </w:r>
      <w:r>
        <w:rPr>
          <w:i/>
        </w:rPr>
        <w:t>2</w:t>
      </w:r>
      <w:r>
        <w:rPr>
          <w:i/>
          <w:vertAlign w:val="superscript"/>
        </w:rPr>
        <w:t>nd</w:t>
      </w:r>
      <w:r>
        <w:rPr>
          <w:i/>
          <w:vertAlign w:val="baseline"/>
        </w:rPr>
        <w:t> ed. </w:t>
      </w:r>
      <w:r>
        <w:rPr>
          <w:vertAlign w:val="baseline"/>
        </w:rPr>
        <w:t>Washington, DC, USA.</w:t>
      </w:r>
    </w:p>
    <w:p>
      <w:pPr>
        <w:pStyle w:val="BodyText"/>
        <w:spacing w:line="271" w:lineRule="auto" w:before="203"/>
        <w:ind w:left="420" w:right="765"/>
      </w:pPr>
      <w:r>
        <w:rPr/>
        <w:t>United</w:t>
      </w:r>
      <w:r>
        <w:rPr>
          <w:spacing w:val="-4"/>
        </w:rPr>
        <w:t> </w:t>
      </w:r>
      <w:r>
        <w:rPr/>
        <w:t>States</w:t>
      </w:r>
      <w:r>
        <w:rPr>
          <w:spacing w:val="-6"/>
        </w:rPr>
        <w:t> </w:t>
      </w:r>
      <w:r>
        <w:rPr/>
        <w:t>Environmental</w:t>
      </w:r>
      <w:r>
        <w:rPr>
          <w:spacing w:val="-13"/>
        </w:rPr>
        <w:t> </w:t>
      </w:r>
      <w:r>
        <w:rPr/>
        <w:t>Protection</w:t>
      </w:r>
      <w:r>
        <w:rPr>
          <w:spacing w:val="-9"/>
        </w:rPr>
        <w:t> </w:t>
      </w:r>
      <w:r>
        <w:rPr/>
        <w:t>Agency</w:t>
      </w:r>
      <w:r>
        <w:rPr>
          <w:spacing w:val="-14"/>
        </w:rPr>
        <w:t> </w:t>
      </w:r>
      <w:r>
        <w:rPr/>
        <w:t>(USEPA,</w:t>
      </w:r>
      <w:r>
        <w:rPr>
          <w:spacing w:val="-3"/>
        </w:rPr>
        <w:t> </w:t>
      </w:r>
      <w:r>
        <w:rPr/>
        <w:t>1996).</w:t>
      </w:r>
      <w:r>
        <w:rPr>
          <w:spacing w:val="-3"/>
        </w:rPr>
        <w:t> </w:t>
      </w:r>
      <w:r>
        <w:rPr/>
        <w:t>Drinking</w:t>
      </w:r>
      <w:r>
        <w:rPr>
          <w:spacing w:val="-1"/>
        </w:rPr>
        <w:t> </w:t>
      </w:r>
      <w:r>
        <w:rPr/>
        <w:t>Water</w:t>
      </w:r>
      <w:r>
        <w:rPr>
          <w:spacing w:val="-4"/>
        </w:rPr>
        <w:t> </w:t>
      </w:r>
      <w:r>
        <w:rPr/>
        <w:t>Regulations and Health Advisories Table. </w:t>
      </w:r>
      <w:hyperlink r:id="rId104">
        <w:r>
          <w:rPr/>
          <w:t>http://ca-nvawwa.org</w:t>
        </w:r>
      </w:hyperlink>
      <w:r>
        <w:rPr/>
        <w:t> accessed on 19 April, 1996.</w:t>
      </w:r>
    </w:p>
    <w:p>
      <w:pPr>
        <w:spacing w:after="0" w:line="271" w:lineRule="auto"/>
        <w:sectPr>
          <w:pgSz w:w="12240" w:h="15840"/>
          <w:pgMar w:header="0" w:footer="1012" w:top="1360" w:bottom="1200" w:left="1020" w:right="720"/>
        </w:sectPr>
      </w:pPr>
    </w:p>
    <w:p>
      <w:pPr>
        <w:pStyle w:val="BodyText"/>
        <w:spacing w:line="357" w:lineRule="auto" w:before="72"/>
        <w:ind w:left="420" w:right="724"/>
        <w:jc w:val="both"/>
      </w:pPr>
      <w:r>
        <w:rPr/>
        <w:t>Webber, M.D., Webber, L.R. and Uzaira, A. (2004). Micronutrients and heavy metals in livestock and poultry manures. In: Farm Animal Manure in the Canadian Environment. Publication No. NRCC 18976 of the Environmental Secretariat, Ottawa, Canada page. 59.</w:t>
      </w:r>
    </w:p>
    <w:p>
      <w:pPr>
        <w:pStyle w:val="BodyText"/>
        <w:spacing w:line="360" w:lineRule="auto" w:before="207"/>
        <w:ind w:left="420" w:right="716"/>
        <w:jc w:val="both"/>
      </w:pPr>
      <w:r>
        <w:rPr/>
        <w:t>World Health Organisation (WHO, 1996). Food safety issues associated with products from aquaculture. Report of a Joint FAO/NACA/WHO Study Group. World Health Organisation Technical Report Series 883: i-vii, 1-55.</w:t>
      </w:r>
    </w:p>
    <w:p>
      <w:pPr>
        <w:pStyle w:val="BodyText"/>
        <w:spacing w:line="355" w:lineRule="auto" w:before="203"/>
        <w:ind w:left="420" w:right="722"/>
        <w:jc w:val="both"/>
      </w:pPr>
      <w:r>
        <w:rPr/>
        <w:t>World Health</w:t>
      </w:r>
      <w:r>
        <w:rPr>
          <w:spacing w:val="-3"/>
        </w:rPr>
        <w:t> </w:t>
      </w:r>
      <w:r>
        <w:rPr/>
        <w:t>Organisation</w:t>
      </w:r>
      <w:r>
        <w:rPr>
          <w:spacing w:val="-3"/>
        </w:rPr>
        <w:t> </w:t>
      </w:r>
      <w:r>
        <w:rPr/>
        <w:t>(WHO, 2007). Guidelines for Drinking Water Quality. World Health Organization, Geneva, Switzerland, Pages: 121</w:t>
      </w:r>
    </w:p>
    <w:p>
      <w:pPr>
        <w:pStyle w:val="BodyText"/>
        <w:spacing w:line="357" w:lineRule="auto" w:before="211"/>
        <w:ind w:left="420" w:right="727"/>
        <w:jc w:val="both"/>
      </w:pPr>
      <w:r>
        <w:rPr/>
        <w:t>World Health Organisation (WHO, 2011) Department of Environmental and Social Affairs, World health Council. Toxicological Assessment and the Challenge of poisons. New York: pp </w:t>
      </w:r>
      <w:r>
        <w:rPr>
          <w:spacing w:val="-4"/>
        </w:rPr>
        <w:t>104</w:t>
      </w:r>
    </w:p>
    <w:p>
      <w:pPr>
        <w:pStyle w:val="BodyText"/>
      </w:pPr>
    </w:p>
    <w:p>
      <w:pPr>
        <w:pStyle w:val="BodyText"/>
        <w:spacing w:before="269"/>
      </w:pPr>
    </w:p>
    <w:p>
      <w:pPr>
        <w:pStyle w:val="BodyText"/>
        <w:spacing w:line="355" w:lineRule="auto"/>
        <w:ind w:left="420" w:right="717"/>
        <w:jc w:val="both"/>
      </w:pPr>
      <w:r>
        <w:rPr/>
        <w:t>Yaba, S. A., Musa, H. and Hassan, D. (2010). Effects of lead pollution on growth, nitrogen metabolism and tissue in humans and animals. </w:t>
      </w:r>
      <w:r>
        <w:rPr>
          <w:i/>
        </w:rPr>
        <w:t>Journal of Nutrition</w:t>
      </w:r>
      <w:r>
        <w:rPr/>
        <w:t>, 116: 1873-1882.</w:t>
      </w:r>
    </w:p>
    <w:p>
      <w:pPr>
        <w:pStyle w:val="BodyText"/>
        <w:spacing w:line="360" w:lineRule="auto" w:before="211"/>
        <w:ind w:left="420" w:right="729"/>
        <w:jc w:val="both"/>
      </w:pPr>
      <w:r>
        <w:rPr/>
        <w:t>Zhang, B.J., Kan, J.R. and Raji, R.J (2006). Heavy metal</w:t>
      </w:r>
      <w:r>
        <w:rPr>
          <w:spacing w:val="-1"/>
        </w:rPr>
        <w:t> </w:t>
      </w:r>
      <w:r>
        <w:rPr/>
        <w:t>contents of livestock feeds and animal manure from farms in Jiangu province in China, </w:t>
      </w:r>
      <w:r>
        <w:rPr>
          <w:i/>
        </w:rPr>
        <w:t>Bioresource Technology, </w:t>
      </w:r>
      <w:r>
        <w:rPr/>
        <w:t>70, 23-31.</w:t>
      </w:r>
    </w:p>
    <w:p>
      <w:pPr>
        <w:spacing w:after="0" w:line="360" w:lineRule="auto"/>
        <w:jc w:val="both"/>
        <w:sectPr>
          <w:pgSz w:w="12240" w:h="15840"/>
          <w:pgMar w:header="0" w:footer="1012" w:top="1360" w:bottom="1200" w:left="1020" w:right="720"/>
        </w:sectPr>
      </w:pPr>
    </w:p>
    <w:p>
      <w:pPr>
        <w:pStyle w:val="Heading2"/>
        <w:spacing w:before="72"/>
        <w:jc w:val="both"/>
      </w:pPr>
      <w:r>
        <w:rPr/>
        <w:t>Appendix</w:t>
      </w:r>
      <w:r>
        <w:rPr>
          <w:spacing w:val="-3"/>
        </w:rPr>
        <w:t> </w:t>
      </w:r>
      <w:r>
        <w:rPr>
          <w:spacing w:val="-10"/>
        </w:rPr>
        <w:t>7</w:t>
      </w:r>
    </w:p>
    <w:p>
      <w:pPr>
        <w:pStyle w:val="BodyText"/>
        <w:spacing w:line="357" w:lineRule="auto" w:before="242"/>
        <w:ind w:left="420" w:right="715" w:firstLine="57"/>
        <w:jc w:val="both"/>
      </w:pPr>
      <w:r>
        <w:rPr/>
        <w:t>Mean concentrations in mg/kg of zinc, copper, nickel,</w:t>
      </w:r>
      <w:r>
        <w:rPr>
          <w:spacing w:val="35"/>
        </w:rPr>
        <w:t> </w:t>
      </w:r>
      <w:r>
        <w:rPr/>
        <w:t>lead and arsenic in different brands of</w:t>
      </w:r>
      <w:r>
        <w:rPr>
          <w:spacing w:val="40"/>
        </w:rPr>
        <w:t> </w:t>
      </w:r>
      <w:r>
        <w:rPr/>
        <w:t>fish feeds sampled in</w:t>
      </w:r>
      <w:r>
        <w:rPr>
          <w:spacing w:val="-1"/>
        </w:rPr>
        <w:t> </w:t>
      </w:r>
      <w:r>
        <w:rPr/>
        <w:t>North</w:t>
      </w:r>
      <w:r>
        <w:rPr>
          <w:spacing w:val="-1"/>
        </w:rPr>
        <w:t> </w:t>
      </w:r>
      <w:r>
        <w:rPr/>
        <w:t>central, North</w:t>
      </w:r>
      <w:r>
        <w:rPr>
          <w:spacing w:val="-1"/>
        </w:rPr>
        <w:t> </w:t>
      </w:r>
      <w:r>
        <w:rPr/>
        <w:t>west and North</w:t>
      </w:r>
      <w:r>
        <w:rPr>
          <w:spacing w:val="-1"/>
        </w:rPr>
        <w:t> </w:t>
      </w:r>
      <w:r>
        <w:rPr/>
        <w:t>east, Nigeria and Statistical</w:t>
      </w:r>
      <w:r>
        <w:rPr>
          <w:spacing w:val="-6"/>
        </w:rPr>
        <w:t> </w:t>
      </w:r>
      <w:r>
        <w:rPr/>
        <w:t>difference at P&lt;0.05</w:t>
      </w:r>
    </w:p>
    <w:p>
      <w:pPr>
        <w:pStyle w:val="BodyText"/>
        <w:rPr>
          <w:sz w:val="20"/>
        </w:rPr>
      </w:pPr>
    </w:p>
    <w:p>
      <w:pPr>
        <w:pStyle w:val="BodyText"/>
        <w:rPr>
          <w:sz w:val="20"/>
        </w:rPr>
      </w:pPr>
    </w:p>
    <w:p>
      <w:pPr>
        <w:pStyle w:val="BodyText"/>
        <w:spacing w:before="44"/>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9"/>
        <w:gridCol w:w="1135"/>
        <w:gridCol w:w="1641"/>
        <w:gridCol w:w="1529"/>
        <w:gridCol w:w="1460"/>
        <w:gridCol w:w="1462"/>
        <w:gridCol w:w="1902"/>
      </w:tblGrid>
      <w:tr>
        <w:trPr>
          <w:trHeight w:val="633" w:hRule="atLeast"/>
        </w:trPr>
        <w:tc>
          <w:tcPr>
            <w:tcW w:w="959" w:type="dxa"/>
            <w:tcBorders>
              <w:top w:val="single" w:sz="4" w:space="0" w:color="000000"/>
              <w:bottom w:val="single" w:sz="4" w:space="0" w:color="000000"/>
            </w:tcBorders>
          </w:tcPr>
          <w:p>
            <w:pPr>
              <w:pStyle w:val="TableParagraph"/>
              <w:spacing w:line="268" w:lineRule="exact" w:before="0"/>
              <w:ind w:left="110"/>
              <w:rPr>
                <w:sz w:val="24"/>
              </w:rPr>
            </w:pPr>
            <w:r>
              <w:rPr>
                <w:spacing w:val="-4"/>
                <w:sz w:val="24"/>
              </w:rPr>
              <w:t>Fish</w:t>
            </w:r>
          </w:p>
          <w:p>
            <w:pPr>
              <w:pStyle w:val="TableParagraph"/>
              <w:spacing w:before="41"/>
              <w:ind w:left="110"/>
              <w:rPr>
                <w:sz w:val="24"/>
              </w:rPr>
            </w:pPr>
            <w:r>
              <w:rPr>
                <w:spacing w:val="-2"/>
                <w:sz w:val="24"/>
              </w:rPr>
              <w:t>Feeds</w:t>
            </w:r>
          </w:p>
        </w:tc>
        <w:tc>
          <w:tcPr>
            <w:tcW w:w="1135" w:type="dxa"/>
            <w:tcBorders>
              <w:top w:val="single" w:sz="4" w:space="0" w:color="000000"/>
              <w:bottom w:val="single" w:sz="4" w:space="0" w:color="000000"/>
            </w:tcBorders>
          </w:tcPr>
          <w:p>
            <w:pPr>
              <w:pStyle w:val="TableParagraph"/>
              <w:spacing w:line="268" w:lineRule="exact" w:before="0"/>
              <w:ind w:left="289"/>
              <w:rPr>
                <w:sz w:val="24"/>
              </w:rPr>
            </w:pPr>
            <w:r>
              <w:rPr>
                <w:spacing w:val="-4"/>
                <w:sz w:val="24"/>
              </w:rPr>
              <w:t>Zone</w:t>
            </w:r>
          </w:p>
        </w:tc>
        <w:tc>
          <w:tcPr>
            <w:tcW w:w="1641" w:type="dxa"/>
            <w:tcBorders>
              <w:top w:val="single" w:sz="4" w:space="0" w:color="000000"/>
              <w:bottom w:val="single" w:sz="4" w:space="0" w:color="000000"/>
            </w:tcBorders>
          </w:tcPr>
          <w:p>
            <w:pPr>
              <w:pStyle w:val="TableParagraph"/>
              <w:spacing w:line="268" w:lineRule="exact" w:before="0"/>
              <w:ind w:left="479"/>
              <w:rPr>
                <w:sz w:val="24"/>
              </w:rPr>
            </w:pPr>
            <w:r>
              <w:rPr>
                <w:spacing w:val="-5"/>
                <w:sz w:val="24"/>
              </w:rPr>
              <w:t>Zn</w:t>
            </w:r>
          </w:p>
        </w:tc>
        <w:tc>
          <w:tcPr>
            <w:tcW w:w="1529" w:type="dxa"/>
            <w:tcBorders>
              <w:top w:val="single" w:sz="4" w:space="0" w:color="000000"/>
              <w:bottom w:val="single" w:sz="4" w:space="0" w:color="000000"/>
            </w:tcBorders>
          </w:tcPr>
          <w:p>
            <w:pPr>
              <w:pStyle w:val="TableParagraph"/>
              <w:spacing w:line="268" w:lineRule="exact" w:before="0"/>
              <w:ind w:left="437"/>
              <w:rPr>
                <w:sz w:val="24"/>
              </w:rPr>
            </w:pPr>
            <w:r>
              <w:rPr>
                <w:spacing w:val="-5"/>
                <w:sz w:val="24"/>
              </w:rPr>
              <w:t>Cu</w:t>
            </w:r>
          </w:p>
        </w:tc>
        <w:tc>
          <w:tcPr>
            <w:tcW w:w="1460" w:type="dxa"/>
            <w:tcBorders>
              <w:top w:val="single" w:sz="4" w:space="0" w:color="000000"/>
              <w:bottom w:val="single" w:sz="4" w:space="0" w:color="000000"/>
            </w:tcBorders>
          </w:tcPr>
          <w:p>
            <w:pPr>
              <w:pStyle w:val="TableParagraph"/>
              <w:spacing w:line="268" w:lineRule="exact" w:before="0"/>
              <w:ind w:left="368"/>
              <w:rPr>
                <w:sz w:val="24"/>
              </w:rPr>
            </w:pPr>
            <w:r>
              <w:rPr>
                <w:spacing w:val="-5"/>
                <w:sz w:val="24"/>
              </w:rPr>
              <w:t>Ni</w:t>
            </w:r>
          </w:p>
        </w:tc>
        <w:tc>
          <w:tcPr>
            <w:tcW w:w="1462" w:type="dxa"/>
            <w:tcBorders>
              <w:top w:val="single" w:sz="4" w:space="0" w:color="000000"/>
              <w:bottom w:val="single" w:sz="4" w:space="0" w:color="000000"/>
            </w:tcBorders>
          </w:tcPr>
          <w:p>
            <w:pPr>
              <w:pStyle w:val="TableParagraph"/>
              <w:spacing w:line="268" w:lineRule="exact" w:before="0"/>
              <w:ind w:left="367"/>
              <w:rPr>
                <w:sz w:val="24"/>
              </w:rPr>
            </w:pPr>
            <w:r>
              <w:rPr>
                <w:spacing w:val="-5"/>
                <w:sz w:val="24"/>
              </w:rPr>
              <w:t>Pb</w:t>
            </w:r>
          </w:p>
        </w:tc>
        <w:tc>
          <w:tcPr>
            <w:tcW w:w="1902" w:type="dxa"/>
            <w:tcBorders>
              <w:top w:val="single" w:sz="4" w:space="0" w:color="000000"/>
              <w:bottom w:val="single" w:sz="4" w:space="0" w:color="000000"/>
            </w:tcBorders>
          </w:tcPr>
          <w:p>
            <w:pPr>
              <w:pStyle w:val="TableParagraph"/>
              <w:spacing w:line="268" w:lineRule="exact" w:before="0"/>
              <w:ind w:left="370"/>
              <w:rPr>
                <w:sz w:val="24"/>
              </w:rPr>
            </w:pPr>
            <w:r>
              <w:rPr>
                <w:spacing w:val="-5"/>
                <w:sz w:val="24"/>
              </w:rPr>
              <w:t>As</w:t>
            </w:r>
          </w:p>
        </w:tc>
      </w:tr>
      <w:tr>
        <w:trPr>
          <w:trHeight w:val="410" w:hRule="atLeast"/>
        </w:trPr>
        <w:tc>
          <w:tcPr>
            <w:tcW w:w="959" w:type="dxa"/>
            <w:tcBorders>
              <w:top w:val="single" w:sz="4" w:space="0" w:color="000000"/>
            </w:tcBorders>
          </w:tcPr>
          <w:p>
            <w:pPr>
              <w:pStyle w:val="TableParagraph"/>
              <w:spacing w:before="0"/>
              <w:rPr>
                <w:sz w:val="24"/>
              </w:rPr>
            </w:pPr>
          </w:p>
        </w:tc>
        <w:tc>
          <w:tcPr>
            <w:tcW w:w="1135" w:type="dxa"/>
            <w:tcBorders>
              <w:top w:val="single" w:sz="4" w:space="0" w:color="000000"/>
            </w:tcBorders>
          </w:tcPr>
          <w:p>
            <w:pPr>
              <w:pStyle w:val="TableParagraph"/>
              <w:spacing w:line="268" w:lineRule="exact" w:before="0"/>
              <w:ind w:left="289"/>
              <w:rPr>
                <w:sz w:val="24"/>
              </w:rPr>
            </w:pPr>
            <w:r>
              <w:rPr>
                <w:spacing w:val="-5"/>
                <w:sz w:val="24"/>
              </w:rPr>
              <w:t>NC</w:t>
            </w:r>
          </w:p>
        </w:tc>
        <w:tc>
          <w:tcPr>
            <w:tcW w:w="1641" w:type="dxa"/>
            <w:tcBorders>
              <w:top w:val="single" w:sz="4" w:space="0" w:color="000000"/>
            </w:tcBorders>
          </w:tcPr>
          <w:p>
            <w:pPr>
              <w:pStyle w:val="TableParagraph"/>
              <w:spacing w:line="268" w:lineRule="exact" w:before="0"/>
              <w:ind w:left="354"/>
              <w:rPr>
                <w:sz w:val="24"/>
              </w:rPr>
            </w:pPr>
            <w:r>
              <w:rPr>
                <w:spacing w:val="-2"/>
                <w:sz w:val="24"/>
              </w:rPr>
              <w:t>5.12±1.91</w:t>
            </w:r>
          </w:p>
        </w:tc>
        <w:tc>
          <w:tcPr>
            <w:tcW w:w="1529" w:type="dxa"/>
            <w:tcBorders>
              <w:top w:val="single" w:sz="4" w:space="0" w:color="000000"/>
            </w:tcBorders>
          </w:tcPr>
          <w:p>
            <w:pPr>
              <w:pStyle w:val="TableParagraph"/>
              <w:spacing w:line="268" w:lineRule="exact" w:before="0"/>
              <w:ind w:right="240"/>
              <w:jc w:val="right"/>
              <w:rPr>
                <w:sz w:val="24"/>
              </w:rPr>
            </w:pPr>
            <w:r>
              <w:rPr>
                <w:spacing w:val="-2"/>
                <w:sz w:val="24"/>
              </w:rPr>
              <w:t>3.06±1.08</w:t>
            </w:r>
          </w:p>
        </w:tc>
        <w:tc>
          <w:tcPr>
            <w:tcW w:w="1460" w:type="dxa"/>
            <w:tcBorders>
              <w:top w:val="single" w:sz="4" w:space="0" w:color="000000"/>
            </w:tcBorders>
          </w:tcPr>
          <w:p>
            <w:pPr>
              <w:pStyle w:val="TableParagraph"/>
              <w:spacing w:line="268" w:lineRule="exact" w:before="0"/>
              <w:ind w:left="243"/>
              <w:rPr>
                <w:sz w:val="24"/>
              </w:rPr>
            </w:pPr>
            <w:r>
              <w:rPr>
                <w:spacing w:val="-2"/>
                <w:sz w:val="24"/>
              </w:rPr>
              <w:t>0.13±0.09</w:t>
            </w:r>
          </w:p>
        </w:tc>
        <w:tc>
          <w:tcPr>
            <w:tcW w:w="1462" w:type="dxa"/>
            <w:tcBorders>
              <w:top w:val="single" w:sz="4" w:space="0" w:color="000000"/>
            </w:tcBorders>
          </w:tcPr>
          <w:p>
            <w:pPr>
              <w:pStyle w:val="TableParagraph"/>
              <w:spacing w:line="268" w:lineRule="exact" w:before="0"/>
              <w:ind w:left="243"/>
              <w:rPr>
                <w:sz w:val="24"/>
              </w:rPr>
            </w:pPr>
            <w:r>
              <w:rPr>
                <w:spacing w:val="-2"/>
                <w:sz w:val="24"/>
              </w:rPr>
              <w:t>0.36±0.09</w:t>
            </w:r>
          </w:p>
        </w:tc>
        <w:tc>
          <w:tcPr>
            <w:tcW w:w="1902" w:type="dxa"/>
            <w:tcBorders>
              <w:top w:val="single" w:sz="4" w:space="0" w:color="000000"/>
            </w:tcBorders>
          </w:tcPr>
          <w:p>
            <w:pPr>
              <w:pStyle w:val="TableParagraph"/>
              <w:spacing w:line="268" w:lineRule="exact" w:before="0"/>
              <w:ind w:left="246"/>
              <w:rPr>
                <w:sz w:val="24"/>
              </w:rPr>
            </w:pPr>
            <w:r>
              <w:rPr>
                <w:spacing w:val="-2"/>
                <w:sz w:val="24"/>
              </w:rPr>
              <w:t>0.04±0.02</w:t>
            </w:r>
          </w:p>
        </w:tc>
      </w:tr>
      <w:tr>
        <w:trPr>
          <w:trHeight w:val="552" w:hRule="atLeast"/>
        </w:trPr>
        <w:tc>
          <w:tcPr>
            <w:tcW w:w="959" w:type="dxa"/>
          </w:tcPr>
          <w:p>
            <w:pPr>
              <w:pStyle w:val="TableParagraph"/>
              <w:ind w:left="110"/>
              <w:rPr>
                <w:sz w:val="24"/>
              </w:rPr>
            </w:pPr>
            <w:r>
              <w:rPr>
                <w:spacing w:val="-5"/>
                <w:sz w:val="24"/>
              </w:rPr>
              <w:t>FA</w:t>
            </w:r>
          </w:p>
        </w:tc>
        <w:tc>
          <w:tcPr>
            <w:tcW w:w="1135" w:type="dxa"/>
          </w:tcPr>
          <w:p>
            <w:pPr>
              <w:pStyle w:val="TableParagraph"/>
              <w:ind w:left="289"/>
              <w:rPr>
                <w:sz w:val="24"/>
              </w:rPr>
            </w:pPr>
            <w:r>
              <w:rPr>
                <w:spacing w:val="-5"/>
                <w:sz w:val="24"/>
              </w:rPr>
              <w:t>NW</w:t>
            </w:r>
          </w:p>
        </w:tc>
        <w:tc>
          <w:tcPr>
            <w:tcW w:w="1641" w:type="dxa"/>
          </w:tcPr>
          <w:p>
            <w:pPr>
              <w:pStyle w:val="TableParagraph"/>
              <w:ind w:left="354"/>
              <w:rPr>
                <w:sz w:val="24"/>
              </w:rPr>
            </w:pPr>
            <w:r>
              <w:rPr>
                <w:spacing w:val="-2"/>
                <w:sz w:val="24"/>
              </w:rPr>
              <w:t>5.15±1.87</w:t>
            </w:r>
          </w:p>
        </w:tc>
        <w:tc>
          <w:tcPr>
            <w:tcW w:w="1529" w:type="dxa"/>
          </w:tcPr>
          <w:p>
            <w:pPr>
              <w:pStyle w:val="TableParagraph"/>
              <w:ind w:right="240"/>
              <w:jc w:val="right"/>
              <w:rPr>
                <w:sz w:val="24"/>
              </w:rPr>
            </w:pPr>
            <w:r>
              <w:rPr>
                <w:spacing w:val="-2"/>
                <w:sz w:val="24"/>
              </w:rPr>
              <w:t>3.08±1.81</w:t>
            </w:r>
          </w:p>
        </w:tc>
        <w:tc>
          <w:tcPr>
            <w:tcW w:w="1460" w:type="dxa"/>
          </w:tcPr>
          <w:p>
            <w:pPr>
              <w:pStyle w:val="TableParagraph"/>
              <w:ind w:left="243"/>
              <w:rPr>
                <w:sz w:val="24"/>
              </w:rPr>
            </w:pPr>
            <w:r>
              <w:rPr>
                <w:spacing w:val="-2"/>
                <w:sz w:val="24"/>
              </w:rPr>
              <w:t>0.14±0.05</w:t>
            </w:r>
          </w:p>
        </w:tc>
        <w:tc>
          <w:tcPr>
            <w:tcW w:w="1462" w:type="dxa"/>
          </w:tcPr>
          <w:p>
            <w:pPr>
              <w:pStyle w:val="TableParagraph"/>
              <w:ind w:left="243"/>
              <w:rPr>
                <w:sz w:val="24"/>
              </w:rPr>
            </w:pPr>
            <w:r>
              <w:rPr>
                <w:spacing w:val="-2"/>
                <w:sz w:val="24"/>
              </w:rPr>
              <w:t>0.38±0.25</w:t>
            </w:r>
          </w:p>
        </w:tc>
        <w:tc>
          <w:tcPr>
            <w:tcW w:w="1902" w:type="dxa"/>
          </w:tcPr>
          <w:p>
            <w:pPr>
              <w:pStyle w:val="TableParagraph"/>
              <w:ind w:left="246"/>
              <w:rPr>
                <w:sz w:val="24"/>
              </w:rPr>
            </w:pPr>
            <w:r>
              <w:rPr>
                <w:spacing w:val="-2"/>
                <w:sz w:val="24"/>
              </w:rPr>
              <w:t>0.05±0.04</w:t>
            </w:r>
          </w:p>
        </w:tc>
      </w:tr>
      <w:tr>
        <w:trPr>
          <w:trHeight w:val="552" w:hRule="atLeast"/>
        </w:trPr>
        <w:tc>
          <w:tcPr>
            <w:tcW w:w="959" w:type="dxa"/>
          </w:tcPr>
          <w:p>
            <w:pPr>
              <w:pStyle w:val="TableParagraph"/>
              <w:spacing w:before="0"/>
              <w:rPr>
                <w:sz w:val="24"/>
              </w:rPr>
            </w:pPr>
          </w:p>
        </w:tc>
        <w:tc>
          <w:tcPr>
            <w:tcW w:w="1135" w:type="dxa"/>
          </w:tcPr>
          <w:p>
            <w:pPr>
              <w:pStyle w:val="TableParagraph"/>
              <w:ind w:left="289"/>
              <w:rPr>
                <w:sz w:val="24"/>
              </w:rPr>
            </w:pPr>
            <w:r>
              <w:rPr>
                <w:spacing w:val="-5"/>
                <w:sz w:val="24"/>
              </w:rPr>
              <w:t>NE</w:t>
            </w:r>
          </w:p>
        </w:tc>
        <w:tc>
          <w:tcPr>
            <w:tcW w:w="1641" w:type="dxa"/>
          </w:tcPr>
          <w:p>
            <w:pPr>
              <w:pStyle w:val="TableParagraph"/>
              <w:ind w:left="354"/>
              <w:rPr>
                <w:sz w:val="24"/>
              </w:rPr>
            </w:pPr>
            <w:r>
              <w:rPr>
                <w:spacing w:val="-2"/>
                <w:sz w:val="24"/>
              </w:rPr>
              <w:t>5.22±0.46</w:t>
            </w:r>
          </w:p>
        </w:tc>
        <w:tc>
          <w:tcPr>
            <w:tcW w:w="1529" w:type="dxa"/>
          </w:tcPr>
          <w:p>
            <w:pPr>
              <w:pStyle w:val="TableParagraph"/>
              <w:ind w:right="240"/>
              <w:jc w:val="right"/>
              <w:rPr>
                <w:sz w:val="24"/>
              </w:rPr>
            </w:pPr>
            <w:r>
              <w:rPr>
                <w:spacing w:val="-2"/>
                <w:sz w:val="24"/>
              </w:rPr>
              <w:t>3.07±2.13</w:t>
            </w:r>
          </w:p>
        </w:tc>
        <w:tc>
          <w:tcPr>
            <w:tcW w:w="1460" w:type="dxa"/>
          </w:tcPr>
          <w:p>
            <w:pPr>
              <w:pStyle w:val="TableParagraph"/>
              <w:ind w:left="243"/>
              <w:rPr>
                <w:sz w:val="24"/>
              </w:rPr>
            </w:pPr>
            <w:r>
              <w:rPr>
                <w:spacing w:val="-2"/>
                <w:sz w:val="24"/>
              </w:rPr>
              <w:t>0.15±0.01</w:t>
            </w:r>
          </w:p>
        </w:tc>
        <w:tc>
          <w:tcPr>
            <w:tcW w:w="1462" w:type="dxa"/>
          </w:tcPr>
          <w:p>
            <w:pPr>
              <w:pStyle w:val="TableParagraph"/>
              <w:ind w:left="243"/>
              <w:rPr>
                <w:sz w:val="24"/>
              </w:rPr>
            </w:pPr>
            <w:r>
              <w:rPr>
                <w:spacing w:val="-2"/>
                <w:sz w:val="24"/>
              </w:rPr>
              <w:t>0.32±0.21</w:t>
            </w:r>
          </w:p>
        </w:tc>
        <w:tc>
          <w:tcPr>
            <w:tcW w:w="1902" w:type="dxa"/>
          </w:tcPr>
          <w:p>
            <w:pPr>
              <w:pStyle w:val="TableParagraph"/>
              <w:ind w:left="246"/>
              <w:rPr>
                <w:sz w:val="24"/>
              </w:rPr>
            </w:pPr>
            <w:r>
              <w:rPr>
                <w:spacing w:val="-2"/>
                <w:sz w:val="24"/>
              </w:rPr>
              <w:t>0.04±0.02</w:t>
            </w:r>
          </w:p>
        </w:tc>
      </w:tr>
      <w:tr>
        <w:trPr>
          <w:trHeight w:val="552" w:hRule="atLeast"/>
        </w:trPr>
        <w:tc>
          <w:tcPr>
            <w:tcW w:w="959" w:type="dxa"/>
          </w:tcPr>
          <w:p>
            <w:pPr>
              <w:pStyle w:val="TableParagraph"/>
              <w:spacing w:before="0"/>
              <w:rPr>
                <w:sz w:val="24"/>
              </w:rPr>
            </w:pPr>
          </w:p>
        </w:tc>
        <w:tc>
          <w:tcPr>
            <w:tcW w:w="1135" w:type="dxa"/>
          </w:tcPr>
          <w:p>
            <w:pPr>
              <w:pStyle w:val="TableParagraph"/>
              <w:ind w:left="289"/>
              <w:rPr>
                <w:sz w:val="24"/>
              </w:rPr>
            </w:pPr>
            <w:r>
              <w:rPr>
                <w:spacing w:val="-5"/>
                <w:sz w:val="24"/>
              </w:rPr>
              <w:t>NC</w:t>
            </w:r>
          </w:p>
        </w:tc>
        <w:tc>
          <w:tcPr>
            <w:tcW w:w="1641" w:type="dxa"/>
          </w:tcPr>
          <w:p>
            <w:pPr>
              <w:pStyle w:val="TableParagraph"/>
              <w:ind w:left="354"/>
              <w:rPr>
                <w:sz w:val="24"/>
              </w:rPr>
            </w:pPr>
            <w:r>
              <w:rPr>
                <w:spacing w:val="-2"/>
                <w:sz w:val="24"/>
              </w:rPr>
              <w:t>5.18±2.02</w:t>
            </w:r>
          </w:p>
        </w:tc>
        <w:tc>
          <w:tcPr>
            <w:tcW w:w="1529" w:type="dxa"/>
          </w:tcPr>
          <w:p>
            <w:pPr>
              <w:pStyle w:val="TableParagraph"/>
              <w:ind w:right="240"/>
              <w:jc w:val="right"/>
              <w:rPr>
                <w:sz w:val="24"/>
              </w:rPr>
            </w:pPr>
            <w:r>
              <w:rPr>
                <w:spacing w:val="-2"/>
                <w:sz w:val="24"/>
              </w:rPr>
              <w:t>3.10±1.46</w:t>
            </w:r>
          </w:p>
        </w:tc>
        <w:tc>
          <w:tcPr>
            <w:tcW w:w="1460" w:type="dxa"/>
          </w:tcPr>
          <w:p>
            <w:pPr>
              <w:pStyle w:val="TableParagraph"/>
              <w:ind w:left="243"/>
              <w:rPr>
                <w:sz w:val="24"/>
              </w:rPr>
            </w:pPr>
            <w:r>
              <w:rPr>
                <w:spacing w:val="-2"/>
                <w:sz w:val="24"/>
              </w:rPr>
              <w:t>0.13±0.06</w:t>
            </w:r>
          </w:p>
        </w:tc>
        <w:tc>
          <w:tcPr>
            <w:tcW w:w="1462" w:type="dxa"/>
          </w:tcPr>
          <w:p>
            <w:pPr>
              <w:pStyle w:val="TableParagraph"/>
              <w:ind w:left="243"/>
              <w:rPr>
                <w:sz w:val="24"/>
              </w:rPr>
            </w:pPr>
            <w:r>
              <w:rPr>
                <w:spacing w:val="-2"/>
                <w:sz w:val="24"/>
              </w:rPr>
              <w:t>0.33±0.14</w:t>
            </w:r>
          </w:p>
        </w:tc>
        <w:tc>
          <w:tcPr>
            <w:tcW w:w="1902" w:type="dxa"/>
          </w:tcPr>
          <w:p>
            <w:pPr>
              <w:pStyle w:val="TableParagraph"/>
              <w:ind w:left="246"/>
              <w:rPr>
                <w:sz w:val="24"/>
              </w:rPr>
            </w:pPr>
            <w:r>
              <w:rPr>
                <w:spacing w:val="-2"/>
                <w:sz w:val="24"/>
              </w:rPr>
              <w:t>0.03±0.02</w:t>
            </w:r>
          </w:p>
        </w:tc>
      </w:tr>
      <w:tr>
        <w:trPr>
          <w:trHeight w:val="552" w:hRule="atLeast"/>
        </w:trPr>
        <w:tc>
          <w:tcPr>
            <w:tcW w:w="959" w:type="dxa"/>
          </w:tcPr>
          <w:p>
            <w:pPr>
              <w:pStyle w:val="TableParagraph"/>
              <w:ind w:left="110"/>
              <w:rPr>
                <w:sz w:val="24"/>
              </w:rPr>
            </w:pPr>
            <w:r>
              <w:rPr>
                <w:spacing w:val="-5"/>
                <w:sz w:val="24"/>
              </w:rPr>
              <w:t>FB</w:t>
            </w:r>
          </w:p>
        </w:tc>
        <w:tc>
          <w:tcPr>
            <w:tcW w:w="1135" w:type="dxa"/>
          </w:tcPr>
          <w:p>
            <w:pPr>
              <w:pStyle w:val="TableParagraph"/>
              <w:ind w:left="289"/>
              <w:rPr>
                <w:sz w:val="24"/>
              </w:rPr>
            </w:pPr>
            <w:r>
              <w:rPr>
                <w:spacing w:val="-5"/>
                <w:sz w:val="24"/>
              </w:rPr>
              <w:t>NW</w:t>
            </w:r>
          </w:p>
        </w:tc>
        <w:tc>
          <w:tcPr>
            <w:tcW w:w="1641" w:type="dxa"/>
          </w:tcPr>
          <w:p>
            <w:pPr>
              <w:pStyle w:val="TableParagraph"/>
              <w:ind w:left="354"/>
              <w:rPr>
                <w:sz w:val="24"/>
              </w:rPr>
            </w:pPr>
            <w:r>
              <w:rPr>
                <w:spacing w:val="-2"/>
                <w:sz w:val="24"/>
              </w:rPr>
              <w:t>5.10±0.04</w:t>
            </w:r>
          </w:p>
        </w:tc>
        <w:tc>
          <w:tcPr>
            <w:tcW w:w="1529" w:type="dxa"/>
          </w:tcPr>
          <w:p>
            <w:pPr>
              <w:pStyle w:val="TableParagraph"/>
              <w:ind w:right="240"/>
              <w:jc w:val="right"/>
              <w:rPr>
                <w:sz w:val="24"/>
              </w:rPr>
            </w:pPr>
            <w:r>
              <w:rPr>
                <w:spacing w:val="-2"/>
                <w:sz w:val="24"/>
              </w:rPr>
              <w:t>3.09±2.07</w:t>
            </w:r>
          </w:p>
        </w:tc>
        <w:tc>
          <w:tcPr>
            <w:tcW w:w="1460" w:type="dxa"/>
          </w:tcPr>
          <w:p>
            <w:pPr>
              <w:pStyle w:val="TableParagraph"/>
              <w:ind w:left="243"/>
              <w:rPr>
                <w:sz w:val="24"/>
              </w:rPr>
            </w:pPr>
            <w:r>
              <w:rPr>
                <w:spacing w:val="-2"/>
                <w:sz w:val="24"/>
              </w:rPr>
              <w:t>0.10±0.04</w:t>
            </w:r>
          </w:p>
        </w:tc>
        <w:tc>
          <w:tcPr>
            <w:tcW w:w="1462" w:type="dxa"/>
          </w:tcPr>
          <w:p>
            <w:pPr>
              <w:pStyle w:val="TableParagraph"/>
              <w:ind w:left="243"/>
              <w:rPr>
                <w:sz w:val="24"/>
              </w:rPr>
            </w:pPr>
            <w:r>
              <w:rPr>
                <w:spacing w:val="-2"/>
                <w:sz w:val="24"/>
              </w:rPr>
              <w:t>0.30±0.08</w:t>
            </w:r>
          </w:p>
        </w:tc>
        <w:tc>
          <w:tcPr>
            <w:tcW w:w="1902" w:type="dxa"/>
          </w:tcPr>
          <w:p>
            <w:pPr>
              <w:pStyle w:val="TableParagraph"/>
              <w:ind w:left="246"/>
              <w:rPr>
                <w:sz w:val="24"/>
              </w:rPr>
            </w:pPr>
            <w:r>
              <w:rPr>
                <w:spacing w:val="-2"/>
                <w:sz w:val="24"/>
              </w:rPr>
              <w:t>0.04±0.01</w:t>
            </w:r>
          </w:p>
        </w:tc>
      </w:tr>
      <w:tr>
        <w:trPr>
          <w:trHeight w:val="552" w:hRule="atLeast"/>
        </w:trPr>
        <w:tc>
          <w:tcPr>
            <w:tcW w:w="959" w:type="dxa"/>
          </w:tcPr>
          <w:p>
            <w:pPr>
              <w:pStyle w:val="TableParagraph"/>
              <w:spacing w:before="0"/>
              <w:rPr>
                <w:sz w:val="24"/>
              </w:rPr>
            </w:pPr>
          </w:p>
        </w:tc>
        <w:tc>
          <w:tcPr>
            <w:tcW w:w="1135" w:type="dxa"/>
          </w:tcPr>
          <w:p>
            <w:pPr>
              <w:pStyle w:val="TableParagraph"/>
              <w:ind w:left="289"/>
              <w:rPr>
                <w:sz w:val="24"/>
              </w:rPr>
            </w:pPr>
            <w:r>
              <w:rPr>
                <w:spacing w:val="-5"/>
                <w:sz w:val="24"/>
              </w:rPr>
              <w:t>NE</w:t>
            </w:r>
          </w:p>
        </w:tc>
        <w:tc>
          <w:tcPr>
            <w:tcW w:w="1641" w:type="dxa"/>
          </w:tcPr>
          <w:p>
            <w:pPr>
              <w:pStyle w:val="TableParagraph"/>
              <w:ind w:left="354"/>
              <w:rPr>
                <w:sz w:val="24"/>
              </w:rPr>
            </w:pPr>
            <w:r>
              <w:rPr>
                <w:spacing w:val="-2"/>
                <w:sz w:val="24"/>
              </w:rPr>
              <w:t>5.61±1.06</w:t>
            </w:r>
          </w:p>
        </w:tc>
        <w:tc>
          <w:tcPr>
            <w:tcW w:w="1529" w:type="dxa"/>
          </w:tcPr>
          <w:p>
            <w:pPr>
              <w:pStyle w:val="TableParagraph"/>
              <w:ind w:right="240"/>
              <w:jc w:val="right"/>
              <w:rPr>
                <w:sz w:val="24"/>
              </w:rPr>
            </w:pPr>
            <w:r>
              <w:rPr>
                <w:spacing w:val="-2"/>
                <w:sz w:val="24"/>
              </w:rPr>
              <w:t>3.09±1.21</w:t>
            </w:r>
          </w:p>
        </w:tc>
        <w:tc>
          <w:tcPr>
            <w:tcW w:w="1460" w:type="dxa"/>
          </w:tcPr>
          <w:p>
            <w:pPr>
              <w:pStyle w:val="TableParagraph"/>
              <w:ind w:left="243"/>
              <w:rPr>
                <w:sz w:val="24"/>
              </w:rPr>
            </w:pPr>
            <w:r>
              <w:rPr>
                <w:spacing w:val="-2"/>
                <w:sz w:val="24"/>
              </w:rPr>
              <w:t>0.12±0.06</w:t>
            </w:r>
          </w:p>
        </w:tc>
        <w:tc>
          <w:tcPr>
            <w:tcW w:w="1462" w:type="dxa"/>
          </w:tcPr>
          <w:p>
            <w:pPr>
              <w:pStyle w:val="TableParagraph"/>
              <w:ind w:left="243"/>
              <w:rPr>
                <w:sz w:val="24"/>
              </w:rPr>
            </w:pPr>
            <w:r>
              <w:rPr>
                <w:spacing w:val="-2"/>
                <w:sz w:val="24"/>
              </w:rPr>
              <w:t>0.31±0.22</w:t>
            </w:r>
          </w:p>
        </w:tc>
        <w:tc>
          <w:tcPr>
            <w:tcW w:w="1902" w:type="dxa"/>
          </w:tcPr>
          <w:p>
            <w:pPr>
              <w:pStyle w:val="TableParagraph"/>
              <w:ind w:left="246"/>
              <w:rPr>
                <w:sz w:val="24"/>
              </w:rPr>
            </w:pPr>
            <w:r>
              <w:rPr>
                <w:spacing w:val="-2"/>
                <w:sz w:val="24"/>
              </w:rPr>
              <w:t>0.04±0.02</w:t>
            </w:r>
          </w:p>
        </w:tc>
      </w:tr>
      <w:tr>
        <w:trPr>
          <w:trHeight w:val="552" w:hRule="atLeast"/>
        </w:trPr>
        <w:tc>
          <w:tcPr>
            <w:tcW w:w="959" w:type="dxa"/>
          </w:tcPr>
          <w:p>
            <w:pPr>
              <w:pStyle w:val="TableParagraph"/>
              <w:spacing w:before="0"/>
              <w:rPr>
                <w:sz w:val="24"/>
              </w:rPr>
            </w:pPr>
          </w:p>
        </w:tc>
        <w:tc>
          <w:tcPr>
            <w:tcW w:w="1135" w:type="dxa"/>
          </w:tcPr>
          <w:p>
            <w:pPr>
              <w:pStyle w:val="TableParagraph"/>
              <w:ind w:left="289"/>
              <w:rPr>
                <w:sz w:val="24"/>
              </w:rPr>
            </w:pPr>
            <w:r>
              <w:rPr>
                <w:spacing w:val="-5"/>
                <w:sz w:val="24"/>
              </w:rPr>
              <w:t>NC</w:t>
            </w:r>
          </w:p>
        </w:tc>
        <w:tc>
          <w:tcPr>
            <w:tcW w:w="1641" w:type="dxa"/>
          </w:tcPr>
          <w:p>
            <w:pPr>
              <w:pStyle w:val="TableParagraph"/>
              <w:ind w:left="354"/>
              <w:rPr>
                <w:sz w:val="24"/>
              </w:rPr>
            </w:pPr>
            <w:r>
              <w:rPr>
                <w:spacing w:val="-2"/>
                <w:sz w:val="24"/>
              </w:rPr>
              <w:t>6.38±1.50</w:t>
            </w:r>
          </w:p>
        </w:tc>
        <w:tc>
          <w:tcPr>
            <w:tcW w:w="1529" w:type="dxa"/>
          </w:tcPr>
          <w:p>
            <w:pPr>
              <w:pStyle w:val="TableParagraph"/>
              <w:ind w:right="240"/>
              <w:jc w:val="right"/>
              <w:rPr>
                <w:sz w:val="24"/>
              </w:rPr>
            </w:pPr>
            <w:r>
              <w:rPr>
                <w:spacing w:val="-2"/>
                <w:sz w:val="24"/>
              </w:rPr>
              <w:t>3.16±1.65</w:t>
            </w:r>
          </w:p>
        </w:tc>
        <w:tc>
          <w:tcPr>
            <w:tcW w:w="1460" w:type="dxa"/>
          </w:tcPr>
          <w:p>
            <w:pPr>
              <w:pStyle w:val="TableParagraph"/>
              <w:ind w:left="243"/>
              <w:rPr>
                <w:sz w:val="24"/>
              </w:rPr>
            </w:pPr>
            <w:r>
              <w:rPr>
                <w:spacing w:val="-2"/>
                <w:sz w:val="24"/>
              </w:rPr>
              <w:t>0.17±0.13</w:t>
            </w:r>
          </w:p>
        </w:tc>
        <w:tc>
          <w:tcPr>
            <w:tcW w:w="1462" w:type="dxa"/>
          </w:tcPr>
          <w:p>
            <w:pPr>
              <w:pStyle w:val="TableParagraph"/>
              <w:ind w:left="243"/>
              <w:rPr>
                <w:sz w:val="24"/>
              </w:rPr>
            </w:pPr>
            <w:r>
              <w:rPr>
                <w:spacing w:val="-2"/>
                <w:sz w:val="24"/>
              </w:rPr>
              <w:t>0.18±0.04</w:t>
            </w:r>
          </w:p>
        </w:tc>
        <w:tc>
          <w:tcPr>
            <w:tcW w:w="1902" w:type="dxa"/>
          </w:tcPr>
          <w:p>
            <w:pPr>
              <w:pStyle w:val="TableParagraph"/>
              <w:ind w:left="246"/>
              <w:rPr>
                <w:sz w:val="24"/>
              </w:rPr>
            </w:pPr>
            <w:r>
              <w:rPr>
                <w:spacing w:val="-2"/>
                <w:sz w:val="24"/>
              </w:rPr>
              <w:t>0.02±0.02</w:t>
            </w:r>
          </w:p>
        </w:tc>
      </w:tr>
      <w:tr>
        <w:trPr>
          <w:trHeight w:val="551" w:hRule="atLeast"/>
        </w:trPr>
        <w:tc>
          <w:tcPr>
            <w:tcW w:w="959" w:type="dxa"/>
          </w:tcPr>
          <w:p>
            <w:pPr>
              <w:pStyle w:val="TableParagraph"/>
              <w:ind w:left="110"/>
              <w:rPr>
                <w:sz w:val="24"/>
              </w:rPr>
            </w:pPr>
            <w:r>
              <w:rPr>
                <w:spacing w:val="-5"/>
                <w:sz w:val="24"/>
              </w:rPr>
              <w:t>FC</w:t>
            </w:r>
          </w:p>
        </w:tc>
        <w:tc>
          <w:tcPr>
            <w:tcW w:w="1135" w:type="dxa"/>
          </w:tcPr>
          <w:p>
            <w:pPr>
              <w:pStyle w:val="TableParagraph"/>
              <w:ind w:left="289"/>
              <w:rPr>
                <w:sz w:val="24"/>
              </w:rPr>
            </w:pPr>
            <w:r>
              <w:rPr>
                <w:spacing w:val="-5"/>
                <w:sz w:val="24"/>
              </w:rPr>
              <w:t>NW</w:t>
            </w:r>
          </w:p>
        </w:tc>
        <w:tc>
          <w:tcPr>
            <w:tcW w:w="1641" w:type="dxa"/>
          </w:tcPr>
          <w:p>
            <w:pPr>
              <w:pStyle w:val="TableParagraph"/>
              <w:ind w:left="354"/>
              <w:rPr>
                <w:sz w:val="24"/>
              </w:rPr>
            </w:pPr>
            <w:r>
              <w:rPr>
                <w:spacing w:val="-2"/>
                <w:sz w:val="24"/>
              </w:rPr>
              <w:t>6.30±4.67</w:t>
            </w:r>
          </w:p>
        </w:tc>
        <w:tc>
          <w:tcPr>
            <w:tcW w:w="1529" w:type="dxa"/>
          </w:tcPr>
          <w:p>
            <w:pPr>
              <w:pStyle w:val="TableParagraph"/>
              <w:ind w:right="240"/>
              <w:jc w:val="right"/>
              <w:rPr>
                <w:sz w:val="24"/>
              </w:rPr>
            </w:pPr>
            <w:r>
              <w:rPr>
                <w:spacing w:val="-2"/>
                <w:sz w:val="24"/>
              </w:rPr>
              <w:t>3.14±2.06</w:t>
            </w:r>
          </w:p>
        </w:tc>
        <w:tc>
          <w:tcPr>
            <w:tcW w:w="1460" w:type="dxa"/>
          </w:tcPr>
          <w:p>
            <w:pPr>
              <w:pStyle w:val="TableParagraph"/>
              <w:ind w:left="243"/>
              <w:rPr>
                <w:sz w:val="24"/>
              </w:rPr>
            </w:pPr>
            <w:r>
              <w:rPr>
                <w:spacing w:val="-2"/>
                <w:sz w:val="24"/>
              </w:rPr>
              <w:t>0.18±0.05</w:t>
            </w:r>
          </w:p>
        </w:tc>
        <w:tc>
          <w:tcPr>
            <w:tcW w:w="1462" w:type="dxa"/>
          </w:tcPr>
          <w:p>
            <w:pPr>
              <w:pStyle w:val="TableParagraph"/>
              <w:ind w:left="243"/>
              <w:rPr>
                <w:sz w:val="24"/>
              </w:rPr>
            </w:pPr>
            <w:r>
              <w:rPr>
                <w:spacing w:val="-2"/>
                <w:sz w:val="24"/>
              </w:rPr>
              <w:t>0.20±0.42</w:t>
            </w:r>
          </w:p>
        </w:tc>
        <w:tc>
          <w:tcPr>
            <w:tcW w:w="1902" w:type="dxa"/>
          </w:tcPr>
          <w:p>
            <w:pPr>
              <w:pStyle w:val="TableParagraph"/>
              <w:ind w:left="246"/>
              <w:rPr>
                <w:sz w:val="24"/>
              </w:rPr>
            </w:pPr>
            <w:r>
              <w:rPr>
                <w:spacing w:val="-2"/>
                <w:sz w:val="24"/>
              </w:rPr>
              <w:t>0.04±0.01</w:t>
            </w:r>
          </w:p>
        </w:tc>
      </w:tr>
      <w:tr>
        <w:trPr>
          <w:trHeight w:val="552" w:hRule="atLeast"/>
        </w:trPr>
        <w:tc>
          <w:tcPr>
            <w:tcW w:w="959" w:type="dxa"/>
          </w:tcPr>
          <w:p>
            <w:pPr>
              <w:pStyle w:val="TableParagraph"/>
              <w:spacing w:before="0"/>
              <w:rPr>
                <w:sz w:val="24"/>
              </w:rPr>
            </w:pPr>
          </w:p>
        </w:tc>
        <w:tc>
          <w:tcPr>
            <w:tcW w:w="1135" w:type="dxa"/>
          </w:tcPr>
          <w:p>
            <w:pPr>
              <w:pStyle w:val="TableParagraph"/>
              <w:ind w:left="289"/>
              <w:rPr>
                <w:sz w:val="24"/>
              </w:rPr>
            </w:pPr>
            <w:r>
              <w:rPr>
                <w:spacing w:val="-5"/>
                <w:sz w:val="24"/>
              </w:rPr>
              <w:t>NE</w:t>
            </w:r>
          </w:p>
        </w:tc>
        <w:tc>
          <w:tcPr>
            <w:tcW w:w="1641" w:type="dxa"/>
          </w:tcPr>
          <w:p>
            <w:pPr>
              <w:pStyle w:val="TableParagraph"/>
              <w:ind w:left="354"/>
              <w:rPr>
                <w:sz w:val="24"/>
              </w:rPr>
            </w:pPr>
            <w:r>
              <w:rPr>
                <w:spacing w:val="-2"/>
                <w:sz w:val="24"/>
              </w:rPr>
              <w:t>6.32±0.96</w:t>
            </w:r>
          </w:p>
        </w:tc>
        <w:tc>
          <w:tcPr>
            <w:tcW w:w="1529" w:type="dxa"/>
          </w:tcPr>
          <w:p>
            <w:pPr>
              <w:pStyle w:val="TableParagraph"/>
              <w:ind w:right="240"/>
              <w:jc w:val="right"/>
              <w:rPr>
                <w:sz w:val="24"/>
              </w:rPr>
            </w:pPr>
            <w:r>
              <w:rPr>
                <w:spacing w:val="-2"/>
                <w:sz w:val="24"/>
              </w:rPr>
              <w:t>3.11±0.91</w:t>
            </w:r>
          </w:p>
        </w:tc>
        <w:tc>
          <w:tcPr>
            <w:tcW w:w="1460" w:type="dxa"/>
          </w:tcPr>
          <w:p>
            <w:pPr>
              <w:pStyle w:val="TableParagraph"/>
              <w:ind w:left="243"/>
              <w:rPr>
                <w:sz w:val="24"/>
              </w:rPr>
            </w:pPr>
            <w:r>
              <w:rPr>
                <w:spacing w:val="-2"/>
                <w:sz w:val="24"/>
              </w:rPr>
              <w:t>0.18±0.08</w:t>
            </w:r>
          </w:p>
        </w:tc>
        <w:tc>
          <w:tcPr>
            <w:tcW w:w="1462" w:type="dxa"/>
          </w:tcPr>
          <w:p>
            <w:pPr>
              <w:pStyle w:val="TableParagraph"/>
              <w:ind w:left="243"/>
              <w:rPr>
                <w:sz w:val="24"/>
              </w:rPr>
            </w:pPr>
            <w:r>
              <w:rPr>
                <w:spacing w:val="-2"/>
                <w:sz w:val="24"/>
              </w:rPr>
              <w:t>0.16±0.03</w:t>
            </w:r>
          </w:p>
        </w:tc>
        <w:tc>
          <w:tcPr>
            <w:tcW w:w="1902" w:type="dxa"/>
          </w:tcPr>
          <w:p>
            <w:pPr>
              <w:pStyle w:val="TableParagraph"/>
              <w:ind w:left="246"/>
              <w:rPr>
                <w:sz w:val="24"/>
              </w:rPr>
            </w:pPr>
            <w:r>
              <w:rPr>
                <w:spacing w:val="-2"/>
                <w:sz w:val="24"/>
              </w:rPr>
              <w:t>0.02±0.02</w:t>
            </w:r>
          </w:p>
        </w:tc>
      </w:tr>
      <w:tr>
        <w:trPr>
          <w:trHeight w:val="552" w:hRule="atLeast"/>
        </w:trPr>
        <w:tc>
          <w:tcPr>
            <w:tcW w:w="959" w:type="dxa"/>
          </w:tcPr>
          <w:p>
            <w:pPr>
              <w:pStyle w:val="TableParagraph"/>
              <w:spacing w:before="0"/>
              <w:rPr>
                <w:sz w:val="24"/>
              </w:rPr>
            </w:pPr>
          </w:p>
        </w:tc>
        <w:tc>
          <w:tcPr>
            <w:tcW w:w="1135" w:type="dxa"/>
          </w:tcPr>
          <w:p>
            <w:pPr>
              <w:pStyle w:val="TableParagraph"/>
              <w:ind w:left="289"/>
              <w:rPr>
                <w:sz w:val="24"/>
              </w:rPr>
            </w:pPr>
            <w:r>
              <w:rPr>
                <w:spacing w:val="-5"/>
                <w:sz w:val="24"/>
              </w:rPr>
              <w:t>NC</w:t>
            </w:r>
          </w:p>
        </w:tc>
        <w:tc>
          <w:tcPr>
            <w:tcW w:w="1641" w:type="dxa"/>
          </w:tcPr>
          <w:p>
            <w:pPr>
              <w:pStyle w:val="TableParagraph"/>
              <w:ind w:left="354"/>
              <w:rPr>
                <w:sz w:val="24"/>
              </w:rPr>
            </w:pPr>
            <w:r>
              <w:rPr>
                <w:spacing w:val="-2"/>
                <w:sz w:val="24"/>
              </w:rPr>
              <w:t>6.30±3.59</w:t>
            </w:r>
          </w:p>
        </w:tc>
        <w:tc>
          <w:tcPr>
            <w:tcW w:w="1529" w:type="dxa"/>
          </w:tcPr>
          <w:p>
            <w:pPr>
              <w:pStyle w:val="TableParagraph"/>
              <w:ind w:right="240"/>
              <w:jc w:val="right"/>
              <w:rPr>
                <w:sz w:val="24"/>
              </w:rPr>
            </w:pPr>
            <w:r>
              <w:rPr>
                <w:spacing w:val="-2"/>
                <w:sz w:val="24"/>
              </w:rPr>
              <w:t>3.12±2.00</w:t>
            </w:r>
          </w:p>
        </w:tc>
        <w:tc>
          <w:tcPr>
            <w:tcW w:w="1460" w:type="dxa"/>
          </w:tcPr>
          <w:p>
            <w:pPr>
              <w:pStyle w:val="TableParagraph"/>
              <w:ind w:left="243"/>
              <w:rPr>
                <w:sz w:val="24"/>
              </w:rPr>
            </w:pPr>
            <w:r>
              <w:rPr>
                <w:spacing w:val="-2"/>
                <w:sz w:val="24"/>
              </w:rPr>
              <w:t>0.19±0.07</w:t>
            </w:r>
          </w:p>
        </w:tc>
        <w:tc>
          <w:tcPr>
            <w:tcW w:w="1462" w:type="dxa"/>
          </w:tcPr>
          <w:p>
            <w:pPr>
              <w:pStyle w:val="TableParagraph"/>
              <w:ind w:left="243"/>
              <w:rPr>
                <w:sz w:val="24"/>
              </w:rPr>
            </w:pPr>
            <w:r>
              <w:rPr>
                <w:spacing w:val="-2"/>
                <w:sz w:val="24"/>
              </w:rPr>
              <w:t>0.14±0.08</w:t>
            </w:r>
          </w:p>
        </w:tc>
        <w:tc>
          <w:tcPr>
            <w:tcW w:w="1902" w:type="dxa"/>
          </w:tcPr>
          <w:p>
            <w:pPr>
              <w:pStyle w:val="TableParagraph"/>
              <w:ind w:left="246"/>
              <w:rPr>
                <w:sz w:val="24"/>
              </w:rPr>
            </w:pPr>
            <w:r>
              <w:rPr>
                <w:spacing w:val="-2"/>
                <w:sz w:val="24"/>
              </w:rPr>
              <w:t>0.02±0.01</w:t>
            </w:r>
          </w:p>
        </w:tc>
      </w:tr>
      <w:tr>
        <w:trPr>
          <w:trHeight w:val="552" w:hRule="atLeast"/>
        </w:trPr>
        <w:tc>
          <w:tcPr>
            <w:tcW w:w="959" w:type="dxa"/>
          </w:tcPr>
          <w:p>
            <w:pPr>
              <w:pStyle w:val="TableParagraph"/>
              <w:ind w:left="110"/>
              <w:rPr>
                <w:sz w:val="24"/>
              </w:rPr>
            </w:pPr>
            <w:r>
              <w:rPr>
                <w:spacing w:val="-5"/>
                <w:sz w:val="24"/>
              </w:rPr>
              <w:t>FD</w:t>
            </w:r>
          </w:p>
        </w:tc>
        <w:tc>
          <w:tcPr>
            <w:tcW w:w="1135" w:type="dxa"/>
          </w:tcPr>
          <w:p>
            <w:pPr>
              <w:pStyle w:val="TableParagraph"/>
              <w:ind w:left="289"/>
              <w:rPr>
                <w:sz w:val="24"/>
              </w:rPr>
            </w:pPr>
            <w:r>
              <w:rPr>
                <w:spacing w:val="-5"/>
                <w:sz w:val="24"/>
              </w:rPr>
              <w:t>NW</w:t>
            </w:r>
          </w:p>
        </w:tc>
        <w:tc>
          <w:tcPr>
            <w:tcW w:w="1641" w:type="dxa"/>
          </w:tcPr>
          <w:p>
            <w:pPr>
              <w:pStyle w:val="TableParagraph"/>
              <w:ind w:left="354"/>
              <w:rPr>
                <w:sz w:val="24"/>
              </w:rPr>
            </w:pPr>
            <w:r>
              <w:rPr>
                <w:spacing w:val="-2"/>
                <w:sz w:val="24"/>
              </w:rPr>
              <w:t>6.31±1.41</w:t>
            </w:r>
          </w:p>
        </w:tc>
        <w:tc>
          <w:tcPr>
            <w:tcW w:w="1529" w:type="dxa"/>
          </w:tcPr>
          <w:p>
            <w:pPr>
              <w:pStyle w:val="TableParagraph"/>
              <w:ind w:right="240"/>
              <w:jc w:val="right"/>
              <w:rPr>
                <w:sz w:val="24"/>
              </w:rPr>
            </w:pPr>
            <w:r>
              <w:rPr>
                <w:spacing w:val="-2"/>
                <w:sz w:val="24"/>
              </w:rPr>
              <w:t>3.13±0.05</w:t>
            </w:r>
          </w:p>
        </w:tc>
        <w:tc>
          <w:tcPr>
            <w:tcW w:w="1460" w:type="dxa"/>
          </w:tcPr>
          <w:p>
            <w:pPr>
              <w:pStyle w:val="TableParagraph"/>
              <w:ind w:left="243"/>
              <w:rPr>
                <w:sz w:val="24"/>
              </w:rPr>
            </w:pPr>
            <w:r>
              <w:rPr>
                <w:spacing w:val="-2"/>
                <w:sz w:val="24"/>
              </w:rPr>
              <w:t>0.17±0.11</w:t>
            </w:r>
          </w:p>
        </w:tc>
        <w:tc>
          <w:tcPr>
            <w:tcW w:w="1462" w:type="dxa"/>
          </w:tcPr>
          <w:p>
            <w:pPr>
              <w:pStyle w:val="TableParagraph"/>
              <w:ind w:left="243"/>
              <w:rPr>
                <w:sz w:val="24"/>
              </w:rPr>
            </w:pPr>
            <w:r>
              <w:rPr>
                <w:spacing w:val="-2"/>
                <w:sz w:val="24"/>
              </w:rPr>
              <w:t>0.17±1.62</w:t>
            </w:r>
          </w:p>
        </w:tc>
        <w:tc>
          <w:tcPr>
            <w:tcW w:w="1902" w:type="dxa"/>
          </w:tcPr>
          <w:p>
            <w:pPr>
              <w:pStyle w:val="TableParagraph"/>
              <w:ind w:left="246"/>
              <w:rPr>
                <w:sz w:val="24"/>
              </w:rPr>
            </w:pPr>
            <w:r>
              <w:rPr>
                <w:spacing w:val="-2"/>
                <w:sz w:val="24"/>
              </w:rPr>
              <w:t>0.02±0.01</w:t>
            </w:r>
          </w:p>
        </w:tc>
      </w:tr>
      <w:tr>
        <w:trPr>
          <w:trHeight w:val="552" w:hRule="atLeast"/>
        </w:trPr>
        <w:tc>
          <w:tcPr>
            <w:tcW w:w="959" w:type="dxa"/>
          </w:tcPr>
          <w:p>
            <w:pPr>
              <w:pStyle w:val="TableParagraph"/>
              <w:spacing w:before="0"/>
              <w:rPr>
                <w:sz w:val="24"/>
              </w:rPr>
            </w:pPr>
          </w:p>
        </w:tc>
        <w:tc>
          <w:tcPr>
            <w:tcW w:w="1135" w:type="dxa"/>
          </w:tcPr>
          <w:p>
            <w:pPr>
              <w:pStyle w:val="TableParagraph"/>
              <w:ind w:left="289"/>
              <w:rPr>
                <w:sz w:val="24"/>
              </w:rPr>
            </w:pPr>
            <w:r>
              <w:rPr>
                <w:spacing w:val="-5"/>
                <w:sz w:val="24"/>
              </w:rPr>
              <w:t>NE</w:t>
            </w:r>
          </w:p>
        </w:tc>
        <w:tc>
          <w:tcPr>
            <w:tcW w:w="1641" w:type="dxa"/>
          </w:tcPr>
          <w:p>
            <w:pPr>
              <w:pStyle w:val="TableParagraph"/>
              <w:ind w:left="354"/>
              <w:rPr>
                <w:sz w:val="24"/>
              </w:rPr>
            </w:pPr>
            <w:r>
              <w:rPr>
                <w:spacing w:val="-2"/>
                <w:sz w:val="24"/>
              </w:rPr>
              <w:t>6.32±0.55</w:t>
            </w:r>
          </w:p>
        </w:tc>
        <w:tc>
          <w:tcPr>
            <w:tcW w:w="1529" w:type="dxa"/>
          </w:tcPr>
          <w:p>
            <w:pPr>
              <w:pStyle w:val="TableParagraph"/>
              <w:ind w:right="240"/>
              <w:jc w:val="right"/>
              <w:rPr>
                <w:sz w:val="24"/>
              </w:rPr>
            </w:pPr>
            <w:r>
              <w:rPr>
                <w:spacing w:val="-2"/>
                <w:sz w:val="24"/>
              </w:rPr>
              <w:t>3.12±1.22</w:t>
            </w:r>
          </w:p>
        </w:tc>
        <w:tc>
          <w:tcPr>
            <w:tcW w:w="1460" w:type="dxa"/>
          </w:tcPr>
          <w:p>
            <w:pPr>
              <w:pStyle w:val="TableParagraph"/>
              <w:ind w:left="243"/>
              <w:rPr>
                <w:sz w:val="24"/>
              </w:rPr>
            </w:pPr>
            <w:r>
              <w:rPr>
                <w:spacing w:val="-2"/>
                <w:sz w:val="24"/>
              </w:rPr>
              <w:t>0.15±0.05</w:t>
            </w:r>
          </w:p>
        </w:tc>
        <w:tc>
          <w:tcPr>
            <w:tcW w:w="1462" w:type="dxa"/>
          </w:tcPr>
          <w:p>
            <w:pPr>
              <w:pStyle w:val="TableParagraph"/>
              <w:ind w:left="243"/>
              <w:rPr>
                <w:sz w:val="24"/>
              </w:rPr>
            </w:pPr>
            <w:r>
              <w:rPr>
                <w:spacing w:val="-2"/>
                <w:sz w:val="24"/>
              </w:rPr>
              <w:t>0.16±1.30</w:t>
            </w:r>
          </w:p>
        </w:tc>
        <w:tc>
          <w:tcPr>
            <w:tcW w:w="1902" w:type="dxa"/>
          </w:tcPr>
          <w:p>
            <w:pPr>
              <w:pStyle w:val="TableParagraph"/>
              <w:ind w:left="246"/>
              <w:rPr>
                <w:sz w:val="24"/>
              </w:rPr>
            </w:pPr>
            <w:r>
              <w:rPr>
                <w:spacing w:val="-2"/>
                <w:sz w:val="24"/>
              </w:rPr>
              <w:t>0.01±0.02</w:t>
            </w:r>
          </w:p>
        </w:tc>
      </w:tr>
      <w:tr>
        <w:trPr>
          <w:trHeight w:val="693" w:hRule="atLeast"/>
        </w:trPr>
        <w:tc>
          <w:tcPr>
            <w:tcW w:w="10088" w:type="dxa"/>
            <w:gridSpan w:val="7"/>
            <w:tcBorders>
              <w:bottom w:val="single" w:sz="4" w:space="0" w:color="000000"/>
            </w:tcBorders>
          </w:tcPr>
          <w:p>
            <w:pPr>
              <w:pStyle w:val="TableParagraph"/>
              <w:tabs>
                <w:tab w:pos="2568" w:val="left" w:leader="none"/>
                <w:tab w:pos="4126" w:val="left" w:leader="none"/>
                <w:tab w:pos="5685" w:val="left" w:leader="none"/>
                <w:tab w:pos="7122" w:val="left" w:leader="none"/>
                <w:tab w:pos="8861" w:val="right" w:leader="none"/>
              </w:tabs>
              <w:ind w:left="110"/>
              <w:rPr>
                <w:sz w:val="24"/>
              </w:rPr>
            </w:pPr>
            <w:r>
              <w:rPr>
                <w:sz w:val="24"/>
              </w:rPr>
              <w:t>MPL</w:t>
            </w:r>
            <w:r>
              <w:rPr>
                <w:spacing w:val="-4"/>
                <w:sz w:val="24"/>
              </w:rPr>
              <w:t> </w:t>
            </w:r>
            <w:r>
              <w:rPr>
                <w:spacing w:val="-2"/>
                <w:sz w:val="24"/>
              </w:rPr>
              <w:t>[EU(2007)]</w:t>
            </w:r>
            <w:r>
              <w:rPr>
                <w:sz w:val="24"/>
              </w:rPr>
              <w:tab/>
            </w:r>
            <w:r>
              <w:rPr>
                <w:spacing w:val="-4"/>
                <w:sz w:val="24"/>
              </w:rPr>
              <w:t>500.0</w:t>
            </w:r>
            <w:r>
              <w:rPr>
                <w:sz w:val="24"/>
              </w:rPr>
              <w:tab/>
            </w:r>
            <w:r>
              <w:rPr>
                <w:spacing w:val="-4"/>
                <w:sz w:val="24"/>
              </w:rPr>
              <w:t>100.0</w:t>
            </w:r>
            <w:r>
              <w:rPr>
                <w:sz w:val="24"/>
              </w:rPr>
              <w:tab/>
            </w:r>
            <w:r>
              <w:rPr>
                <w:spacing w:val="-5"/>
                <w:sz w:val="24"/>
              </w:rPr>
              <w:t>1.0</w:t>
            </w:r>
            <w:r>
              <w:rPr>
                <w:sz w:val="24"/>
              </w:rPr>
              <w:tab/>
            </w:r>
            <w:r>
              <w:rPr>
                <w:spacing w:val="-5"/>
                <w:sz w:val="24"/>
              </w:rPr>
              <w:t>5.0</w:t>
            </w:r>
            <w:r>
              <w:rPr>
                <w:sz w:val="24"/>
              </w:rPr>
              <w:tab/>
            </w:r>
            <w:r>
              <w:rPr>
                <w:spacing w:val="-5"/>
                <w:sz w:val="24"/>
              </w:rPr>
              <w:t>0.5</w:t>
            </w:r>
          </w:p>
        </w:tc>
      </w:tr>
      <w:tr>
        <w:trPr>
          <w:trHeight w:val="1098" w:hRule="atLeast"/>
        </w:trPr>
        <w:tc>
          <w:tcPr>
            <w:tcW w:w="10088" w:type="dxa"/>
            <w:gridSpan w:val="7"/>
            <w:tcBorders>
              <w:top w:val="single" w:sz="4" w:space="0" w:color="000000"/>
            </w:tcBorders>
          </w:tcPr>
          <w:p>
            <w:pPr>
              <w:pStyle w:val="TableParagraph"/>
              <w:spacing w:line="268" w:lineRule="exact" w:before="0"/>
              <w:ind w:left="110"/>
              <w:rPr>
                <w:sz w:val="24"/>
              </w:rPr>
            </w:pPr>
            <w:r>
              <w:rPr>
                <w:sz w:val="24"/>
              </w:rPr>
              <w:t>MPL</w:t>
            </w:r>
            <w:r>
              <w:rPr>
                <w:spacing w:val="-2"/>
                <w:sz w:val="24"/>
              </w:rPr>
              <w:t> </w:t>
            </w:r>
            <w:r>
              <w:rPr>
                <w:sz w:val="24"/>
              </w:rPr>
              <w:t>-maximum</w:t>
            </w:r>
            <w:r>
              <w:rPr>
                <w:spacing w:val="-9"/>
                <w:sz w:val="24"/>
              </w:rPr>
              <w:t> </w:t>
            </w:r>
            <w:r>
              <w:rPr>
                <w:sz w:val="24"/>
              </w:rPr>
              <w:t>permissible</w:t>
            </w:r>
            <w:r>
              <w:rPr>
                <w:spacing w:val="4"/>
                <w:sz w:val="24"/>
              </w:rPr>
              <w:t> </w:t>
            </w:r>
            <w:r>
              <w:rPr>
                <w:sz w:val="24"/>
              </w:rPr>
              <w:t>limit;</w:t>
            </w:r>
            <w:r>
              <w:rPr>
                <w:spacing w:val="-5"/>
                <w:sz w:val="24"/>
              </w:rPr>
              <w:t> </w:t>
            </w:r>
            <w:r>
              <w:rPr>
                <w:sz w:val="24"/>
              </w:rPr>
              <w:t>E.U</w:t>
            </w:r>
            <w:r>
              <w:rPr>
                <w:spacing w:val="4"/>
                <w:sz w:val="24"/>
              </w:rPr>
              <w:t> </w:t>
            </w:r>
            <w:r>
              <w:rPr>
                <w:sz w:val="24"/>
              </w:rPr>
              <w:t>–European</w:t>
            </w:r>
            <w:r>
              <w:rPr>
                <w:spacing w:val="-4"/>
                <w:sz w:val="24"/>
              </w:rPr>
              <w:t> </w:t>
            </w:r>
            <w:r>
              <w:rPr>
                <w:spacing w:val="-2"/>
                <w:sz w:val="24"/>
              </w:rPr>
              <w:t>union;</w:t>
            </w:r>
          </w:p>
          <w:p>
            <w:pPr>
              <w:pStyle w:val="TableParagraph"/>
              <w:spacing w:before="141"/>
              <w:ind w:left="110"/>
              <w:rPr>
                <w:sz w:val="24"/>
              </w:rPr>
            </w:pPr>
            <w:r>
              <w:rPr>
                <w:sz w:val="24"/>
              </w:rPr>
              <w:t>NC-</w:t>
            </w:r>
            <w:r>
              <w:rPr>
                <w:spacing w:val="3"/>
                <w:sz w:val="24"/>
              </w:rPr>
              <w:t> </w:t>
            </w:r>
            <w:r>
              <w:rPr>
                <w:sz w:val="24"/>
              </w:rPr>
              <w:t>North</w:t>
            </w:r>
            <w:r>
              <w:rPr>
                <w:spacing w:val="-3"/>
                <w:sz w:val="24"/>
              </w:rPr>
              <w:t> </w:t>
            </w:r>
            <w:r>
              <w:rPr>
                <w:sz w:val="24"/>
              </w:rPr>
              <w:t>central;</w:t>
            </w:r>
            <w:r>
              <w:rPr>
                <w:spacing w:val="-3"/>
                <w:sz w:val="24"/>
              </w:rPr>
              <w:t> </w:t>
            </w:r>
            <w:r>
              <w:rPr>
                <w:sz w:val="24"/>
              </w:rPr>
              <w:t>NW-North</w:t>
            </w:r>
            <w:r>
              <w:rPr>
                <w:spacing w:val="-3"/>
                <w:sz w:val="24"/>
              </w:rPr>
              <w:t> </w:t>
            </w:r>
            <w:r>
              <w:rPr>
                <w:sz w:val="24"/>
              </w:rPr>
              <w:t>west;</w:t>
            </w:r>
            <w:r>
              <w:rPr>
                <w:spacing w:val="-3"/>
                <w:sz w:val="24"/>
              </w:rPr>
              <w:t> </w:t>
            </w:r>
            <w:r>
              <w:rPr>
                <w:sz w:val="24"/>
              </w:rPr>
              <w:t>NE-</w:t>
            </w:r>
            <w:r>
              <w:rPr>
                <w:spacing w:val="4"/>
                <w:sz w:val="24"/>
              </w:rPr>
              <w:t> </w:t>
            </w:r>
            <w:r>
              <w:rPr>
                <w:sz w:val="24"/>
              </w:rPr>
              <w:t>North</w:t>
            </w:r>
            <w:r>
              <w:rPr>
                <w:spacing w:val="-3"/>
                <w:sz w:val="24"/>
              </w:rPr>
              <w:t> </w:t>
            </w:r>
            <w:r>
              <w:rPr>
                <w:spacing w:val="-4"/>
                <w:sz w:val="24"/>
              </w:rPr>
              <w:t>east</w:t>
            </w:r>
          </w:p>
          <w:p>
            <w:pPr>
              <w:pStyle w:val="TableParagraph"/>
              <w:spacing w:line="256" w:lineRule="exact" w:before="138"/>
              <w:ind w:left="110"/>
              <w:rPr>
                <w:sz w:val="24"/>
              </w:rPr>
            </w:pPr>
            <w:r>
              <w:rPr>
                <w:sz w:val="24"/>
              </w:rPr>
              <w:t>[FA,</w:t>
            </w:r>
            <w:r>
              <w:rPr>
                <w:spacing w:val="-3"/>
                <w:sz w:val="24"/>
              </w:rPr>
              <w:t> </w:t>
            </w:r>
            <w:r>
              <w:rPr>
                <w:sz w:val="24"/>
              </w:rPr>
              <w:t>FB,</w:t>
            </w:r>
            <w:r>
              <w:rPr>
                <w:spacing w:val="-1"/>
                <w:sz w:val="24"/>
              </w:rPr>
              <w:t> </w:t>
            </w:r>
            <w:r>
              <w:rPr>
                <w:sz w:val="24"/>
              </w:rPr>
              <w:t>FC</w:t>
            </w:r>
            <w:r>
              <w:rPr>
                <w:spacing w:val="-4"/>
                <w:sz w:val="24"/>
              </w:rPr>
              <w:t> </w:t>
            </w:r>
            <w:r>
              <w:rPr>
                <w:sz w:val="24"/>
              </w:rPr>
              <w:t>and</w:t>
            </w:r>
            <w:r>
              <w:rPr>
                <w:spacing w:val="-2"/>
                <w:sz w:val="24"/>
              </w:rPr>
              <w:t> </w:t>
            </w:r>
            <w:r>
              <w:rPr>
                <w:sz w:val="24"/>
              </w:rPr>
              <w:t>FD]</w:t>
            </w:r>
            <w:r>
              <w:rPr>
                <w:spacing w:val="2"/>
                <w:sz w:val="24"/>
              </w:rPr>
              <w:t> </w:t>
            </w:r>
            <w:r>
              <w:rPr>
                <w:sz w:val="24"/>
              </w:rPr>
              <w:t>for</w:t>
            </w:r>
            <w:r>
              <w:rPr>
                <w:spacing w:val="-2"/>
                <w:sz w:val="24"/>
              </w:rPr>
              <w:t> </w:t>
            </w:r>
            <w:r>
              <w:rPr>
                <w:sz w:val="24"/>
              </w:rPr>
              <w:t>Aqua®</w:t>
            </w:r>
            <w:r>
              <w:rPr>
                <w:spacing w:val="-2"/>
                <w:sz w:val="24"/>
              </w:rPr>
              <w:t> </w:t>
            </w:r>
            <w:r>
              <w:rPr>
                <w:sz w:val="24"/>
              </w:rPr>
              <w:t>,</w:t>
            </w:r>
            <w:r>
              <w:rPr>
                <w:spacing w:val="-1"/>
                <w:sz w:val="24"/>
              </w:rPr>
              <w:t> </w:t>
            </w:r>
            <w:r>
              <w:rPr>
                <w:sz w:val="24"/>
              </w:rPr>
              <w:t>Multi®, Top®</w:t>
            </w:r>
            <w:r>
              <w:rPr>
                <w:spacing w:val="46"/>
                <w:sz w:val="24"/>
              </w:rPr>
              <w:t> </w:t>
            </w:r>
            <w:r>
              <w:rPr>
                <w:sz w:val="24"/>
              </w:rPr>
              <w:t>and</w:t>
            </w:r>
            <w:r>
              <w:rPr>
                <w:spacing w:val="-2"/>
                <w:sz w:val="24"/>
              </w:rPr>
              <w:t> </w:t>
            </w:r>
            <w:r>
              <w:rPr>
                <w:sz w:val="24"/>
              </w:rPr>
              <w:t>Vital®</w:t>
            </w:r>
            <w:r>
              <w:rPr>
                <w:spacing w:val="1"/>
                <w:sz w:val="24"/>
              </w:rPr>
              <w:t> </w:t>
            </w:r>
            <w:r>
              <w:rPr>
                <w:sz w:val="24"/>
              </w:rPr>
              <w:t>fish</w:t>
            </w:r>
            <w:r>
              <w:rPr>
                <w:spacing w:val="-2"/>
                <w:sz w:val="24"/>
              </w:rPr>
              <w:t> </w:t>
            </w:r>
            <w:r>
              <w:rPr>
                <w:sz w:val="24"/>
              </w:rPr>
              <w:t>feeds</w:t>
            </w:r>
            <w:r>
              <w:rPr>
                <w:spacing w:val="-4"/>
                <w:sz w:val="24"/>
              </w:rPr>
              <w:t> </w:t>
            </w:r>
            <w:r>
              <w:rPr>
                <w:spacing w:val="-2"/>
                <w:sz w:val="24"/>
              </w:rPr>
              <w:t>respectively</w:t>
            </w:r>
          </w:p>
        </w:tc>
      </w:tr>
    </w:tbl>
    <w:p>
      <w:pPr>
        <w:spacing w:after="0" w:line="256" w:lineRule="exact"/>
        <w:rPr>
          <w:sz w:val="24"/>
        </w:rPr>
        <w:sectPr>
          <w:pgSz w:w="12240" w:h="15840"/>
          <w:pgMar w:header="0" w:footer="1012" w:top="1360" w:bottom="1200" w:left="1020" w:right="720"/>
        </w:sectPr>
      </w:pPr>
    </w:p>
    <w:p>
      <w:pPr>
        <w:pStyle w:val="Heading2"/>
        <w:spacing w:before="72"/>
        <w:jc w:val="both"/>
      </w:pPr>
      <w:r>
        <w:rPr/>
        <w:t>Appendix</w:t>
      </w:r>
      <w:r>
        <w:rPr>
          <w:spacing w:val="-3"/>
        </w:rPr>
        <w:t> </w:t>
      </w:r>
      <w:r>
        <w:rPr>
          <w:spacing w:val="-10"/>
        </w:rPr>
        <w:t>8</w:t>
      </w:r>
    </w:p>
    <w:p>
      <w:pPr>
        <w:pStyle w:val="BodyText"/>
        <w:spacing w:line="357" w:lineRule="auto" w:before="242"/>
        <w:ind w:left="420" w:right="712" w:firstLine="57"/>
        <w:jc w:val="both"/>
      </w:pPr>
      <w:r>
        <w:rPr/>
        <w:t>Mean concentrations in mg/kg of zinc, copper, nickel, lead and arsenic in different brands of Poultry feeds sampled in North central, North west and North east, Nigeria and Statistical difference at P&lt;0.05</w:t>
      </w:r>
    </w:p>
    <w:p>
      <w:pPr>
        <w:pStyle w:val="BodyText"/>
        <w:rPr>
          <w:sz w:val="20"/>
        </w:rPr>
      </w:pPr>
    </w:p>
    <w:p>
      <w:pPr>
        <w:pStyle w:val="BodyText"/>
        <w:rPr>
          <w:sz w:val="20"/>
        </w:rPr>
      </w:pPr>
    </w:p>
    <w:p>
      <w:pPr>
        <w:pStyle w:val="BodyText"/>
        <w:spacing w:before="44"/>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5"/>
        <w:gridCol w:w="756"/>
        <w:gridCol w:w="1408"/>
        <w:gridCol w:w="1529"/>
        <w:gridCol w:w="1459"/>
        <w:gridCol w:w="1460"/>
        <w:gridCol w:w="1900"/>
      </w:tblGrid>
      <w:tr>
        <w:trPr>
          <w:trHeight w:val="542" w:hRule="atLeast"/>
        </w:trPr>
        <w:tc>
          <w:tcPr>
            <w:tcW w:w="1575" w:type="dxa"/>
            <w:tcBorders>
              <w:top w:val="single" w:sz="4" w:space="0" w:color="000000"/>
              <w:bottom w:val="single" w:sz="4" w:space="0" w:color="000000"/>
            </w:tcBorders>
          </w:tcPr>
          <w:p>
            <w:pPr>
              <w:pStyle w:val="TableParagraph"/>
              <w:spacing w:line="268" w:lineRule="exact" w:before="0"/>
              <w:ind w:left="110"/>
              <w:rPr>
                <w:sz w:val="24"/>
              </w:rPr>
            </w:pPr>
            <w:r>
              <w:rPr>
                <w:sz w:val="24"/>
              </w:rPr>
              <w:t>Poultry</w:t>
            </w:r>
            <w:r>
              <w:rPr>
                <w:spacing w:val="-5"/>
                <w:sz w:val="24"/>
              </w:rPr>
              <w:t> </w:t>
            </w:r>
            <w:r>
              <w:rPr>
                <w:spacing w:val="-2"/>
                <w:sz w:val="24"/>
              </w:rPr>
              <w:t>Feeds</w:t>
            </w:r>
          </w:p>
        </w:tc>
        <w:tc>
          <w:tcPr>
            <w:tcW w:w="756" w:type="dxa"/>
            <w:tcBorders>
              <w:top w:val="single" w:sz="4" w:space="0" w:color="000000"/>
              <w:bottom w:val="single" w:sz="4" w:space="0" w:color="000000"/>
            </w:tcBorders>
          </w:tcPr>
          <w:p>
            <w:pPr>
              <w:pStyle w:val="TableParagraph"/>
              <w:spacing w:line="268" w:lineRule="exact" w:before="0"/>
              <w:ind w:left="143"/>
              <w:rPr>
                <w:sz w:val="24"/>
              </w:rPr>
            </w:pPr>
            <w:r>
              <w:rPr>
                <w:spacing w:val="-4"/>
                <w:sz w:val="24"/>
              </w:rPr>
              <w:t>Zone</w:t>
            </w:r>
          </w:p>
        </w:tc>
        <w:tc>
          <w:tcPr>
            <w:tcW w:w="1408" w:type="dxa"/>
            <w:tcBorders>
              <w:top w:val="single" w:sz="4" w:space="0" w:color="000000"/>
              <w:bottom w:val="single" w:sz="4" w:space="0" w:color="000000"/>
            </w:tcBorders>
          </w:tcPr>
          <w:p>
            <w:pPr>
              <w:pStyle w:val="TableParagraph"/>
              <w:spacing w:line="268" w:lineRule="exact" w:before="0"/>
              <w:ind w:left="247"/>
              <w:rPr>
                <w:sz w:val="24"/>
              </w:rPr>
            </w:pPr>
            <w:r>
              <w:rPr>
                <w:spacing w:val="-5"/>
                <w:sz w:val="24"/>
              </w:rPr>
              <w:t>Zn</w:t>
            </w:r>
          </w:p>
        </w:tc>
        <w:tc>
          <w:tcPr>
            <w:tcW w:w="1529" w:type="dxa"/>
            <w:tcBorders>
              <w:top w:val="single" w:sz="4" w:space="0" w:color="000000"/>
              <w:bottom w:val="single" w:sz="4" w:space="0" w:color="000000"/>
            </w:tcBorders>
          </w:tcPr>
          <w:p>
            <w:pPr>
              <w:pStyle w:val="TableParagraph"/>
              <w:spacing w:line="268" w:lineRule="exact" w:before="0"/>
              <w:ind w:left="438"/>
              <w:rPr>
                <w:sz w:val="24"/>
              </w:rPr>
            </w:pPr>
            <w:r>
              <w:rPr>
                <w:spacing w:val="-5"/>
                <w:sz w:val="24"/>
              </w:rPr>
              <w:t>Cu</w:t>
            </w:r>
          </w:p>
        </w:tc>
        <w:tc>
          <w:tcPr>
            <w:tcW w:w="1459" w:type="dxa"/>
            <w:tcBorders>
              <w:top w:val="single" w:sz="4" w:space="0" w:color="000000"/>
              <w:bottom w:val="single" w:sz="4" w:space="0" w:color="000000"/>
            </w:tcBorders>
          </w:tcPr>
          <w:p>
            <w:pPr>
              <w:pStyle w:val="TableParagraph"/>
              <w:spacing w:line="268" w:lineRule="exact" w:before="0"/>
              <w:ind w:left="369"/>
              <w:rPr>
                <w:sz w:val="24"/>
              </w:rPr>
            </w:pPr>
            <w:r>
              <w:rPr>
                <w:spacing w:val="-5"/>
                <w:sz w:val="24"/>
              </w:rPr>
              <w:t>Ni</w:t>
            </w:r>
          </w:p>
        </w:tc>
        <w:tc>
          <w:tcPr>
            <w:tcW w:w="1460" w:type="dxa"/>
            <w:tcBorders>
              <w:top w:val="single" w:sz="4" w:space="0" w:color="000000"/>
              <w:bottom w:val="single" w:sz="4" w:space="0" w:color="000000"/>
            </w:tcBorders>
          </w:tcPr>
          <w:p>
            <w:pPr>
              <w:pStyle w:val="TableParagraph"/>
              <w:spacing w:line="268" w:lineRule="exact" w:before="0"/>
              <w:ind w:left="370"/>
              <w:rPr>
                <w:sz w:val="24"/>
              </w:rPr>
            </w:pPr>
            <w:r>
              <w:rPr>
                <w:spacing w:val="-5"/>
                <w:sz w:val="24"/>
              </w:rPr>
              <w:t>Pb</w:t>
            </w:r>
          </w:p>
        </w:tc>
        <w:tc>
          <w:tcPr>
            <w:tcW w:w="1900" w:type="dxa"/>
            <w:tcBorders>
              <w:top w:val="single" w:sz="4" w:space="0" w:color="000000"/>
              <w:bottom w:val="single" w:sz="4" w:space="0" w:color="000000"/>
            </w:tcBorders>
          </w:tcPr>
          <w:p>
            <w:pPr>
              <w:pStyle w:val="TableParagraph"/>
              <w:spacing w:line="268" w:lineRule="exact" w:before="0"/>
              <w:ind w:left="369"/>
              <w:rPr>
                <w:sz w:val="24"/>
              </w:rPr>
            </w:pPr>
            <w:r>
              <w:rPr>
                <w:spacing w:val="-5"/>
                <w:sz w:val="24"/>
              </w:rPr>
              <w:t>As</w:t>
            </w:r>
          </w:p>
        </w:tc>
      </w:tr>
      <w:tr>
        <w:trPr>
          <w:trHeight w:val="410" w:hRule="atLeast"/>
        </w:trPr>
        <w:tc>
          <w:tcPr>
            <w:tcW w:w="1575" w:type="dxa"/>
            <w:tcBorders>
              <w:top w:val="single" w:sz="4" w:space="0" w:color="000000"/>
            </w:tcBorders>
          </w:tcPr>
          <w:p>
            <w:pPr>
              <w:pStyle w:val="TableParagraph"/>
              <w:spacing w:before="0"/>
              <w:rPr>
                <w:sz w:val="24"/>
              </w:rPr>
            </w:pPr>
          </w:p>
        </w:tc>
        <w:tc>
          <w:tcPr>
            <w:tcW w:w="756" w:type="dxa"/>
            <w:tcBorders>
              <w:top w:val="single" w:sz="4" w:space="0" w:color="000000"/>
            </w:tcBorders>
          </w:tcPr>
          <w:p>
            <w:pPr>
              <w:pStyle w:val="TableParagraph"/>
              <w:spacing w:line="268" w:lineRule="exact" w:before="0"/>
              <w:ind w:left="143"/>
              <w:rPr>
                <w:sz w:val="24"/>
              </w:rPr>
            </w:pPr>
            <w:r>
              <w:rPr>
                <w:spacing w:val="-5"/>
                <w:sz w:val="24"/>
              </w:rPr>
              <w:t>NC</w:t>
            </w:r>
          </w:p>
        </w:tc>
        <w:tc>
          <w:tcPr>
            <w:tcW w:w="1408" w:type="dxa"/>
            <w:tcBorders>
              <w:top w:val="single" w:sz="4" w:space="0" w:color="000000"/>
            </w:tcBorders>
          </w:tcPr>
          <w:p>
            <w:pPr>
              <w:pStyle w:val="TableParagraph"/>
              <w:spacing w:line="268" w:lineRule="exact" w:before="0"/>
              <w:ind w:left="122"/>
              <w:rPr>
                <w:sz w:val="24"/>
              </w:rPr>
            </w:pPr>
            <w:r>
              <w:rPr>
                <w:spacing w:val="-2"/>
                <w:sz w:val="24"/>
              </w:rPr>
              <w:t>8.45±1.91</w:t>
            </w:r>
          </w:p>
        </w:tc>
        <w:tc>
          <w:tcPr>
            <w:tcW w:w="1529" w:type="dxa"/>
            <w:tcBorders>
              <w:top w:val="single" w:sz="4" w:space="0" w:color="000000"/>
            </w:tcBorders>
          </w:tcPr>
          <w:p>
            <w:pPr>
              <w:pStyle w:val="TableParagraph"/>
              <w:spacing w:line="268" w:lineRule="exact" w:before="0"/>
              <w:ind w:right="239"/>
              <w:jc w:val="right"/>
              <w:rPr>
                <w:sz w:val="24"/>
              </w:rPr>
            </w:pPr>
            <w:r>
              <w:rPr>
                <w:spacing w:val="-2"/>
                <w:sz w:val="24"/>
              </w:rPr>
              <w:t>6.35±1.08</w:t>
            </w:r>
          </w:p>
        </w:tc>
        <w:tc>
          <w:tcPr>
            <w:tcW w:w="1459" w:type="dxa"/>
            <w:tcBorders>
              <w:top w:val="single" w:sz="4" w:space="0" w:color="000000"/>
            </w:tcBorders>
          </w:tcPr>
          <w:p>
            <w:pPr>
              <w:pStyle w:val="TableParagraph"/>
              <w:spacing w:line="268" w:lineRule="exact" w:before="0"/>
              <w:ind w:left="244"/>
              <w:rPr>
                <w:sz w:val="24"/>
              </w:rPr>
            </w:pPr>
            <w:r>
              <w:rPr>
                <w:spacing w:val="-2"/>
                <w:sz w:val="24"/>
              </w:rPr>
              <w:t>0.08±0.06</w:t>
            </w:r>
          </w:p>
        </w:tc>
        <w:tc>
          <w:tcPr>
            <w:tcW w:w="1460" w:type="dxa"/>
            <w:tcBorders>
              <w:top w:val="single" w:sz="4" w:space="0" w:color="000000"/>
            </w:tcBorders>
          </w:tcPr>
          <w:p>
            <w:pPr>
              <w:pStyle w:val="TableParagraph"/>
              <w:spacing w:line="268" w:lineRule="exact" w:before="0"/>
              <w:ind w:left="244"/>
              <w:rPr>
                <w:sz w:val="24"/>
              </w:rPr>
            </w:pPr>
            <w:r>
              <w:rPr>
                <w:spacing w:val="-2"/>
                <w:sz w:val="24"/>
              </w:rPr>
              <w:t>0.84±0.69</w:t>
            </w:r>
          </w:p>
        </w:tc>
        <w:tc>
          <w:tcPr>
            <w:tcW w:w="1900" w:type="dxa"/>
            <w:tcBorders>
              <w:top w:val="single" w:sz="4" w:space="0" w:color="000000"/>
            </w:tcBorders>
          </w:tcPr>
          <w:p>
            <w:pPr>
              <w:pStyle w:val="TableParagraph"/>
              <w:spacing w:line="268" w:lineRule="exact" w:before="0"/>
              <w:ind w:left="245"/>
              <w:rPr>
                <w:sz w:val="24"/>
              </w:rPr>
            </w:pPr>
            <w:r>
              <w:rPr>
                <w:spacing w:val="-2"/>
                <w:sz w:val="24"/>
              </w:rPr>
              <w:t>0.01±0.02</w:t>
            </w:r>
          </w:p>
        </w:tc>
      </w:tr>
      <w:tr>
        <w:trPr>
          <w:trHeight w:val="552" w:hRule="atLeast"/>
        </w:trPr>
        <w:tc>
          <w:tcPr>
            <w:tcW w:w="1575" w:type="dxa"/>
          </w:tcPr>
          <w:p>
            <w:pPr>
              <w:pStyle w:val="TableParagraph"/>
              <w:ind w:left="110"/>
              <w:rPr>
                <w:sz w:val="24"/>
              </w:rPr>
            </w:pPr>
            <w:r>
              <w:rPr>
                <w:spacing w:val="-5"/>
                <w:sz w:val="24"/>
              </w:rPr>
              <w:t>PA</w:t>
            </w:r>
          </w:p>
        </w:tc>
        <w:tc>
          <w:tcPr>
            <w:tcW w:w="756" w:type="dxa"/>
          </w:tcPr>
          <w:p>
            <w:pPr>
              <w:pStyle w:val="TableParagraph"/>
              <w:ind w:left="143"/>
              <w:rPr>
                <w:sz w:val="24"/>
              </w:rPr>
            </w:pPr>
            <w:r>
              <w:rPr>
                <w:spacing w:val="-5"/>
                <w:sz w:val="24"/>
              </w:rPr>
              <w:t>NW</w:t>
            </w:r>
          </w:p>
        </w:tc>
        <w:tc>
          <w:tcPr>
            <w:tcW w:w="1408" w:type="dxa"/>
          </w:tcPr>
          <w:p>
            <w:pPr>
              <w:pStyle w:val="TableParagraph"/>
              <w:ind w:left="122"/>
              <w:rPr>
                <w:sz w:val="24"/>
              </w:rPr>
            </w:pPr>
            <w:r>
              <w:rPr>
                <w:spacing w:val="-2"/>
                <w:sz w:val="24"/>
              </w:rPr>
              <w:t>7.91±1.87</w:t>
            </w:r>
          </w:p>
        </w:tc>
        <w:tc>
          <w:tcPr>
            <w:tcW w:w="1529" w:type="dxa"/>
          </w:tcPr>
          <w:p>
            <w:pPr>
              <w:pStyle w:val="TableParagraph"/>
              <w:ind w:right="239"/>
              <w:jc w:val="right"/>
              <w:rPr>
                <w:sz w:val="24"/>
              </w:rPr>
            </w:pPr>
            <w:r>
              <w:rPr>
                <w:spacing w:val="-2"/>
                <w:sz w:val="24"/>
              </w:rPr>
              <w:t>6.12±1.81</w:t>
            </w:r>
          </w:p>
        </w:tc>
        <w:tc>
          <w:tcPr>
            <w:tcW w:w="1459" w:type="dxa"/>
          </w:tcPr>
          <w:p>
            <w:pPr>
              <w:pStyle w:val="TableParagraph"/>
              <w:ind w:left="244"/>
              <w:rPr>
                <w:sz w:val="24"/>
              </w:rPr>
            </w:pPr>
            <w:r>
              <w:rPr>
                <w:spacing w:val="-2"/>
                <w:sz w:val="24"/>
              </w:rPr>
              <w:t>0.08±0.05</w:t>
            </w:r>
          </w:p>
        </w:tc>
        <w:tc>
          <w:tcPr>
            <w:tcW w:w="1460" w:type="dxa"/>
          </w:tcPr>
          <w:p>
            <w:pPr>
              <w:pStyle w:val="TableParagraph"/>
              <w:ind w:left="244"/>
              <w:rPr>
                <w:sz w:val="24"/>
              </w:rPr>
            </w:pPr>
            <w:r>
              <w:rPr>
                <w:spacing w:val="-2"/>
                <w:sz w:val="24"/>
              </w:rPr>
              <w:t>0.85±0.35</w:t>
            </w:r>
          </w:p>
        </w:tc>
        <w:tc>
          <w:tcPr>
            <w:tcW w:w="1900" w:type="dxa"/>
          </w:tcPr>
          <w:p>
            <w:pPr>
              <w:pStyle w:val="TableParagraph"/>
              <w:ind w:left="245"/>
              <w:rPr>
                <w:sz w:val="24"/>
              </w:rPr>
            </w:pPr>
            <w:r>
              <w:rPr>
                <w:spacing w:val="-2"/>
                <w:sz w:val="24"/>
              </w:rPr>
              <w:t>0.01±0.04</w:t>
            </w:r>
          </w:p>
        </w:tc>
      </w:tr>
      <w:tr>
        <w:trPr>
          <w:trHeight w:val="552" w:hRule="atLeast"/>
        </w:trPr>
        <w:tc>
          <w:tcPr>
            <w:tcW w:w="1575" w:type="dxa"/>
          </w:tcPr>
          <w:p>
            <w:pPr>
              <w:pStyle w:val="TableParagraph"/>
              <w:spacing w:before="0"/>
              <w:rPr>
                <w:sz w:val="24"/>
              </w:rPr>
            </w:pPr>
          </w:p>
        </w:tc>
        <w:tc>
          <w:tcPr>
            <w:tcW w:w="756" w:type="dxa"/>
          </w:tcPr>
          <w:p>
            <w:pPr>
              <w:pStyle w:val="TableParagraph"/>
              <w:ind w:left="143"/>
              <w:rPr>
                <w:sz w:val="24"/>
              </w:rPr>
            </w:pPr>
            <w:r>
              <w:rPr>
                <w:spacing w:val="-5"/>
                <w:sz w:val="24"/>
              </w:rPr>
              <w:t>NE</w:t>
            </w:r>
          </w:p>
        </w:tc>
        <w:tc>
          <w:tcPr>
            <w:tcW w:w="1408" w:type="dxa"/>
          </w:tcPr>
          <w:p>
            <w:pPr>
              <w:pStyle w:val="TableParagraph"/>
              <w:ind w:left="122"/>
              <w:rPr>
                <w:sz w:val="24"/>
              </w:rPr>
            </w:pPr>
            <w:r>
              <w:rPr>
                <w:spacing w:val="-2"/>
                <w:sz w:val="24"/>
              </w:rPr>
              <w:t>8.03±0.46</w:t>
            </w:r>
          </w:p>
        </w:tc>
        <w:tc>
          <w:tcPr>
            <w:tcW w:w="1529" w:type="dxa"/>
          </w:tcPr>
          <w:p>
            <w:pPr>
              <w:pStyle w:val="TableParagraph"/>
              <w:ind w:right="239"/>
              <w:jc w:val="right"/>
              <w:rPr>
                <w:sz w:val="24"/>
              </w:rPr>
            </w:pPr>
            <w:r>
              <w:rPr>
                <w:spacing w:val="-2"/>
                <w:sz w:val="24"/>
              </w:rPr>
              <w:t>5.00±3.13</w:t>
            </w:r>
          </w:p>
        </w:tc>
        <w:tc>
          <w:tcPr>
            <w:tcW w:w="1459" w:type="dxa"/>
          </w:tcPr>
          <w:p>
            <w:pPr>
              <w:pStyle w:val="TableParagraph"/>
              <w:ind w:left="244"/>
              <w:rPr>
                <w:sz w:val="24"/>
              </w:rPr>
            </w:pPr>
            <w:r>
              <w:rPr>
                <w:spacing w:val="-2"/>
                <w:sz w:val="24"/>
              </w:rPr>
              <w:t>0.09±0.01</w:t>
            </w:r>
          </w:p>
        </w:tc>
        <w:tc>
          <w:tcPr>
            <w:tcW w:w="1460" w:type="dxa"/>
          </w:tcPr>
          <w:p>
            <w:pPr>
              <w:pStyle w:val="TableParagraph"/>
              <w:ind w:left="244"/>
              <w:rPr>
                <w:sz w:val="24"/>
              </w:rPr>
            </w:pPr>
            <w:r>
              <w:rPr>
                <w:spacing w:val="-2"/>
                <w:sz w:val="24"/>
              </w:rPr>
              <w:t>0.72±0.81</w:t>
            </w:r>
          </w:p>
        </w:tc>
        <w:tc>
          <w:tcPr>
            <w:tcW w:w="1900" w:type="dxa"/>
          </w:tcPr>
          <w:p>
            <w:pPr>
              <w:pStyle w:val="TableParagraph"/>
              <w:ind w:left="245"/>
              <w:rPr>
                <w:sz w:val="24"/>
              </w:rPr>
            </w:pPr>
            <w:r>
              <w:rPr>
                <w:spacing w:val="-2"/>
                <w:sz w:val="24"/>
              </w:rPr>
              <w:t>0.01±0.08</w:t>
            </w:r>
          </w:p>
        </w:tc>
      </w:tr>
      <w:tr>
        <w:trPr>
          <w:trHeight w:val="552" w:hRule="atLeast"/>
        </w:trPr>
        <w:tc>
          <w:tcPr>
            <w:tcW w:w="1575" w:type="dxa"/>
          </w:tcPr>
          <w:p>
            <w:pPr>
              <w:pStyle w:val="TableParagraph"/>
              <w:spacing w:before="0"/>
              <w:rPr>
                <w:sz w:val="24"/>
              </w:rPr>
            </w:pPr>
          </w:p>
        </w:tc>
        <w:tc>
          <w:tcPr>
            <w:tcW w:w="756" w:type="dxa"/>
          </w:tcPr>
          <w:p>
            <w:pPr>
              <w:pStyle w:val="TableParagraph"/>
              <w:ind w:left="143"/>
              <w:rPr>
                <w:sz w:val="24"/>
              </w:rPr>
            </w:pPr>
            <w:r>
              <w:rPr>
                <w:spacing w:val="-5"/>
                <w:sz w:val="24"/>
              </w:rPr>
              <w:t>NC</w:t>
            </w:r>
          </w:p>
        </w:tc>
        <w:tc>
          <w:tcPr>
            <w:tcW w:w="1408" w:type="dxa"/>
          </w:tcPr>
          <w:p>
            <w:pPr>
              <w:pStyle w:val="TableParagraph"/>
              <w:ind w:left="122"/>
              <w:rPr>
                <w:sz w:val="24"/>
              </w:rPr>
            </w:pPr>
            <w:r>
              <w:rPr>
                <w:spacing w:val="-2"/>
                <w:sz w:val="24"/>
              </w:rPr>
              <w:t>8.11±2.02</w:t>
            </w:r>
          </w:p>
        </w:tc>
        <w:tc>
          <w:tcPr>
            <w:tcW w:w="1529" w:type="dxa"/>
          </w:tcPr>
          <w:p>
            <w:pPr>
              <w:pStyle w:val="TableParagraph"/>
              <w:ind w:right="239"/>
              <w:jc w:val="right"/>
              <w:rPr>
                <w:sz w:val="24"/>
              </w:rPr>
            </w:pPr>
            <w:r>
              <w:rPr>
                <w:spacing w:val="-2"/>
                <w:sz w:val="24"/>
              </w:rPr>
              <w:t>5.40±1.46</w:t>
            </w:r>
          </w:p>
        </w:tc>
        <w:tc>
          <w:tcPr>
            <w:tcW w:w="1459" w:type="dxa"/>
          </w:tcPr>
          <w:p>
            <w:pPr>
              <w:pStyle w:val="TableParagraph"/>
              <w:ind w:left="244"/>
              <w:rPr>
                <w:sz w:val="24"/>
              </w:rPr>
            </w:pPr>
            <w:r>
              <w:rPr>
                <w:spacing w:val="-2"/>
                <w:sz w:val="24"/>
              </w:rPr>
              <w:t>0.09±0.06</w:t>
            </w:r>
          </w:p>
        </w:tc>
        <w:tc>
          <w:tcPr>
            <w:tcW w:w="1460" w:type="dxa"/>
          </w:tcPr>
          <w:p>
            <w:pPr>
              <w:pStyle w:val="TableParagraph"/>
              <w:ind w:left="244"/>
              <w:rPr>
                <w:sz w:val="24"/>
              </w:rPr>
            </w:pPr>
            <w:r>
              <w:rPr>
                <w:spacing w:val="-2"/>
                <w:sz w:val="24"/>
              </w:rPr>
              <w:t>1.00±0.14</w:t>
            </w:r>
          </w:p>
        </w:tc>
        <w:tc>
          <w:tcPr>
            <w:tcW w:w="1900" w:type="dxa"/>
          </w:tcPr>
          <w:p>
            <w:pPr>
              <w:pStyle w:val="TableParagraph"/>
              <w:ind w:left="245"/>
              <w:rPr>
                <w:sz w:val="24"/>
              </w:rPr>
            </w:pPr>
            <w:r>
              <w:rPr>
                <w:spacing w:val="-2"/>
                <w:sz w:val="24"/>
              </w:rPr>
              <w:t>0.02±0.02</w:t>
            </w:r>
          </w:p>
        </w:tc>
      </w:tr>
      <w:tr>
        <w:trPr>
          <w:trHeight w:val="551" w:hRule="atLeast"/>
        </w:trPr>
        <w:tc>
          <w:tcPr>
            <w:tcW w:w="1575" w:type="dxa"/>
          </w:tcPr>
          <w:p>
            <w:pPr>
              <w:pStyle w:val="TableParagraph"/>
              <w:ind w:left="110"/>
              <w:rPr>
                <w:sz w:val="24"/>
              </w:rPr>
            </w:pPr>
            <w:r>
              <w:rPr>
                <w:spacing w:val="-5"/>
                <w:sz w:val="24"/>
              </w:rPr>
              <w:t>PB</w:t>
            </w:r>
          </w:p>
        </w:tc>
        <w:tc>
          <w:tcPr>
            <w:tcW w:w="756" w:type="dxa"/>
          </w:tcPr>
          <w:p>
            <w:pPr>
              <w:pStyle w:val="TableParagraph"/>
              <w:ind w:left="143"/>
              <w:rPr>
                <w:sz w:val="24"/>
              </w:rPr>
            </w:pPr>
            <w:r>
              <w:rPr>
                <w:spacing w:val="-5"/>
                <w:sz w:val="24"/>
              </w:rPr>
              <w:t>NW</w:t>
            </w:r>
          </w:p>
        </w:tc>
        <w:tc>
          <w:tcPr>
            <w:tcW w:w="1408" w:type="dxa"/>
          </w:tcPr>
          <w:p>
            <w:pPr>
              <w:pStyle w:val="TableParagraph"/>
              <w:ind w:left="122"/>
              <w:rPr>
                <w:sz w:val="24"/>
              </w:rPr>
            </w:pPr>
            <w:r>
              <w:rPr>
                <w:spacing w:val="-2"/>
                <w:sz w:val="24"/>
              </w:rPr>
              <w:t>8.05±0.04</w:t>
            </w:r>
          </w:p>
        </w:tc>
        <w:tc>
          <w:tcPr>
            <w:tcW w:w="1529" w:type="dxa"/>
          </w:tcPr>
          <w:p>
            <w:pPr>
              <w:pStyle w:val="TableParagraph"/>
              <w:ind w:right="239"/>
              <w:jc w:val="right"/>
              <w:rPr>
                <w:sz w:val="24"/>
              </w:rPr>
            </w:pPr>
            <w:r>
              <w:rPr>
                <w:spacing w:val="-2"/>
                <w:sz w:val="24"/>
              </w:rPr>
              <w:t>5.14±2.07</w:t>
            </w:r>
          </w:p>
        </w:tc>
        <w:tc>
          <w:tcPr>
            <w:tcW w:w="1459" w:type="dxa"/>
          </w:tcPr>
          <w:p>
            <w:pPr>
              <w:pStyle w:val="TableParagraph"/>
              <w:ind w:left="244"/>
              <w:rPr>
                <w:sz w:val="24"/>
              </w:rPr>
            </w:pPr>
            <w:r>
              <w:rPr>
                <w:spacing w:val="-2"/>
                <w:sz w:val="24"/>
              </w:rPr>
              <w:t>0.09±0.04</w:t>
            </w:r>
          </w:p>
        </w:tc>
        <w:tc>
          <w:tcPr>
            <w:tcW w:w="1460" w:type="dxa"/>
          </w:tcPr>
          <w:p>
            <w:pPr>
              <w:pStyle w:val="TableParagraph"/>
              <w:ind w:left="244"/>
              <w:rPr>
                <w:sz w:val="24"/>
              </w:rPr>
            </w:pPr>
            <w:r>
              <w:rPr>
                <w:spacing w:val="-2"/>
                <w:sz w:val="24"/>
              </w:rPr>
              <w:t>1.01±0.08</w:t>
            </w:r>
          </w:p>
        </w:tc>
        <w:tc>
          <w:tcPr>
            <w:tcW w:w="1900" w:type="dxa"/>
          </w:tcPr>
          <w:p>
            <w:pPr>
              <w:pStyle w:val="TableParagraph"/>
              <w:ind w:left="245"/>
              <w:rPr>
                <w:sz w:val="24"/>
              </w:rPr>
            </w:pPr>
            <w:r>
              <w:rPr>
                <w:spacing w:val="-2"/>
                <w:sz w:val="24"/>
              </w:rPr>
              <w:t>0.01±0.91</w:t>
            </w:r>
          </w:p>
        </w:tc>
      </w:tr>
      <w:tr>
        <w:trPr>
          <w:trHeight w:val="552" w:hRule="atLeast"/>
        </w:trPr>
        <w:tc>
          <w:tcPr>
            <w:tcW w:w="1575" w:type="dxa"/>
          </w:tcPr>
          <w:p>
            <w:pPr>
              <w:pStyle w:val="TableParagraph"/>
              <w:spacing w:before="0"/>
              <w:rPr>
                <w:sz w:val="24"/>
              </w:rPr>
            </w:pPr>
          </w:p>
        </w:tc>
        <w:tc>
          <w:tcPr>
            <w:tcW w:w="756" w:type="dxa"/>
          </w:tcPr>
          <w:p>
            <w:pPr>
              <w:pStyle w:val="TableParagraph"/>
              <w:ind w:left="143"/>
              <w:rPr>
                <w:sz w:val="24"/>
              </w:rPr>
            </w:pPr>
            <w:r>
              <w:rPr>
                <w:spacing w:val="-5"/>
                <w:sz w:val="24"/>
              </w:rPr>
              <w:t>NE</w:t>
            </w:r>
          </w:p>
        </w:tc>
        <w:tc>
          <w:tcPr>
            <w:tcW w:w="1408" w:type="dxa"/>
          </w:tcPr>
          <w:p>
            <w:pPr>
              <w:pStyle w:val="TableParagraph"/>
              <w:ind w:left="122"/>
              <w:rPr>
                <w:sz w:val="24"/>
              </w:rPr>
            </w:pPr>
            <w:r>
              <w:rPr>
                <w:spacing w:val="-2"/>
                <w:sz w:val="24"/>
              </w:rPr>
              <w:t>6.22±1.06</w:t>
            </w:r>
          </w:p>
        </w:tc>
        <w:tc>
          <w:tcPr>
            <w:tcW w:w="1529" w:type="dxa"/>
          </w:tcPr>
          <w:p>
            <w:pPr>
              <w:pStyle w:val="TableParagraph"/>
              <w:ind w:right="239"/>
              <w:jc w:val="right"/>
              <w:rPr>
                <w:sz w:val="24"/>
              </w:rPr>
            </w:pPr>
            <w:r>
              <w:rPr>
                <w:spacing w:val="-2"/>
                <w:sz w:val="24"/>
              </w:rPr>
              <w:t>6.05±3.21</w:t>
            </w:r>
          </w:p>
        </w:tc>
        <w:tc>
          <w:tcPr>
            <w:tcW w:w="1459" w:type="dxa"/>
          </w:tcPr>
          <w:p>
            <w:pPr>
              <w:pStyle w:val="TableParagraph"/>
              <w:ind w:left="244"/>
              <w:rPr>
                <w:sz w:val="24"/>
              </w:rPr>
            </w:pPr>
            <w:r>
              <w:rPr>
                <w:spacing w:val="-2"/>
                <w:sz w:val="24"/>
              </w:rPr>
              <w:t>0.10±0.06</w:t>
            </w:r>
          </w:p>
        </w:tc>
        <w:tc>
          <w:tcPr>
            <w:tcW w:w="1460" w:type="dxa"/>
          </w:tcPr>
          <w:p>
            <w:pPr>
              <w:pStyle w:val="TableParagraph"/>
              <w:ind w:left="244"/>
              <w:rPr>
                <w:sz w:val="24"/>
              </w:rPr>
            </w:pPr>
            <w:r>
              <w:rPr>
                <w:spacing w:val="-2"/>
                <w:sz w:val="24"/>
              </w:rPr>
              <w:t>0.81±0.22</w:t>
            </w:r>
          </w:p>
        </w:tc>
        <w:tc>
          <w:tcPr>
            <w:tcW w:w="1900" w:type="dxa"/>
          </w:tcPr>
          <w:p>
            <w:pPr>
              <w:pStyle w:val="TableParagraph"/>
              <w:ind w:left="245"/>
              <w:rPr>
                <w:sz w:val="24"/>
              </w:rPr>
            </w:pPr>
            <w:r>
              <w:rPr>
                <w:spacing w:val="-5"/>
                <w:sz w:val="24"/>
              </w:rPr>
              <w:t>nd</w:t>
            </w:r>
          </w:p>
        </w:tc>
      </w:tr>
      <w:tr>
        <w:trPr>
          <w:trHeight w:val="552" w:hRule="atLeast"/>
        </w:trPr>
        <w:tc>
          <w:tcPr>
            <w:tcW w:w="1575" w:type="dxa"/>
          </w:tcPr>
          <w:p>
            <w:pPr>
              <w:pStyle w:val="TableParagraph"/>
              <w:spacing w:before="0"/>
              <w:rPr>
                <w:sz w:val="24"/>
              </w:rPr>
            </w:pPr>
          </w:p>
        </w:tc>
        <w:tc>
          <w:tcPr>
            <w:tcW w:w="756" w:type="dxa"/>
          </w:tcPr>
          <w:p>
            <w:pPr>
              <w:pStyle w:val="TableParagraph"/>
              <w:ind w:left="143"/>
              <w:rPr>
                <w:sz w:val="24"/>
              </w:rPr>
            </w:pPr>
            <w:r>
              <w:rPr>
                <w:spacing w:val="-5"/>
                <w:sz w:val="24"/>
              </w:rPr>
              <w:t>NC</w:t>
            </w:r>
          </w:p>
        </w:tc>
        <w:tc>
          <w:tcPr>
            <w:tcW w:w="1408" w:type="dxa"/>
          </w:tcPr>
          <w:p>
            <w:pPr>
              <w:pStyle w:val="TableParagraph"/>
              <w:ind w:left="122"/>
              <w:rPr>
                <w:sz w:val="24"/>
              </w:rPr>
            </w:pPr>
            <w:r>
              <w:rPr>
                <w:spacing w:val="-2"/>
                <w:sz w:val="24"/>
              </w:rPr>
              <w:t>6.06±1.50</w:t>
            </w:r>
          </w:p>
        </w:tc>
        <w:tc>
          <w:tcPr>
            <w:tcW w:w="1529" w:type="dxa"/>
          </w:tcPr>
          <w:p>
            <w:pPr>
              <w:pStyle w:val="TableParagraph"/>
              <w:ind w:right="239"/>
              <w:jc w:val="right"/>
              <w:rPr>
                <w:sz w:val="24"/>
              </w:rPr>
            </w:pPr>
            <w:r>
              <w:rPr>
                <w:spacing w:val="-2"/>
                <w:sz w:val="24"/>
              </w:rPr>
              <w:t>3.12±1.65</w:t>
            </w:r>
          </w:p>
        </w:tc>
        <w:tc>
          <w:tcPr>
            <w:tcW w:w="1459" w:type="dxa"/>
          </w:tcPr>
          <w:p>
            <w:pPr>
              <w:pStyle w:val="TableParagraph"/>
              <w:ind w:left="244"/>
              <w:rPr>
                <w:sz w:val="24"/>
              </w:rPr>
            </w:pPr>
            <w:r>
              <w:rPr>
                <w:spacing w:val="-2"/>
                <w:sz w:val="24"/>
              </w:rPr>
              <w:t>0.05±0.03</w:t>
            </w:r>
          </w:p>
        </w:tc>
        <w:tc>
          <w:tcPr>
            <w:tcW w:w="1460" w:type="dxa"/>
          </w:tcPr>
          <w:p>
            <w:pPr>
              <w:pStyle w:val="TableParagraph"/>
              <w:ind w:left="244"/>
              <w:rPr>
                <w:sz w:val="24"/>
              </w:rPr>
            </w:pPr>
            <w:r>
              <w:rPr>
                <w:spacing w:val="-2"/>
                <w:sz w:val="24"/>
              </w:rPr>
              <w:t>1.14±0.54</w:t>
            </w:r>
          </w:p>
        </w:tc>
        <w:tc>
          <w:tcPr>
            <w:tcW w:w="1900" w:type="dxa"/>
          </w:tcPr>
          <w:p>
            <w:pPr>
              <w:pStyle w:val="TableParagraph"/>
              <w:ind w:left="245"/>
              <w:rPr>
                <w:sz w:val="24"/>
              </w:rPr>
            </w:pPr>
            <w:r>
              <w:rPr>
                <w:spacing w:val="-2"/>
                <w:sz w:val="24"/>
              </w:rPr>
              <w:t>0.01±0.02</w:t>
            </w:r>
          </w:p>
        </w:tc>
      </w:tr>
      <w:tr>
        <w:trPr>
          <w:trHeight w:val="552" w:hRule="atLeast"/>
        </w:trPr>
        <w:tc>
          <w:tcPr>
            <w:tcW w:w="1575" w:type="dxa"/>
          </w:tcPr>
          <w:p>
            <w:pPr>
              <w:pStyle w:val="TableParagraph"/>
              <w:ind w:left="110"/>
              <w:rPr>
                <w:sz w:val="24"/>
              </w:rPr>
            </w:pPr>
            <w:r>
              <w:rPr>
                <w:spacing w:val="-5"/>
                <w:sz w:val="24"/>
              </w:rPr>
              <w:t>PC</w:t>
            </w:r>
          </w:p>
        </w:tc>
        <w:tc>
          <w:tcPr>
            <w:tcW w:w="756" w:type="dxa"/>
          </w:tcPr>
          <w:p>
            <w:pPr>
              <w:pStyle w:val="TableParagraph"/>
              <w:ind w:left="143"/>
              <w:rPr>
                <w:sz w:val="24"/>
              </w:rPr>
            </w:pPr>
            <w:r>
              <w:rPr>
                <w:spacing w:val="-5"/>
                <w:sz w:val="24"/>
              </w:rPr>
              <w:t>NW</w:t>
            </w:r>
          </w:p>
        </w:tc>
        <w:tc>
          <w:tcPr>
            <w:tcW w:w="1408" w:type="dxa"/>
          </w:tcPr>
          <w:p>
            <w:pPr>
              <w:pStyle w:val="TableParagraph"/>
              <w:ind w:left="122"/>
              <w:rPr>
                <w:sz w:val="24"/>
              </w:rPr>
            </w:pPr>
            <w:r>
              <w:rPr>
                <w:spacing w:val="-2"/>
                <w:sz w:val="24"/>
              </w:rPr>
              <w:t>5.06±1.67</w:t>
            </w:r>
          </w:p>
        </w:tc>
        <w:tc>
          <w:tcPr>
            <w:tcW w:w="1529" w:type="dxa"/>
          </w:tcPr>
          <w:p>
            <w:pPr>
              <w:pStyle w:val="TableParagraph"/>
              <w:ind w:right="239"/>
              <w:jc w:val="right"/>
              <w:rPr>
                <w:sz w:val="24"/>
              </w:rPr>
            </w:pPr>
            <w:r>
              <w:rPr>
                <w:spacing w:val="-2"/>
                <w:sz w:val="24"/>
              </w:rPr>
              <w:t>3.00±3.06</w:t>
            </w:r>
          </w:p>
        </w:tc>
        <w:tc>
          <w:tcPr>
            <w:tcW w:w="1459" w:type="dxa"/>
          </w:tcPr>
          <w:p>
            <w:pPr>
              <w:pStyle w:val="TableParagraph"/>
              <w:ind w:left="244"/>
              <w:rPr>
                <w:sz w:val="24"/>
              </w:rPr>
            </w:pPr>
            <w:r>
              <w:rPr>
                <w:spacing w:val="-2"/>
                <w:sz w:val="24"/>
              </w:rPr>
              <w:t>0.04±0.02</w:t>
            </w:r>
          </w:p>
        </w:tc>
        <w:tc>
          <w:tcPr>
            <w:tcW w:w="1460" w:type="dxa"/>
          </w:tcPr>
          <w:p>
            <w:pPr>
              <w:pStyle w:val="TableParagraph"/>
              <w:ind w:left="244"/>
              <w:rPr>
                <w:sz w:val="24"/>
              </w:rPr>
            </w:pPr>
            <w:r>
              <w:rPr>
                <w:spacing w:val="-2"/>
                <w:sz w:val="24"/>
              </w:rPr>
              <w:t>1.15±0.02</w:t>
            </w:r>
          </w:p>
        </w:tc>
        <w:tc>
          <w:tcPr>
            <w:tcW w:w="1900" w:type="dxa"/>
          </w:tcPr>
          <w:p>
            <w:pPr>
              <w:pStyle w:val="TableParagraph"/>
              <w:ind w:left="245"/>
              <w:rPr>
                <w:sz w:val="24"/>
              </w:rPr>
            </w:pPr>
            <w:r>
              <w:rPr>
                <w:spacing w:val="-2"/>
                <w:sz w:val="24"/>
              </w:rPr>
              <w:t>0.02±0.01</w:t>
            </w:r>
          </w:p>
        </w:tc>
      </w:tr>
      <w:tr>
        <w:trPr>
          <w:trHeight w:val="552" w:hRule="atLeast"/>
        </w:trPr>
        <w:tc>
          <w:tcPr>
            <w:tcW w:w="1575" w:type="dxa"/>
          </w:tcPr>
          <w:p>
            <w:pPr>
              <w:pStyle w:val="TableParagraph"/>
              <w:spacing w:before="0"/>
              <w:rPr>
                <w:sz w:val="24"/>
              </w:rPr>
            </w:pPr>
          </w:p>
        </w:tc>
        <w:tc>
          <w:tcPr>
            <w:tcW w:w="756" w:type="dxa"/>
          </w:tcPr>
          <w:p>
            <w:pPr>
              <w:pStyle w:val="TableParagraph"/>
              <w:ind w:left="143"/>
              <w:rPr>
                <w:sz w:val="24"/>
              </w:rPr>
            </w:pPr>
            <w:r>
              <w:rPr>
                <w:spacing w:val="-5"/>
                <w:sz w:val="24"/>
              </w:rPr>
              <w:t>NE</w:t>
            </w:r>
          </w:p>
        </w:tc>
        <w:tc>
          <w:tcPr>
            <w:tcW w:w="1408" w:type="dxa"/>
          </w:tcPr>
          <w:p>
            <w:pPr>
              <w:pStyle w:val="TableParagraph"/>
              <w:ind w:left="122"/>
              <w:rPr>
                <w:sz w:val="24"/>
              </w:rPr>
            </w:pPr>
            <w:r>
              <w:rPr>
                <w:spacing w:val="-2"/>
                <w:sz w:val="24"/>
              </w:rPr>
              <w:t>7.00±0.96</w:t>
            </w:r>
          </w:p>
        </w:tc>
        <w:tc>
          <w:tcPr>
            <w:tcW w:w="1529" w:type="dxa"/>
          </w:tcPr>
          <w:p>
            <w:pPr>
              <w:pStyle w:val="TableParagraph"/>
              <w:ind w:right="239"/>
              <w:jc w:val="right"/>
              <w:rPr>
                <w:sz w:val="24"/>
              </w:rPr>
            </w:pPr>
            <w:r>
              <w:rPr>
                <w:spacing w:val="-2"/>
                <w:sz w:val="24"/>
              </w:rPr>
              <w:t>4.31±0.91</w:t>
            </w:r>
          </w:p>
        </w:tc>
        <w:tc>
          <w:tcPr>
            <w:tcW w:w="1459" w:type="dxa"/>
          </w:tcPr>
          <w:p>
            <w:pPr>
              <w:pStyle w:val="TableParagraph"/>
              <w:ind w:left="244"/>
              <w:rPr>
                <w:sz w:val="24"/>
              </w:rPr>
            </w:pPr>
            <w:r>
              <w:rPr>
                <w:spacing w:val="-2"/>
                <w:sz w:val="24"/>
              </w:rPr>
              <w:t>0.06±0.01</w:t>
            </w:r>
          </w:p>
        </w:tc>
        <w:tc>
          <w:tcPr>
            <w:tcW w:w="1460" w:type="dxa"/>
          </w:tcPr>
          <w:p>
            <w:pPr>
              <w:pStyle w:val="TableParagraph"/>
              <w:ind w:left="244"/>
              <w:rPr>
                <w:sz w:val="24"/>
              </w:rPr>
            </w:pPr>
            <w:r>
              <w:rPr>
                <w:spacing w:val="-2"/>
                <w:sz w:val="24"/>
              </w:rPr>
              <w:t>1.05±0.03</w:t>
            </w:r>
          </w:p>
        </w:tc>
        <w:tc>
          <w:tcPr>
            <w:tcW w:w="1900" w:type="dxa"/>
          </w:tcPr>
          <w:p>
            <w:pPr>
              <w:pStyle w:val="TableParagraph"/>
              <w:ind w:left="245"/>
              <w:rPr>
                <w:sz w:val="24"/>
              </w:rPr>
            </w:pPr>
            <w:r>
              <w:rPr>
                <w:spacing w:val="-2"/>
                <w:sz w:val="24"/>
              </w:rPr>
              <w:t>0.01±0.02</w:t>
            </w:r>
          </w:p>
        </w:tc>
      </w:tr>
      <w:tr>
        <w:trPr>
          <w:trHeight w:val="552" w:hRule="atLeast"/>
        </w:trPr>
        <w:tc>
          <w:tcPr>
            <w:tcW w:w="1575" w:type="dxa"/>
          </w:tcPr>
          <w:p>
            <w:pPr>
              <w:pStyle w:val="TableParagraph"/>
              <w:spacing w:before="0"/>
              <w:rPr>
                <w:sz w:val="24"/>
              </w:rPr>
            </w:pPr>
          </w:p>
        </w:tc>
        <w:tc>
          <w:tcPr>
            <w:tcW w:w="756" w:type="dxa"/>
          </w:tcPr>
          <w:p>
            <w:pPr>
              <w:pStyle w:val="TableParagraph"/>
              <w:ind w:left="143"/>
              <w:rPr>
                <w:sz w:val="24"/>
              </w:rPr>
            </w:pPr>
            <w:r>
              <w:rPr>
                <w:spacing w:val="-5"/>
                <w:sz w:val="24"/>
              </w:rPr>
              <w:t>NC</w:t>
            </w:r>
          </w:p>
        </w:tc>
        <w:tc>
          <w:tcPr>
            <w:tcW w:w="1408" w:type="dxa"/>
          </w:tcPr>
          <w:p>
            <w:pPr>
              <w:pStyle w:val="TableParagraph"/>
              <w:ind w:left="122"/>
              <w:rPr>
                <w:sz w:val="24"/>
              </w:rPr>
            </w:pPr>
            <w:r>
              <w:rPr>
                <w:spacing w:val="-2"/>
                <w:sz w:val="24"/>
              </w:rPr>
              <w:t>7.91±3.59</w:t>
            </w:r>
          </w:p>
        </w:tc>
        <w:tc>
          <w:tcPr>
            <w:tcW w:w="1529" w:type="dxa"/>
          </w:tcPr>
          <w:p>
            <w:pPr>
              <w:pStyle w:val="TableParagraph"/>
              <w:ind w:right="238"/>
              <w:jc w:val="right"/>
              <w:rPr>
                <w:sz w:val="24"/>
              </w:rPr>
            </w:pPr>
            <w:r>
              <w:rPr>
                <w:spacing w:val="-2"/>
                <w:sz w:val="24"/>
              </w:rPr>
              <w:t>4.72±2.00</w:t>
            </w:r>
          </w:p>
        </w:tc>
        <w:tc>
          <w:tcPr>
            <w:tcW w:w="1459" w:type="dxa"/>
          </w:tcPr>
          <w:p>
            <w:pPr>
              <w:pStyle w:val="TableParagraph"/>
              <w:ind w:left="244"/>
              <w:rPr>
                <w:sz w:val="24"/>
              </w:rPr>
            </w:pPr>
            <w:r>
              <w:rPr>
                <w:spacing w:val="-2"/>
                <w:sz w:val="24"/>
              </w:rPr>
              <w:t>0.08±0.07</w:t>
            </w:r>
          </w:p>
        </w:tc>
        <w:tc>
          <w:tcPr>
            <w:tcW w:w="1460" w:type="dxa"/>
          </w:tcPr>
          <w:p>
            <w:pPr>
              <w:pStyle w:val="TableParagraph"/>
              <w:ind w:left="244"/>
              <w:rPr>
                <w:sz w:val="24"/>
              </w:rPr>
            </w:pPr>
            <w:r>
              <w:rPr>
                <w:spacing w:val="-2"/>
                <w:sz w:val="24"/>
              </w:rPr>
              <w:t>1.41±0.08</w:t>
            </w:r>
          </w:p>
        </w:tc>
        <w:tc>
          <w:tcPr>
            <w:tcW w:w="1900" w:type="dxa"/>
          </w:tcPr>
          <w:p>
            <w:pPr>
              <w:pStyle w:val="TableParagraph"/>
              <w:ind w:left="245"/>
              <w:rPr>
                <w:sz w:val="24"/>
              </w:rPr>
            </w:pPr>
            <w:r>
              <w:rPr>
                <w:spacing w:val="-2"/>
                <w:sz w:val="24"/>
              </w:rPr>
              <w:t>0.01±0.01</w:t>
            </w:r>
          </w:p>
        </w:tc>
      </w:tr>
      <w:tr>
        <w:trPr>
          <w:trHeight w:val="552" w:hRule="atLeast"/>
        </w:trPr>
        <w:tc>
          <w:tcPr>
            <w:tcW w:w="1575" w:type="dxa"/>
          </w:tcPr>
          <w:p>
            <w:pPr>
              <w:pStyle w:val="TableParagraph"/>
              <w:ind w:left="110"/>
              <w:rPr>
                <w:sz w:val="24"/>
              </w:rPr>
            </w:pPr>
            <w:r>
              <w:rPr>
                <w:spacing w:val="-5"/>
                <w:sz w:val="24"/>
              </w:rPr>
              <w:t>PD</w:t>
            </w:r>
          </w:p>
        </w:tc>
        <w:tc>
          <w:tcPr>
            <w:tcW w:w="756" w:type="dxa"/>
          </w:tcPr>
          <w:p>
            <w:pPr>
              <w:pStyle w:val="TableParagraph"/>
              <w:ind w:left="143"/>
              <w:rPr>
                <w:sz w:val="24"/>
              </w:rPr>
            </w:pPr>
            <w:r>
              <w:rPr>
                <w:spacing w:val="-5"/>
                <w:sz w:val="24"/>
              </w:rPr>
              <w:t>NW</w:t>
            </w:r>
          </w:p>
        </w:tc>
        <w:tc>
          <w:tcPr>
            <w:tcW w:w="1408" w:type="dxa"/>
          </w:tcPr>
          <w:p>
            <w:pPr>
              <w:pStyle w:val="TableParagraph"/>
              <w:ind w:left="122"/>
              <w:rPr>
                <w:sz w:val="24"/>
              </w:rPr>
            </w:pPr>
            <w:r>
              <w:rPr>
                <w:spacing w:val="-2"/>
                <w:sz w:val="24"/>
              </w:rPr>
              <w:t>7.00±1.41</w:t>
            </w:r>
          </w:p>
        </w:tc>
        <w:tc>
          <w:tcPr>
            <w:tcW w:w="1529" w:type="dxa"/>
          </w:tcPr>
          <w:p>
            <w:pPr>
              <w:pStyle w:val="TableParagraph"/>
              <w:ind w:right="239"/>
              <w:jc w:val="right"/>
              <w:rPr>
                <w:sz w:val="24"/>
              </w:rPr>
            </w:pPr>
            <w:r>
              <w:rPr>
                <w:spacing w:val="-2"/>
                <w:sz w:val="24"/>
              </w:rPr>
              <w:t>4.70±0.05</w:t>
            </w:r>
          </w:p>
        </w:tc>
        <w:tc>
          <w:tcPr>
            <w:tcW w:w="1459" w:type="dxa"/>
          </w:tcPr>
          <w:p>
            <w:pPr>
              <w:pStyle w:val="TableParagraph"/>
              <w:ind w:left="244"/>
              <w:rPr>
                <w:sz w:val="24"/>
              </w:rPr>
            </w:pPr>
            <w:r>
              <w:rPr>
                <w:spacing w:val="-2"/>
                <w:sz w:val="24"/>
              </w:rPr>
              <w:t>0.09±0.11</w:t>
            </w:r>
          </w:p>
        </w:tc>
        <w:tc>
          <w:tcPr>
            <w:tcW w:w="1460" w:type="dxa"/>
          </w:tcPr>
          <w:p>
            <w:pPr>
              <w:pStyle w:val="TableParagraph"/>
              <w:ind w:left="244"/>
              <w:rPr>
                <w:sz w:val="24"/>
              </w:rPr>
            </w:pPr>
            <w:r>
              <w:rPr>
                <w:spacing w:val="-2"/>
                <w:sz w:val="24"/>
              </w:rPr>
              <w:t>1.31±1.02</w:t>
            </w:r>
          </w:p>
        </w:tc>
        <w:tc>
          <w:tcPr>
            <w:tcW w:w="1900" w:type="dxa"/>
          </w:tcPr>
          <w:p>
            <w:pPr>
              <w:pStyle w:val="TableParagraph"/>
              <w:ind w:left="245"/>
              <w:rPr>
                <w:sz w:val="24"/>
              </w:rPr>
            </w:pPr>
            <w:r>
              <w:rPr>
                <w:spacing w:val="-2"/>
                <w:sz w:val="24"/>
              </w:rPr>
              <w:t>0.03±0.01</w:t>
            </w:r>
          </w:p>
        </w:tc>
      </w:tr>
      <w:tr>
        <w:trPr>
          <w:trHeight w:val="552" w:hRule="atLeast"/>
        </w:trPr>
        <w:tc>
          <w:tcPr>
            <w:tcW w:w="1575" w:type="dxa"/>
          </w:tcPr>
          <w:p>
            <w:pPr>
              <w:pStyle w:val="TableParagraph"/>
              <w:spacing w:before="0"/>
              <w:rPr>
                <w:sz w:val="24"/>
              </w:rPr>
            </w:pPr>
          </w:p>
        </w:tc>
        <w:tc>
          <w:tcPr>
            <w:tcW w:w="756" w:type="dxa"/>
          </w:tcPr>
          <w:p>
            <w:pPr>
              <w:pStyle w:val="TableParagraph"/>
              <w:ind w:left="143"/>
              <w:rPr>
                <w:sz w:val="24"/>
              </w:rPr>
            </w:pPr>
            <w:r>
              <w:rPr>
                <w:spacing w:val="-5"/>
                <w:sz w:val="24"/>
              </w:rPr>
              <w:t>NE</w:t>
            </w:r>
          </w:p>
        </w:tc>
        <w:tc>
          <w:tcPr>
            <w:tcW w:w="1408" w:type="dxa"/>
          </w:tcPr>
          <w:p>
            <w:pPr>
              <w:pStyle w:val="TableParagraph"/>
              <w:ind w:left="122"/>
              <w:rPr>
                <w:sz w:val="24"/>
              </w:rPr>
            </w:pPr>
            <w:r>
              <w:rPr>
                <w:spacing w:val="-2"/>
                <w:sz w:val="24"/>
              </w:rPr>
              <w:t>5.81±0.55</w:t>
            </w:r>
          </w:p>
        </w:tc>
        <w:tc>
          <w:tcPr>
            <w:tcW w:w="1529" w:type="dxa"/>
          </w:tcPr>
          <w:p>
            <w:pPr>
              <w:pStyle w:val="TableParagraph"/>
              <w:ind w:right="239"/>
              <w:jc w:val="right"/>
              <w:rPr>
                <w:sz w:val="24"/>
              </w:rPr>
            </w:pPr>
            <w:r>
              <w:rPr>
                <w:spacing w:val="-2"/>
                <w:sz w:val="24"/>
              </w:rPr>
              <w:t>4.66±3.22</w:t>
            </w:r>
          </w:p>
        </w:tc>
        <w:tc>
          <w:tcPr>
            <w:tcW w:w="1459" w:type="dxa"/>
          </w:tcPr>
          <w:p>
            <w:pPr>
              <w:pStyle w:val="TableParagraph"/>
              <w:ind w:left="244"/>
              <w:rPr>
                <w:sz w:val="24"/>
              </w:rPr>
            </w:pPr>
            <w:r>
              <w:rPr>
                <w:spacing w:val="-2"/>
                <w:sz w:val="24"/>
              </w:rPr>
              <w:t>0.08±0.05</w:t>
            </w:r>
          </w:p>
        </w:tc>
        <w:tc>
          <w:tcPr>
            <w:tcW w:w="1460" w:type="dxa"/>
          </w:tcPr>
          <w:p>
            <w:pPr>
              <w:pStyle w:val="TableParagraph"/>
              <w:ind w:left="244"/>
              <w:rPr>
                <w:sz w:val="24"/>
              </w:rPr>
            </w:pPr>
            <w:r>
              <w:rPr>
                <w:spacing w:val="-2"/>
                <w:sz w:val="24"/>
              </w:rPr>
              <w:t>1.12±1.30</w:t>
            </w:r>
          </w:p>
        </w:tc>
        <w:tc>
          <w:tcPr>
            <w:tcW w:w="1900" w:type="dxa"/>
          </w:tcPr>
          <w:p>
            <w:pPr>
              <w:pStyle w:val="TableParagraph"/>
              <w:ind w:left="245"/>
              <w:rPr>
                <w:sz w:val="24"/>
              </w:rPr>
            </w:pPr>
            <w:r>
              <w:rPr>
                <w:spacing w:val="-2"/>
                <w:sz w:val="24"/>
              </w:rPr>
              <w:t>0.01±0.02</w:t>
            </w:r>
          </w:p>
        </w:tc>
      </w:tr>
      <w:tr>
        <w:trPr>
          <w:trHeight w:val="693" w:hRule="atLeast"/>
        </w:trPr>
        <w:tc>
          <w:tcPr>
            <w:tcW w:w="10087" w:type="dxa"/>
            <w:gridSpan w:val="7"/>
            <w:tcBorders>
              <w:bottom w:val="single" w:sz="4" w:space="0" w:color="000000"/>
            </w:tcBorders>
          </w:tcPr>
          <w:p>
            <w:pPr>
              <w:pStyle w:val="TableParagraph"/>
              <w:tabs>
                <w:tab w:pos="2686" w:val="left" w:leader="none"/>
                <w:tab w:pos="4244" w:val="left" w:leader="none"/>
                <w:tab w:pos="5797" w:val="left" w:leader="none"/>
                <w:tab w:pos="7234" w:val="left" w:leader="none"/>
                <w:tab w:pos="8988" w:val="right" w:leader="none"/>
              </w:tabs>
              <w:ind w:left="110"/>
              <w:rPr>
                <w:sz w:val="24"/>
              </w:rPr>
            </w:pPr>
            <w:r>
              <w:rPr>
                <w:sz w:val="24"/>
              </w:rPr>
              <w:t>MPL</w:t>
            </w:r>
            <w:r>
              <w:rPr>
                <w:spacing w:val="-4"/>
                <w:sz w:val="24"/>
              </w:rPr>
              <w:t> </w:t>
            </w:r>
            <w:r>
              <w:rPr>
                <w:spacing w:val="-2"/>
                <w:sz w:val="24"/>
              </w:rPr>
              <w:t>[E.U.(2007)]</w:t>
            </w:r>
            <w:r>
              <w:rPr>
                <w:sz w:val="24"/>
              </w:rPr>
              <w:tab/>
            </w:r>
            <w:r>
              <w:rPr>
                <w:spacing w:val="-4"/>
                <w:sz w:val="24"/>
              </w:rPr>
              <w:t>500.0</w:t>
            </w:r>
            <w:r>
              <w:rPr>
                <w:sz w:val="24"/>
              </w:rPr>
              <w:tab/>
            </w:r>
            <w:r>
              <w:rPr>
                <w:spacing w:val="-4"/>
                <w:sz w:val="24"/>
              </w:rPr>
              <w:t>100.0</w:t>
            </w:r>
            <w:r>
              <w:rPr>
                <w:sz w:val="24"/>
              </w:rPr>
              <w:tab/>
            </w:r>
            <w:r>
              <w:rPr>
                <w:spacing w:val="-5"/>
                <w:sz w:val="24"/>
              </w:rPr>
              <w:t>1.0</w:t>
            </w:r>
            <w:r>
              <w:rPr>
                <w:sz w:val="24"/>
              </w:rPr>
              <w:tab/>
            </w:r>
            <w:r>
              <w:rPr>
                <w:spacing w:val="-5"/>
                <w:sz w:val="24"/>
              </w:rPr>
              <w:t>5.0</w:t>
            </w:r>
            <w:r>
              <w:rPr>
                <w:sz w:val="24"/>
              </w:rPr>
              <w:tab/>
            </w:r>
            <w:r>
              <w:rPr>
                <w:spacing w:val="-5"/>
                <w:sz w:val="24"/>
              </w:rPr>
              <w:t>0.5</w:t>
            </w:r>
          </w:p>
        </w:tc>
      </w:tr>
      <w:tr>
        <w:trPr>
          <w:trHeight w:val="1218" w:hRule="atLeast"/>
        </w:trPr>
        <w:tc>
          <w:tcPr>
            <w:tcW w:w="10087" w:type="dxa"/>
            <w:gridSpan w:val="7"/>
            <w:tcBorders>
              <w:top w:val="single" w:sz="4" w:space="0" w:color="000000"/>
            </w:tcBorders>
          </w:tcPr>
          <w:p>
            <w:pPr>
              <w:pStyle w:val="TableParagraph"/>
              <w:spacing w:line="276" w:lineRule="auto" w:before="0"/>
              <w:ind w:left="110" w:right="4411"/>
              <w:rPr>
                <w:sz w:val="24"/>
              </w:rPr>
            </w:pPr>
            <w:r>
              <w:rPr>
                <w:sz w:val="24"/>
              </w:rPr>
              <w:t>MPL</w:t>
            </w:r>
            <w:r>
              <w:rPr>
                <w:spacing w:val="-7"/>
                <w:sz w:val="24"/>
              </w:rPr>
              <w:t> </w:t>
            </w:r>
            <w:r>
              <w:rPr>
                <w:sz w:val="24"/>
              </w:rPr>
              <w:t>-maximum</w:t>
            </w:r>
            <w:r>
              <w:rPr>
                <w:spacing w:val="-13"/>
                <w:sz w:val="24"/>
              </w:rPr>
              <w:t> </w:t>
            </w:r>
            <w:r>
              <w:rPr>
                <w:sz w:val="24"/>
              </w:rPr>
              <w:t>permissible</w:t>
            </w:r>
            <w:r>
              <w:rPr>
                <w:spacing w:val="-2"/>
                <w:sz w:val="24"/>
              </w:rPr>
              <w:t> </w:t>
            </w:r>
            <w:r>
              <w:rPr>
                <w:sz w:val="24"/>
              </w:rPr>
              <w:t>limit;</w:t>
            </w:r>
            <w:r>
              <w:rPr>
                <w:spacing w:val="-10"/>
                <w:sz w:val="24"/>
              </w:rPr>
              <w:t> </w:t>
            </w:r>
            <w:r>
              <w:rPr>
                <w:sz w:val="24"/>
              </w:rPr>
              <w:t>E.U</w:t>
            </w:r>
            <w:r>
              <w:rPr>
                <w:spacing w:val="-2"/>
                <w:sz w:val="24"/>
              </w:rPr>
              <w:t> </w:t>
            </w:r>
            <w:r>
              <w:rPr>
                <w:sz w:val="24"/>
              </w:rPr>
              <w:t>–European</w:t>
            </w:r>
            <w:r>
              <w:rPr>
                <w:spacing w:val="-10"/>
                <w:sz w:val="24"/>
              </w:rPr>
              <w:t> </w:t>
            </w:r>
            <w:r>
              <w:rPr>
                <w:sz w:val="24"/>
              </w:rPr>
              <w:t>union; NC- North central; NW-North west; NE- North east.</w:t>
            </w:r>
          </w:p>
          <w:p>
            <w:pPr>
              <w:pStyle w:val="TableParagraph"/>
              <w:spacing w:line="275" w:lineRule="exact" w:before="0"/>
              <w:ind w:left="110"/>
              <w:rPr>
                <w:sz w:val="24"/>
              </w:rPr>
            </w:pPr>
            <w:r>
              <w:rPr>
                <w:sz w:val="24"/>
              </w:rPr>
              <w:t>Nd –</w:t>
            </w:r>
            <w:r>
              <w:rPr>
                <w:spacing w:val="1"/>
                <w:sz w:val="24"/>
              </w:rPr>
              <w:t> </w:t>
            </w:r>
            <w:r>
              <w:rPr>
                <w:sz w:val="24"/>
              </w:rPr>
              <w:t>Non</w:t>
            </w:r>
            <w:r>
              <w:rPr>
                <w:spacing w:val="-3"/>
                <w:sz w:val="24"/>
              </w:rPr>
              <w:t> </w:t>
            </w:r>
            <w:r>
              <w:rPr>
                <w:spacing w:val="-2"/>
                <w:sz w:val="24"/>
              </w:rPr>
              <w:t>detected</w:t>
            </w:r>
          </w:p>
          <w:p>
            <w:pPr>
              <w:pStyle w:val="TableParagraph"/>
              <w:spacing w:line="256" w:lineRule="exact" w:before="33"/>
              <w:ind w:left="110"/>
              <w:rPr>
                <w:sz w:val="24"/>
              </w:rPr>
            </w:pPr>
            <w:r>
              <w:rPr>
                <w:sz w:val="24"/>
              </w:rPr>
              <w:t>PA,</w:t>
            </w:r>
            <w:r>
              <w:rPr>
                <w:spacing w:val="-3"/>
                <w:sz w:val="24"/>
              </w:rPr>
              <w:t> </w:t>
            </w:r>
            <w:r>
              <w:rPr>
                <w:sz w:val="24"/>
              </w:rPr>
              <w:t>PB, PC</w:t>
            </w:r>
            <w:r>
              <w:rPr>
                <w:spacing w:val="-5"/>
                <w:sz w:val="24"/>
              </w:rPr>
              <w:t> </w:t>
            </w:r>
            <w:r>
              <w:rPr>
                <w:sz w:val="24"/>
              </w:rPr>
              <w:t>and</w:t>
            </w:r>
            <w:r>
              <w:rPr>
                <w:spacing w:val="-2"/>
                <w:sz w:val="24"/>
              </w:rPr>
              <w:t> </w:t>
            </w:r>
            <w:r>
              <w:rPr>
                <w:sz w:val="24"/>
              </w:rPr>
              <w:t>PD</w:t>
            </w:r>
            <w:r>
              <w:rPr>
                <w:spacing w:val="-3"/>
                <w:sz w:val="24"/>
              </w:rPr>
              <w:t> </w:t>
            </w:r>
            <w:r>
              <w:rPr>
                <w:sz w:val="24"/>
              </w:rPr>
              <w:t>for</w:t>
            </w:r>
            <w:r>
              <w:rPr>
                <w:spacing w:val="-2"/>
                <w:sz w:val="24"/>
              </w:rPr>
              <w:t> </w:t>
            </w:r>
            <w:r>
              <w:rPr>
                <w:sz w:val="24"/>
              </w:rPr>
              <w:t>Vital®, Top®</w:t>
            </w:r>
            <w:r>
              <w:rPr>
                <w:spacing w:val="-3"/>
                <w:sz w:val="24"/>
              </w:rPr>
              <w:t> </w:t>
            </w:r>
            <w:r>
              <w:rPr>
                <w:sz w:val="24"/>
              </w:rPr>
              <w:t>Hybrid®</w:t>
            </w:r>
            <w:r>
              <w:rPr>
                <w:spacing w:val="-2"/>
                <w:sz w:val="24"/>
              </w:rPr>
              <w:t> </w:t>
            </w:r>
            <w:r>
              <w:rPr>
                <w:sz w:val="24"/>
              </w:rPr>
              <w:t>and</w:t>
            </w:r>
            <w:r>
              <w:rPr>
                <w:spacing w:val="-2"/>
                <w:sz w:val="24"/>
              </w:rPr>
              <w:t> </w:t>
            </w:r>
            <w:r>
              <w:rPr>
                <w:sz w:val="24"/>
              </w:rPr>
              <w:t>Gold</w:t>
            </w:r>
            <w:r>
              <w:rPr>
                <w:spacing w:val="1"/>
                <w:sz w:val="24"/>
              </w:rPr>
              <w:t> </w:t>
            </w:r>
            <w:r>
              <w:rPr>
                <w:sz w:val="24"/>
              </w:rPr>
              <w:t>medal®</w:t>
            </w:r>
            <w:r>
              <w:rPr>
                <w:spacing w:val="-2"/>
                <w:sz w:val="24"/>
              </w:rPr>
              <w:t> </w:t>
            </w:r>
            <w:r>
              <w:rPr>
                <w:sz w:val="24"/>
              </w:rPr>
              <w:t>poultry</w:t>
            </w:r>
            <w:r>
              <w:rPr>
                <w:spacing w:val="-7"/>
                <w:sz w:val="24"/>
              </w:rPr>
              <w:t> </w:t>
            </w:r>
            <w:r>
              <w:rPr>
                <w:sz w:val="24"/>
              </w:rPr>
              <w:t>feeds</w:t>
            </w:r>
            <w:r>
              <w:rPr>
                <w:spacing w:val="-4"/>
                <w:sz w:val="24"/>
              </w:rPr>
              <w:t> </w:t>
            </w:r>
            <w:r>
              <w:rPr>
                <w:spacing w:val="-2"/>
                <w:sz w:val="24"/>
              </w:rPr>
              <w:t>respectively</w:t>
            </w:r>
          </w:p>
        </w:tc>
      </w:tr>
    </w:tbl>
    <w:p>
      <w:pPr>
        <w:spacing w:after="0" w:line="256" w:lineRule="exact"/>
        <w:rPr>
          <w:sz w:val="24"/>
        </w:rPr>
        <w:sectPr>
          <w:pgSz w:w="12240" w:h="15840"/>
          <w:pgMar w:header="0" w:footer="1012" w:top="1360" w:bottom="1200" w:left="1020" w:right="720"/>
        </w:sectPr>
      </w:pPr>
    </w:p>
    <w:p>
      <w:pPr>
        <w:pStyle w:val="Heading2"/>
        <w:spacing w:before="72"/>
      </w:pPr>
      <w:r>
        <w:rPr/>
        <w:t>Appendix</w:t>
      </w:r>
      <w:r>
        <w:rPr>
          <w:spacing w:val="-3"/>
        </w:rPr>
        <w:t> </w:t>
      </w:r>
      <w:r>
        <w:rPr>
          <w:spacing w:val="-10"/>
        </w:rPr>
        <w:t>9</w:t>
      </w:r>
    </w:p>
    <w:p>
      <w:pPr>
        <w:pStyle w:val="BodyText"/>
        <w:spacing w:line="355" w:lineRule="auto" w:before="242"/>
        <w:ind w:left="420" w:right="765" w:firstLine="57"/>
      </w:pPr>
      <w:r>
        <w:rPr/>
        <w:t>Mean</w:t>
      </w:r>
      <w:r>
        <w:rPr>
          <w:spacing w:val="40"/>
        </w:rPr>
        <w:t> </w:t>
      </w:r>
      <w:r>
        <w:rPr/>
        <w:t>concentrations</w:t>
      </w:r>
      <w:r>
        <w:rPr>
          <w:spacing w:val="40"/>
        </w:rPr>
        <w:t> </w:t>
      </w:r>
      <w:r>
        <w:rPr/>
        <w:t>of</w:t>
      </w:r>
      <w:r>
        <w:rPr>
          <w:spacing w:val="40"/>
        </w:rPr>
        <w:t> </w:t>
      </w:r>
      <w:r>
        <w:rPr/>
        <w:t>zinc,</w:t>
      </w:r>
      <w:r>
        <w:rPr>
          <w:spacing w:val="40"/>
        </w:rPr>
        <w:t> </w:t>
      </w:r>
      <w:r>
        <w:rPr/>
        <w:t>copper,</w:t>
      </w:r>
      <w:r>
        <w:rPr>
          <w:spacing w:val="40"/>
        </w:rPr>
        <w:t> </w:t>
      </w:r>
      <w:r>
        <w:rPr/>
        <w:t>nickel,</w:t>
      </w:r>
      <w:r>
        <w:rPr>
          <w:spacing w:val="40"/>
        </w:rPr>
        <w:t> </w:t>
      </w:r>
      <w:r>
        <w:rPr/>
        <w:t>lead</w:t>
      </w:r>
      <w:r>
        <w:rPr>
          <w:spacing w:val="40"/>
        </w:rPr>
        <w:t> </w:t>
      </w:r>
      <w:r>
        <w:rPr/>
        <w:t>and</w:t>
      </w:r>
      <w:r>
        <w:rPr>
          <w:spacing w:val="40"/>
        </w:rPr>
        <w:t> </w:t>
      </w:r>
      <w:r>
        <w:rPr/>
        <w:t>arsenic</w:t>
      </w:r>
      <w:r>
        <w:rPr>
          <w:spacing w:val="40"/>
        </w:rPr>
        <w:t> </w:t>
      </w:r>
      <w:r>
        <w:rPr/>
        <w:t>in</w:t>
      </w:r>
      <w:r>
        <w:rPr>
          <w:spacing w:val="40"/>
        </w:rPr>
        <w:t> </w:t>
      </w:r>
      <w:r>
        <w:rPr/>
        <w:t>mg/kg</w:t>
      </w:r>
      <w:r>
        <w:rPr>
          <w:spacing w:val="40"/>
        </w:rPr>
        <w:t> </w:t>
      </w:r>
      <w:r>
        <w:rPr/>
        <w:t>in</w:t>
      </w:r>
      <w:r>
        <w:rPr>
          <w:spacing w:val="40"/>
        </w:rPr>
        <w:t> </w:t>
      </w:r>
      <w:r>
        <w:rPr/>
        <w:t>different</w:t>
      </w:r>
      <w:r>
        <w:rPr>
          <w:spacing w:val="40"/>
        </w:rPr>
        <w:t> </w:t>
      </w:r>
      <w:r>
        <w:rPr/>
        <w:t>forage grasses at grazing areas across Northern Nigeria and Statistical difference at P&lt;0.05</w:t>
      </w:r>
    </w:p>
    <w:p>
      <w:pPr>
        <w:pStyle w:val="BodyText"/>
        <w:spacing w:before="1"/>
        <w:rPr>
          <w:sz w:val="19"/>
        </w:rPr>
      </w:pPr>
    </w:p>
    <w:tbl>
      <w:tblPr>
        <w:tblW w:w="0" w:type="auto"/>
        <w:jc w:val="left"/>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2"/>
        <w:gridCol w:w="1413"/>
        <w:gridCol w:w="1452"/>
        <w:gridCol w:w="1414"/>
        <w:gridCol w:w="1488"/>
        <w:gridCol w:w="1572"/>
        <w:gridCol w:w="1455"/>
      </w:tblGrid>
      <w:tr>
        <w:trPr>
          <w:trHeight w:val="551" w:hRule="atLeast"/>
        </w:trPr>
        <w:tc>
          <w:tcPr>
            <w:tcW w:w="862" w:type="dxa"/>
            <w:tcBorders>
              <w:top w:val="single" w:sz="4" w:space="0" w:color="000000"/>
              <w:bottom w:val="single" w:sz="4" w:space="0" w:color="000000"/>
            </w:tcBorders>
          </w:tcPr>
          <w:p>
            <w:pPr>
              <w:pStyle w:val="TableParagraph"/>
              <w:spacing w:line="268" w:lineRule="exact" w:before="0"/>
              <w:ind w:left="117"/>
              <w:rPr>
                <w:sz w:val="24"/>
              </w:rPr>
            </w:pPr>
            <w:r>
              <w:rPr>
                <w:spacing w:val="-4"/>
                <w:sz w:val="24"/>
              </w:rPr>
              <w:t>Zone</w:t>
            </w:r>
          </w:p>
        </w:tc>
        <w:tc>
          <w:tcPr>
            <w:tcW w:w="1413" w:type="dxa"/>
            <w:tcBorders>
              <w:top w:val="single" w:sz="4" w:space="0" w:color="000000"/>
              <w:bottom w:val="single" w:sz="4" w:space="0" w:color="000000"/>
            </w:tcBorders>
          </w:tcPr>
          <w:p>
            <w:pPr>
              <w:pStyle w:val="TableParagraph"/>
              <w:spacing w:line="268" w:lineRule="exact" w:before="0"/>
              <w:ind w:left="254"/>
              <w:rPr>
                <w:sz w:val="24"/>
              </w:rPr>
            </w:pPr>
            <w:r>
              <w:rPr>
                <w:spacing w:val="-2"/>
                <w:sz w:val="24"/>
              </w:rPr>
              <w:t>Sampling</w:t>
            </w:r>
          </w:p>
          <w:p>
            <w:pPr>
              <w:pStyle w:val="TableParagraph"/>
              <w:spacing w:line="261" w:lineRule="exact" w:before="2"/>
              <w:ind w:left="254"/>
              <w:rPr>
                <w:sz w:val="24"/>
              </w:rPr>
            </w:pPr>
            <w:r>
              <w:rPr>
                <w:spacing w:val="-4"/>
                <w:sz w:val="24"/>
              </w:rPr>
              <w:t>area</w:t>
            </w:r>
          </w:p>
        </w:tc>
        <w:tc>
          <w:tcPr>
            <w:tcW w:w="1452" w:type="dxa"/>
            <w:tcBorders>
              <w:top w:val="single" w:sz="4" w:space="0" w:color="000000"/>
              <w:bottom w:val="single" w:sz="4" w:space="0" w:color="000000"/>
            </w:tcBorders>
          </w:tcPr>
          <w:p>
            <w:pPr>
              <w:pStyle w:val="TableParagraph"/>
              <w:spacing w:line="268" w:lineRule="exact" w:before="0"/>
              <w:ind w:left="243"/>
              <w:rPr>
                <w:sz w:val="24"/>
              </w:rPr>
            </w:pPr>
            <w:r>
              <w:rPr>
                <w:spacing w:val="-5"/>
                <w:sz w:val="24"/>
              </w:rPr>
              <w:t>Zn</w:t>
            </w:r>
          </w:p>
        </w:tc>
        <w:tc>
          <w:tcPr>
            <w:tcW w:w="1414" w:type="dxa"/>
            <w:tcBorders>
              <w:top w:val="single" w:sz="4" w:space="0" w:color="000000"/>
              <w:bottom w:val="single" w:sz="4" w:space="0" w:color="000000"/>
            </w:tcBorders>
          </w:tcPr>
          <w:p>
            <w:pPr>
              <w:pStyle w:val="TableParagraph"/>
              <w:spacing w:line="268" w:lineRule="exact" w:before="0"/>
              <w:ind w:left="174"/>
              <w:rPr>
                <w:sz w:val="24"/>
              </w:rPr>
            </w:pPr>
            <w:r>
              <w:rPr>
                <w:spacing w:val="-5"/>
                <w:sz w:val="24"/>
              </w:rPr>
              <w:t>Cu</w:t>
            </w:r>
          </w:p>
        </w:tc>
        <w:tc>
          <w:tcPr>
            <w:tcW w:w="1488" w:type="dxa"/>
            <w:tcBorders>
              <w:top w:val="single" w:sz="4" w:space="0" w:color="000000"/>
              <w:bottom w:val="single" w:sz="4" w:space="0" w:color="000000"/>
            </w:tcBorders>
          </w:tcPr>
          <w:p>
            <w:pPr>
              <w:pStyle w:val="TableParagraph"/>
              <w:spacing w:line="268" w:lineRule="exact" w:before="0"/>
              <w:ind w:left="205"/>
              <w:rPr>
                <w:sz w:val="24"/>
              </w:rPr>
            </w:pPr>
            <w:r>
              <w:rPr>
                <w:spacing w:val="-5"/>
                <w:sz w:val="24"/>
              </w:rPr>
              <w:t>Ni</w:t>
            </w:r>
          </w:p>
        </w:tc>
        <w:tc>
          <w:tcPr>
            <w:tcW w:w="1572" w:type="dxa"/>
            <w:tcBorders>
              <w:top w:val="single" w:sz="4" w:space="0" w:color="000000"/>
              <w:bottom w:val="single" w:sz="4" w:space="0" w:color="000000"/>
            </w:tcBorders>
          </w:tcPr>
          <w:p>
            <w:pPr>
              <w:pStyle w:val="TableParagraph"/>
              <w:spacing w:line="268" w:lineRule="exact" w:before="0"/>
              <w:ind w:left="249"/>
              <w:rPr>
                <w:sz w:val="24"/>
              </w:rPr>
            </w:pPr>
            <w:r>
              <w:rPr>
                <w:spacing w:val="-5"/>
                <w:sz w:val="24"/>
              </w:rPr>
              <w:t>Pb</w:t>
            </w:r>
          </w:p>
        </w:tc>
        <w:tc>
          <w:tcPr>
            <w:tcW w:w="1455" w:type="dxa"/>
            <w:tcBorders>
              <w:top w:val="single" w:sz="4" w:space="0" w:color="000000"/>
              <w:bottom w:val="single" w:sz="4" w:space="0" w:color="000000"/>
            </w:tcBorders>
          </w:tcPr>
          <w:p>
            <w:pPr>
              <w:pStyle w:val="TableParagraph"/>
              <w:spacing w:line="268" w:lineRule="exact" w:before="0"/>
              <w:ind w:left="170"/>
              <w:rPr>
                <w:sz w:val="24"/>
              </w:rPr>
            </w:pPr>
            <w:r>
              <w:rPr>
                <w:spacing w:val="-5"/>
                <w:sz w:val="24"/>
              </w:rPr>
              <w:t>As</w:t>
            </w:r>
          </w:p>
        </w:tc>
      </w:tr>
      <w:tr>
        <w:trPr>
          <w:trHeight w:val="411" w:hRule="atLeast"/>
        </w:trPr>
        <w:tc>
          <w:tcPr>
            <w:tcW w:w="862" w:type="dxa"/>
            <w:tcBorders>
              <w:top w:val="single" w:sz="4" w:space="0" w:color="000000"/>
            </w:tcBorders>
          </w:tcPr>
          <w:p>
            <w:pPr>
              <w:pStyle w:val="TableParagraph"/>
              <w:spacing w:line="265" w:lineRule="exact" w:before="0"/>
              <w:ind w:left="117"/>
              <w:rPr>
                <w:rFonts w:ascii="Calibri"/>
                <w:sz w:val="22"/>
              </w:rPr>
            </w:pPr>
            <w:r>
              <w:rPr>
                <w:rFonts w:ascii="Calibri"/>
                <w:spacing w:val="-5"/>
                <w:sz w:val="22"/>
              </w:rPr>
              <w:t>NC</w:t>
            </w:r>
          </w:p>
        </w:tc>
        <w:tc>
          <w:tcPr>
            <w:tcW w:w="1413" w:type="dxa"/>
            <w:tcBorders>
              <w:top w:val="single" w:sz="4" w:space="0" w:color="000000"/>
            </w:tcBorders>
          </w:tcPr>
          <w:p>
            <w:pPr>
              <w:pStyle w:val="TableParagraph"/>
              <w:spacing w:line="268" w:lineRule="exact" w:before="0"/>
              <w:ind w:left="254"/>
              <w:rPr>
                <w:sz w:val="24"/>
              </w:rPr>
            </w:pPr>
            <w:r>
              <w:rPr>
                <w:spacing w:val="-2"/>
                <w:sz w:val="24"/>
              </w:rPr>
              <w:t>Kagara</w:t>
            </w:r>
          </w:p>
        </w:tc>
        <w:tc>
          <w:tcPr>
            <w:tcW w:w="1452" w:type="dxa"/>
            <w:tcBorders>
              <w:top w:val="single" w:sz="4" w:space="0" w:color="000000"/>
            </w:tcBorders>
          </w:tcPr>
          <w:p>
            <w:pPr>
              <w:pStyle w:val="TableParagraph"/>
              <w:spacing w:line="268" w:lineRule="exact" w:before="0"/>
              <w:ind w:left="243"/>
              <w:rPr>
                <w:sz w:val="24"/>
              </w:rPr>
            </w:pPr>
            <w:r>
              <w:rPr>
                <w:spacing w:val="-2"/>
                <w:sz w:val="24"/>
              </w:rPr>
              <w:t>7.08±1.80</w:t>
            </w:r>
          </w:p>
        </w:tc>
        <w:tc>
          <w:tcPr>
            <w:tcW w:w="1414" w:type="dxa"/>
            <w:tcBorders>
              <w:top w:val="single" w:sz="4" w:space="0" w:color="000000"/>
            </w:tcBorders>
          </w:tcPr>
          <w:p>
            <w:pPr>
              <w:pStyle w:val="TableParagraph"/>
              <w:spacing w:line="268" w:lineRule="exact" w:before="0"/>
              <w:ind w:left="174"/>
              <w:rPr>
                <w:sz w:val="24"/>
              </w:rPr>
            </w:pPr>
            <w:r>
              <w:rPr>
                <w:spacing w:val="-2"/>
                <w:sz w:val="24"/>
              </w:rPr>
              <w:t>6.61±3.38</w:t>
            </w:r>
          </w:p>
        </w:tc>
        <w:tc>
          <w:tcPr>
            <w:tcW w:w="1488" w:type="dxa"/>
            <w:tcBorders>
              <w:top w:val="single" w:sz="4" w:space="0" w:color="000000"/>
            </w:tcBorders>
          </w:tcPr>
          <w:p>
            <w:pPr>
              <w:pStyle w:val="TableParagraph"/>
              <w:spacing w:line="268" w:lineRule="exact" w:before="0"/>
              <w:ind w:left="205"/>
              <w:rPr>
                <w:sz w:val="24"/>
              </w:rPr>
            </w:pPr>
            <w:r>
              <w:rPr>
                <w:spacing w:val="-2"/>
                <w:sz w:val="24"/>
              </w:rPr>
              <w:t>0.83±0.11</w:t>
            </w:r>
          </w:p>
        </w:tc>
        <w:tc>
          <w:tcPr>
            <w:tcW w:w="1572" w:type="dxa"/>
            <w:tcBorders>
              <w:top w:val="single" w:sz="4" w:space="0" w:color="000000"/>
            </w:tcBorders>
          </w:tcPr>
          <w:p>
            <w:pPr>
              <w:pStyle w:val="TableParagraph"/>
              <w:spacing w:line="268" w:lineRule="exact" w:before="0"/>
              <w:ind w:left="249"/>
              <w:rPr>
                <w:sz w:val="24"/>
              </w:rPr>
            </w:pPr>
            <w:r>
              <w:rPr>
                <w:spacing w:val="-2"/>
                <w:sz w:val="24"/>
              </w:rPr>
              <w:t>5.82±1.92*</w:t>
            </w:r>
          </w:p>
        </w:tc>
        <w:tc>
          <w:tcPr>
            <w:tcW w:w="1455" w:type="dxa"/>
            <w:tcBorders>
              <w:top w:val="single" w:sz="4" w:space="0" w:color="000000"/>
            </w:tcBorders>
          </w:tcPr>
          <w:p>
            <w:pPr>
              <w:pStyle w:val="TableParagraph"/>
              <w:spacing w:line="268" w:lineRule="exact" w:before="0"/>
              <w:ind w:left="170"/>
              <w:rPr>
                <w:sz w:val="24"/>
              </w:rPr>
            </w:pPr>
            <w:r>
              <w:rPr>
                <w:spacing w:val="-2"/>
                <w:sz w:val="24"/>
              </w:rPr>
              <w:t>0.33±0.04</w:t>
            </w:r>
          </w:p>
        </w:tc>
      </w:tr>
      <w:tr>
        <w:trPr>
          <w:trHeight w:val="552" w:hRule="atLeast"/>
        </w:trPr>
        <w:tc>
          <w:tcPr>
            <w:tcW w:w="862" w:type="dxa"/>
          </w:tcPr>
          <w:p>
            <w:pPr>
              <w:pStyle w:val="TableParagraph"/>
              <w:spacing w:before="0"/>
              <w:rPr>
                <w:sz w:val="22"/>
              </w:rPr>
            </w:pPr>
          </w:p>
        </w:tc>
        <w:tc>
          <w:tcPr>
            <w:tcW w:w="1413" w:type="dxa"/>
          </w:tcPr>
          <w:p>
            <w:pPr>
              <w:pStyle w:val="TableParagraph"/>
              <w:ind w:left="254"/>
              <w:rPr>
                <w:sz w:val="24"/>
              </w:rPr>
            </w:pPr>
            <w:r>
              <w:rPr>
                <w:spacing w:val="-2"/>
                <w:sz w:val="24"/>
              </w:rPr>
              <w:t>Zungeru</w:t>
            </w:r>
          </w:p>
        </w:tc>
        <w:tc>
          <w:tcPr>
            <w:tcW w:w="1452" w:type="dxa"/>
          </w:tcPr>
          <w:p>
            <w:pPr>
              <w:pStyle w:val="TableParagraph"/>
              <w:ind w:left="243"/>
              <w:rPr>
                <w:sz w:val="24"/>
              </w:rPr>
            </w:pPr>
            <w:r>
              <w:rPr>
                <w:sz w:val="24"/>
              </w:rPr>
              <w:t>5.20±</w:t>
            </w:r>
            <w:r>
              <w:rPr>
                <w:spacing w:val="2"/>
                <w:sz w:val="24"/>
              </w:rPr>
              <w:t> </w:t>
            </w:r>
            <w:r>
              <w:rPr>
                <w:spacing w:val="-4"/>
                <w:sz w:val="24"/>
              </w:rPr>
              <w:t>1.64</w:t>
            </w:r>
          </w:p>
        </w:tc>
        <w:tc>
          <w:tcPr>
            <w:tcW w:w="1414" w:type="dxa"/>
          </w:tcPr>
          <w:p>
            <w:pPr>
              <w:pStyle w:val="TableParagraph"/>
              <w:ind w:left="174"/>
              <w:rPr>
                <w:sz w:val="24"/>
              </w:rPr>
            </w:pPr>
            <w:r>
              <w:rPr>
                <w:sz w:val="24"/>
              </w:rPr>
              <w:t>4.57±</w:t>
            </w:r>
            <w:r>
              <w:rPr>
                <w:spacing w:val="2"/>
                <w:sz w:val="24"/>
              </w:rPr>
              <w:t> </w:t>
            </w:r>
            <w:r>
              <w:rPr>
                <w:spacing w:val="-4"/>
                <w:sz w:val="24"/>
              </w:rPr>
              <w:t>0.21</w:t>
            </w:r>
          </w:p>
        </w:tc>
        <w:tc>
          <w:tcPr>
            <w:tcW w:w="1488" w:type="dxa"/>
          </w:tcPr>
          <w:p>
            <w:pPr>
              <w:pStyle w:val="TableParagraph"/>
              <w:ind w:left="205"/>
              <w:rPr>
                <w:sz w:val="24"/>
              </w:rPr>
            </w:pPr>
            <w:r>
              <w:rPr>
                <w:sz w:val="24"/>
              </w:rPr>
              <w:t>0.81±</w:t>
            </w:r>
            <w:r>
              <w:rPr>
                <w:spacing w:val="2"/>
                <w:sz w:val="24"/>
              </w:rPr>
              <w:t> </w:t>
            </w:r>
            <w:r>
              <w:rPr>
                <w:spacing w:val="-4"/>
                <w:sz w:val="24"/>
              </w:rPr>
              <w:t>0.01</w:t>
            </w:r>
          </w:p>
        </w:tc>
        <w:tc>
          <w:tcPr>
            <w:tcW w:w="1572" w:type="dxa"/>
          </w:tcPr>
          <w:p>
            <w:pPr>
              <w:pStyle w:val="TableParagraph"/>
              <w:ind w:left="249"/>
              <w:rPr>
                <w:sz w:val="24"/>
              </w:rPr>
            </w:pPr>
            <w:r>
              <w:rPr>
                <w:spacing w:val="-2"/>
                <w:sz w:val="24"/>
              </w:rPr>
              <w:t>4.42±0.02</w:t>
            </w:r>
          </w:p>
        </w:tc>
        <w:tc>
          <w:tcPr>
            <w:tcW w:w="1455" w:type="dxa"/>
          </w:tcPr>
          <w:p>
            <w:pPr>
              <w:pStyle w:val="TableParagraph"/>
              <w:ind w:left="170"/>
              <w:rPr>
                <w:sz w:val="24"/>
              </w:rPr>
            </w:pPr>
            <w:r>
              <w:rPr>
                <w:sz w:val="24"/>
              </w:rPr>
              <w:t>0.31±</w:t>
            </w:r>
            <w:r>
              <w:rPr>
                <w:spacing w:val="2"/>
                <w:sz w:val="24"/>
              </w:rPr>
              <w:t> </w:t>
            </w:r>
            <w:r>
              <w:rPr>
                <w:spacing w:val="-4"/>
                <w:sz w:val="24"/>
              </w:rPr>
              <w:t>0.54</w:t>
            </w:r>
          </w:p>
        </w:tc>
      </w:tr>
      <w:tr>
        <w:trPr>
          <w:trHeight w:val="552" w:hRule="atLeast"/>
        </w:trPr>
        <w:tc>
          <w:tcPr>
            <w:tcW w:w="862" w:type="dxa"/>
          </w:tcPr>
          <w:p>
            <w:pPr>
              <w:pStyle w:val="TableParagraph"/>
              <w:spacing w:before="138"/>
              <w:ind w:left="117"/>
              <w:rPr>
                <w:rFonts w:ascii="Calibri"/>
                <w:sz w:val="22"/>
              </w:rPr>
            </w:pPr>
            <w:r>
              <w:rPr>
                <w:rFonts w:ascii="Calibri"/>
                <w:spacing w:val="-5"/>
                <w:sz w:val="22"/>
              </w:rPr>
              <w:t>NW</w:t>
            </w:r>
          </w:p>
        </w:tc>
        <w:tc>
          <w:tcPr>
            <w:tcW w:w="1413" w:type="dxa"/>
          </w:tcPr>
          <w:p>
            <w:pPr>
              <w:pStyle w:val="TableParagraph"/>
              <w:ind w:left="254"/>
              <w:rPr>
                <w:sz w:val="24"/>
              </w:rPr>
            </w:pPr>
            <w:r>
              <w:rPr>
                <w:spacing w:val="-2"/>
                <w:sz w:val="24"/>
              </w:rPr>
              <w:t>Gusau</w:t>
            </w:r>
          </w:p>
        </w:tc>
        <w:tc>
          <w:tcPr>
            <w:tcW w:w="1452" w:type="dxa"/>
          </w:tcPr>
          <w:p>
            <w:pPr>
              <w:pStyle w:val="TableParagraph"/>
              <w:ind w:left="243"/>
              <w:rPr>
                <w:sz w:val="24"/>
              </w:rPr>
            </w:pPr>
            <w:r>
              <w:rPr>
                <w:spacing w:val="-2"/>
                <w:sz w:val="24"/>
              </w:rPr>
              <w:t>6.08±0.11</w:t>
            </w:r>
          </w:p>
        </w:tc>
        <w:tc>
          <w:tcPr>
            <w:tcW w:w="1414" w:type="dxa"/>
          </w:tcPr>
          <w:p>
            <w:pPr>
              <w:pStyle w:val="TableParagraph"/>
              <w:ind w:left="174"/>
              <w:rPr>
                <w:sz w:val="24"/>
              </w:rPr>
            </w:pPr>
            <w:r>
              <w:rPr>
                <w:spacing w:val="-2"/>
                <w:sz w:val="24"/>
              </w:rPr>
              <w:t>3.86±2.51</w:t>
            </w:r>
          </w:p>
        </w:tc>
        <w:tc>
          <w:tcPr>
            <w:tcW w:w="1488" w:type="dxa"/>
          </w:tcPr>
          <w:p>
            <w:pPr>
              <w:pStyle w:val="TableParagraph"/>
              <w:ind w:left="205"/>
              <w:rPr>
                <w:sz w:val="24"/>
              </w:rPr>
            </w:pPr>
            <w:r>
              <w:rPr>
                <w:spacing w:val="-2"/>
                <w:sz w:val="24"/>
              </w:rPr>
              <w:t>0.55±0.12</w:t>
            </w:r>
          </w:p>
        </w:tc>
        <w:tc>
          <w:tcPr>
            <w:tcW w:w="1572" w:type="dxa"/>
          </w:tcPr>
          <w:p>
            <w:pPr>
              <w:pStyle w:val="TableParagraph"/>
              <w:ind w:left="249"/>
              <w:rPr>
                <w:sz w:val="24"/>
              </w:rPr>
            </w:pPr>
            <w:r>
              <w:rPr>
                <w:spacing w:val="-2"/>
                <w:sz w:val="24"/>
              </w:rPr>
              <w:t>4.02±1.96</w:t>
            </w:r>
          </w:p>
        </w:tc>
        <w:tc>
          <w:tcPr>
            <w:tcW w:w="1455" w:type="dxa"/>
          </w:tcPr>
          <w:p>
            <w:pPr>
              <w:pStyle w:val="TableParagraph"/>
              <w:ind w:left="170"/>
              <w:rPr>
                <w:sz w:val="24"/>
              </w:rPr>
            </w:pPr>
            <w:r>
              <w:rPr>
                <w:spacing w:val="-2"/>
                <w:sz w:val="24"/>
              </w:rPr>
              <w:t>0.28±2.14</w:t>
            </w:r>
          </w:p>
        </w:tc>
      </w:tr>
      <w:tr>
        <w:trPr>
          <w:trHeight w:val="552" w:hRule="atLeast"/>
        </w:trPr>
        <w:tc>
          <w:tcPr>
            <w:tcW w:w="862" w:type="dxa"/>
          </w:tcPr>
          <w:p>
            <w:pPr>
              <w:pStyle w:val="TableParagraph"/>
              <w:spacing w:before="0"/>
              <w:rPr>
                <w:sz w:val="22"/>
              </w:rPr>
            </w:pPr>
          </w:p>
        </w:tc>
        <w:tc>
          <w:tcPr>
            <w:tcW w:w="1413" w:type="dxa"/>
          </w:tcPr>
          <w:p>
            <w:pPr>
              <w:pStyle w:val="TableParagraph"/>
              <w:ind w:left="254"/>
              <w:rPr>
                <w:sz w:val="24"/>
              </w:rPr>
            </w:pPr>
            <w:r>
              <w:rPr>
                <w:spacing w:val="-4"/>
                <w:sz w:val="24"/>
              </w:rPr>
              <w:t>Anka</w:t>
            </w:r>
          </w:p>
        </w:tc>
        <w:tc>
          <w:tcPr>
            <w:tcW w:w="1452" w:type="dxa"/>
          </w:tcPr>
          <w:p>
            <w:pPr>
              <w:pStyle w:val="TableParagraph"/>
              <w:ind w:left="243"/>
              <w:rPr>
                <w:sz w:val="24"/>
              </w:rPr>
            </w:pPr>
            <w:r>
              <w:rPr>
                <w:spacing w:val="-2"/>
                <w:sz w:val="24"/>
              </w:rPr>
              <w:t>6.80±0.65</w:t>
            </w:r>
          </w:p>
        </w:tc>
        <w:tc>
          <w:tcPr>
            <w:tcW w:w="1414" w:type="dxa"/>
          </w:tcPr>
          <w:p>
            <w:pPr>
              <w:pStyle w:val="TableParagraph"/>
              <w:ind w:left="174"/>
              <w:rPr>
                <w:sz w:val="24"/>
              </w:rPr>
            </w:pPr>
            <w:r>
              <w:rPr>
                <w:spacing w:val="-2"/>
                <w:sz w:val="24"/>
              </w:rPr>
              <w:t>6.21±0.65</w:t>
            </w:r>
          </w:p>
        </w:tc>
        <w:tc>
          <w:tcPr>
            <w:tcW w:w="1488" w:type="dxa"/>
          </w:tcPr>
          <w:p>
            <w:pPr>
              <w:pStyle w:val="TableParagraph"/>
              <w:ind w:left="205"/>
              <w:rPr>
                <w:sz w:val="24"/>
              </w:rPr>
            </w:pPr>
            <w:r>
              <w:rPr>
                <w:sz w:val="24"/>
              </w:rPr>
              <w:t>0.67±</w:t>
            </w:r>
            <w:r>
              <w:rPr>
                <w:spacing w:val="2"/>
                <w:sz w:val="24"/>
              </w:rPr>
              <w:t> </w:t>
            </w:r>
            <w:r>
              <w:rPr>
                <w:spacing w:val="-4"/>
                <w:sz w:val="24"/>
              </w:rPr>
              <w:t>0.20</w:t>
            </w:r>
          </w:p>
        </w:tc>
        <w:tc>
          <w:tcPr>
            <w:tcW w:w="1572" w:type="dxa"/>
          </w:tcPr>
          <w:p>
            <w:pPr>
              <w:pStyle w:val="TableParagraph"/>
              <w:ind w:left="249"/>
              <w:rPr>
                <w:sz w:val="24"/>
              </w:rPr>
            </w:pPr>
            <w:r>
              <w:rPr>
                <w:sz w:val="24"/>
              </w:rPr>
              <w:t>6.53± </w:t>
            </w:r>
            <w:r>
              <w:rPr>
                <w:spacing w:val="-2"/>
                <w:sz w:val="24"/>
              </w:rPr>
              <w:t>0.03*</w:t>
            </w:r>
          </w:p>
        </w:tc>
        <w:tc>
          <w:tcPr>
            <w:tcW w:w="1455" w:type="dxa"/>
          </w:tcPr>
          <w:p>
            <w:pPr>
              <w:pStyle w:val="TableParagraph"/>
              <w:ind w:left="170"/>
              <w:rPr>
                <w:sz w:val="24"/>
              </w:rPr>
            </w:pPr>
            <w:r>
              <w:rPr>
                <w:sz w:val="24"/>
              </w:rPr>
              <w:t>0.28±</w:t>
            </w:r>
            <w:r>
              <w:rPr>
                <w:spacing w:val="2"/>
                <w:sz w:val="24"/>
              </w:rPr>
              <w:t> </w:t>
            </w:r>
            <w:r>
              <w:rPr>
                <w:spacing w:val="-4"/>
                <w:sz w:val="24"/>
              </w:rPr>
              <w:t>0.12</w:t>
            </w:r>
          </w:p>
        </w:tc>
      </w:tr>
      <w:tr>
        <w:trPr>
          <w:trHeight w:val="552" w:hRule="atLeast"/>
        </w:trPr>
        <w:tc>
          <w:tcPr>
            <w:tcW w:w="862" w:type="dxa"/>
          </w:tcPr>
          <w:p>
            <w:pPr>
              <w:pStyle w:val="TableParagraph"/>
              <w:spacing w:before="138"/>
              <w:ind w:left="117"/>
              <w:rPr>
                <w:rFonts w:ascii="Calibri"/>
                <w:sz w:val="22"/>
              </w:rPr>
            </w:pPr>
            <w:r>
              <w:rPr>
                <w:rFonts w:ascii="Calibri"/>
                <w:spacing w:val="-5"/>
                <w:sz w:val="22"/>
              </w:rPr>
              <w:t>NE</w:t>
            </w:r>
          </w:p>
        </w:tc>
        <w:tc>
          <w:tcPr>
            <w:tcW w:w="1413" w:type="dxa"/>
          </w:tcPr>
          <w:p>
            <w:pPr>
              <w:pStyle w:val="TableParagraph"/>
              <w:ind w:left="254"/>
              <w:rPr>
                <w:sz w:val="24"/>
              </w:rPr>
            </w:pPr>
            <w:r>
              <w:rPr>
                <w:spacing w:val="-2"/>
                <w:sz w:val="24"/>
              </w:rPr>
              <w:t>Konduga</w:t>
            </w:r>
          </w:p>
        </w:tc>
        <w:tc>
          <w:tcPr>
            <w:tcW w:w="1452" w:type="dxa"/>
          </w:tcPr>
          <w:p>
            <w:pPr>
              <w:pStyle w:val="TableParagraph"/>
              <w:ind w:left="243"/>
              <w:rPr>
                <w:sz w:val="24"/>
              </w:rPr>
            </w:pPr>
            <w:r>
              <w:rPr>
                <w:spacing w:val="-2"/>
                <w:sz w:val="24"/>
              </w:rPr>
              <w:t>6.26±4.86</w:t>
            </w:r>
          </w:p>
        </w:tc>
        <w:tc>
          <w:tcPr>
            <w:tcW w:w="1414" w:type="dxa"/>
          </w:tcPr>
          <w:p>
            <w:pPr>
              <w:pStyle w:val="TableParagraph"/>
              <w:ind w:left="174"/>
              <w:rPr>
                <w:sz w:val="24"/>
              </w:rPr>
            </w:pPr>
            <w:r>
              <w:rPr>
                <w:spacing w:val="-2"/>
                <w:sz w:val="24"/>
              </w:rPr>
              <w:t>3.60±1.00</w:t>
            </w:r>
          </w:p>
        </w:tc>
        <w:tc>
          <w:tcPr>
            <w:tcW w:w="1488" w:type="dxa"/>
          </w:tcPr>
          <w:p>
            <w:pPr>
              <w:pStyle w:val="TableParagraph"/>
              <w:ind w:left="205"/>
              <w:rPr>
                <w:sz w:val="24"/>
              </w:rPr>
            </w:pPr>
            <w:r>
              <w:rPr>
                <w:spacing w:val="-2"/>
                <w:sz w:val="24"/>
              </w:rPr>
              <w:t>0.66±0.10</w:t>
            </w:r>
          </w:p>
        </w:tc>
        <w:tc>
          <w:tcPr>
            <w:tcW w:w="1572" w:type="dxa"/>
          </w:tcPr>
          <w:p>
            <w:pPr>
              <w:pStyle w:val="TableParagraph"/>
              <w:ind w:left="249"/>
              <w:rPr>
                <w:sz w:val="24"/>
              </w:rPr>
            </w:pPr>
            <w:r>
              <w:rPr>
                <w:spacing w:val="-2"/>
                <w:sz w:val="24"/>
              </w:rPr>
              <w:t>3.06±1.06</w:t>
            </w:r>
          </w:p>
        </w:tc>
        <w:tc>
          <w:tcPr>
            <w:tcW w:w="1455" w:type="dxa"/>
          </w:tcPr>
          <w:p>
            <w:pPr>
              <w:pStyle w:val="TableParagraph"/>
              <w:ind w:left="170"/>
              <w:rPr>
                <w:sz w:val="24"/>
              </w:rPr>
            </w:pPr>
            <w:r>
              <w:rPr>
                <w:spacing w:val="-5"/>
                <w:sz w:val="24"/>
              </w:rPr>
              <w:t>Nd</w:t>
            </w:r>
          </w:p>
        </w:tc>
      </w:tr>
      <w:tr>
        <w:trPr>
          <w:trHeight w:val="551" w:hRule="atLeast"/>
        </w:trPr>
        <w:tc>
          <w:tcPr>
            <w:tcW w:w="862" w:type="dxa"/>
          </w:tcPr>
          <w:p>
            <w:pPr>
              <w:pStyle w:val="TableParagraph"/>
              <w:spacing w:before="0"/>
              <w:rPr>
                <w:sz w:val="22"/>
              </w:rPr>
            </w:pPr>
          </w:p>
        </w:tc>
        <w:tc>
          <w:tcPr>
            <w:tcW w:w="1413" w:type="dxa"/>
          </w:tcPr>
          <w:p>
            <w:pPr>
              <w:pStyle w:val="TableParagraph"/>
              <w:ind w:left="254"/>
              <w:rPr>
                <w:sz w:val="24"/>
              </w:rPr>
            </w:pPr>
            <w:r>
              <w:rPr>
                <w:spacing w:val="-4"/>
                <w:sz w:val="24"/>
              </w:rPr>
              <w:t>Bama</w:t>
            </w:r>
          </w:p>
        </w:tc>
        <w:tc>
          <w:tcPr>
            <w:tcW w:w="1452" w:type="dxa"/>
          </w:tcPr>
          <w:p>
            <w:pPr>
              <w:pStyle w:val="TableParagraph"/>
              <w:ind w:left="243"/>
              <w:rPr>
                <w:sz w:val="24"/>
              </w:rPr>
            </w:pPr>
            <w:r>
              <w:rPr>
                <w:spacing w:val="-2"/>
                <w:sz w:val="24"/>
              </w:rPr>
              <w:t>4.80±1.06</w:t>
            </w:r>
          </w:p>
        </w:tc>
        <w:tc>
          <w:tcPr>
            <w:tcW w:w="1414" w:type="dxa"/>
          </w:tcPr>
          <w:p>
            <w:pPr>
              <w:pStyle w:val="TableParagraph"/>
              <w:ind w:left="174"/>
              <w:rPr>
                <w:sz w:val="24"/>
              </w:rPr>
            </w:pPr>
            <w:r>
              <w:rPr>
                <w:spacing w:val="-2"/>
                <w:sz w:val="24"/>
              </w:rPr>
              <w:t>3.20±0.32</w:t>
            </w:r>
          </w:p>
        </w:tc>
        <w:tc>
          <w:tcPr>
            <w:tcW w:w="1488" w:type="dxa"/>
          </w:tcPr>
          <w:p>
            <w:pPr>
              <w:pStyle w:val="TableParagraph"/>
              <w:ind w:left="205"/>
              <w:rPr>
                <w:sz w:val="24"/>
              </w:rPr>
            </w:pPr>
            <w:r>
              <w:rPr>
                <w:spacing w:val="-2"/>
                <w:sz w:val="24"/>
              </w:rPr>
              <w:t>0.61±0.02</w:t>
            </w:r>
          </w:p>
        </w:tc>
        <w:tc>
          <w:tcPr>
            <w:tcW w:w="1572" w:type="dxa"/>
          </w:tcPr>
          <w:p>
            <w:pPr>
              <w:pStyle w:val="TableParagraph"/>
              <w:ind w:left="249"/>
              <w:rPr>
                <w:sz w:val="24"/>
              </w:rPr>
            </w:pPr>
            <w:r>
              <w:rPr>
                <w:spacing w:val="-2"/>
                <w:sz w:val="24"/>
              </w:rPr>
              <w:t>3.80±0.03</w:t>
            </w:r>
          </w:p>
        </w:tc>
        <w:tc>
          <w:tcPr>
            <w:tcW w:w="1455" w:type="dxa"/>
          </w:tcPr>
          <w:p>
            <w:pPr>
              <w:pStyle w:val="TableParagraph"/>
              <w:ind w:left="170"/>
              <w:rPr>
                <w:sz w:val="24"/>
              </w:rPr>
            </w:pPr>
            <w:r>
              <w:rPr>
                <w:spacing w:val="-5"/>
                <w:sz w:val="24"/>
              </w:rPr>
              <w:t>nd</w:t>
            </w:r>
          </w:p>
        </w:tc>
      </w:tr>
      <w:tr>
        <w:trPr>
          <w:trHeight w:val="692" w:hRule="atLeast"/>
        </w:trPr>
        <w:tc>
          <w:tcPr>
            <w:tcW w:w="9656" w:type="dxa"/>
            <w:gridSpan w:val="7"/>
            <w:tcBorders>
              <w:bottom w:val="single" w:sz="4" w:space="0" w:color="000000"/>
            </w:tcBorders>
          </w:tcPr>
          <w:p>
            <w:pPr>
              <w:pStyle w:val="TableParagraph"/>
              <w:tabs>
                <w:tab w:pos="2751" w:val="left" w:leader="none"/>
                <w:tab w:pos="4131" w:val="left" w:leader="none"/>
                <w:tab w:pos="5684" w:val="left" w:leader="none"/>
                <w:tab w:pos="7241" w:val="left" w:leader="none"/>
                <w:tab w:pos="8981" w:val="right" w:leader="none"/>
              </w:tabs>
              <w:ind w:left="117"/>
              <w:rPr>
                <w:sz w:val="24"/>
              </w:rPr>
            </w:pPr>
            <w:r>
              <w:rPr>
                <w:sz w:val="24"/>
              </w:rPr>
              <w:t>MPL</w:t>
            </w:r>
            <w:r>
              <w:rPr>
                <w:spacing w:val="-6"/>
                <w:sz w:val="24"/>
              </w:rPr>
              <w:t> </w:t>
            </w:r>
            <w:r>
              <w:rPr>
                <w:spacing w:val="-2"/>
                <w:sz w:val="24"/>
              </w:rPr>
              <w:t>[E.U.(2007)]</w:t>
            </w:r>
            <w:r>
              <w:rPr>
                <w:sz w:val="24"/>
              </w:rPr>
              <w:tab/>
            </w:r>
            <w:r>
              <w:rPr>
                <w:spacing w:val="-4"/>
                <w:sz w:val="24"/>
              </w:rPr>
              <w:t>500.0</w:t>
            </w:r>
            <w:r>
              <w:rPr>
                <w:sz w:val="24"/>
              </w:rPr>
              <w:tab/>
            </w:r>
            <w:r>
              <w:rPr>
                <w:spacing w:val="-4"/>
                <w:sz w:val="24"/>
              </w:rPr>
              <w:t>100.0</w:t>
            </w:r>
            <w:r>
              <w:rPr>
                <w:sz w:val="24"/>
              </w:rPr>
              <w:tab/>
            </w:r>
            <w:r>
              <w:rPr>
                <w:spacing w:val="-5"/>
                <w:sz w:val="24"/>
              </w:rPr>
              <w:t>1.0</w:t>
            </w:r>
            <w:r>
              <w:rPr>
                <w:sz w:val="24"/>
              </w:rPr>
              <w:tab/>
            </w:r>
            <w:r>
              <w:rPr>
                <w:spacing w:val="-5"/>
                <w:sz w:val="24"/>
              </w:rPr>
              <w:t>5.0</w:t>
            </w:r>
            <w:r>
              <w:rPr>
                <w:sz w:val="24"/>
              </w:rPr>
              <w:tab/>
            </w:r>
            <w:r>
              <w:rPr>
                <w:spacing w:val="-5"/>
                <w:sz w:val="24"/>
              </w:rPr>
              <w:t>0.5</w:t>
            </w:r>
          </w:p>
        </w:tc>
      </w:tr>
    </w:tbl>
    <w:p>
      <w:pPr>
        <w:pStyle w:val="BodyText"/>
        <w:spacing w:line="360" w:lineRule="auto"/>
        <w:ind w:left="420" w:right="4485"/>
      </w:pPr>
      <w:r>
        <w:rPr/>
        <w:t>MPL</w:t>
      </w:r>
      <w:r>
        <w:rPr>
          <w:spacing w:val="-7"/>
        </w:rPr>
        <w:t> </w:t>
      </w:r>
      <w:r>
        <w:rPr/>
        <w:t>-Maximum</w:t>
      </w:r>
      <w:r>
        <w:rPr>
          <w:spacing w:val="-10"/>
        </w:rPr>
        <w:t> </w:t>
      </w:r>
      <w:r>
        <w:rPr/>
        <w:t>permissible</w:t>
      </w:r>
      <w:r>
        <w:rPr>
          <w:spacing w:val="-2"/>
        </w:rPr>
        <w:t> </w:t>
      </w:r>
      <w:r>
        <w:rPr/>
        <w:t>limit;</w:t>
      </w:r>
      <w:r>
        <w:rPr>
          <w:spacing w:val="-10"/>
        </w:rPr>
        <w:t> </w:t>
      </w:r>
      <w:r>
        <w:rPr/>
        <w:t>E.U</w:t>
      </w:r>
      <w:r>
        <w:rPr>
          <w:spacing w:val="-2"/>
        </w:rPr>
        <w:t> </w:t>
      </w:r>
      <w:r>
        <w:rPr/>
        <w:t>–European</w:t>
      </w:r>
      <w:r>
        <w:rPr>
          <w:spacing w:val="-10"/>
        </w:rPr>
        <w:t> </w:t>
      </w:r>
      <w:r>
        <w:rPr/>
        <w:t>union; NC- North central; NW-North west; NE- North east</w:t>
      </w:r>
    </w:p>
    <w:p>
      <w:pPr>
        <w:pStyle w:val="BodyText"/>
        <w:spacing w:line="360" w:lineRule="auto"/>
        <w:ind w:left="420" w:right="7993"/>
      </w:pPr>
      <w:r>
        <w:rPr/>
        <w:t>*(P&lt;0.05)</w:t>
      </w:r>
      <w:r>
        <w:rPr>
          <w:spacing w:val="-15"/>
        </w:rPr>
        <w:t> </w:t>
      </w:r>
      <w:r>
        <w:rPr/>
        <w:t>Significant Nd –Non detected</w:t>
      </w:r>
    </w:p>
    <w:p>
      <w:pPr>
        <w:spacing w:after="0" w:line="360" w:lineRule="auto"/>
        <w:sectPr>
          <w:pgSz w:w="12240" w:h="15840"/>
          <w:pgMar w:header="0" w:footer="1012" w:top="1360" w:bottom="1200" w:left="1020" w:right="720"/>
        </w:sectPr>
      </w:pPr>
    </w:p>
    <w:p>
      <w:pPr>
        <w:pStyle w:val="Heading2"/>
        <w:spacing w:before="72"/>
      </w:pPr>
      <w:r>
        <w:rPr/>
        <w:t>Appendix</w:t>
      </w:r>
      <w:r>
        <w:rPr>
          <w:spacing w:val="-3"/>
        </w:rPr>
        <w:t> </w:t>
      </w:r>
      <w:r>
        <w:rPr>
          <w:spacing w:val="-5"/>
        </w:rPr>
        <w:t>10</w:t>
      </w:r>
    </w:p>
    <w:p>
      <w:pPr>
        <w:pStyle w:val="BodyText"/>
        <w:spacing w:line="276" w:lineRule="auto" w:before="242" w:after="8"/>
        <w:ind w:left="420"/>
      </w:pPr>
      <w:r>
        <w:rPr/>
        <w:t>Mean</w:t>
      </w:r>
      <w:r>
        <w:rPr>
          <w:spacing w:val="40"/>
        </w:rPr>
        <w:t> </w:t>
      </w:r>
      <w:r>
        <w:rPr/>
        <w:t>concentration</w:t>
      </w:r>
      <w:r>
        <w:rPr>
          <w:spacing w:val="40"/>
        </w:rPr>
        <w:t> </w:t>
      </w:r>
      <w:r>
        <w:rPr/>
        <w:t>(mg/kg)</w:t>
      </w:r>
      <w:r>
        <w:rPr>
          <w:spacing w:val="40"/>
        </w:rPr>
        <w:t> </w:t>
      </w:r>
      <w:r>
        <w:rPr/>
        <w:t>of</w:t>
      </w:r>
      <w:r>
        <w:rPr>
          <w:spacing w:val="38"/>
        </w:rPr>
        <w:t> </w:t>
      </w:r>
      <w:r>
        <w:rPr/>
        <w:t>zinc,</w:t>
      </w:r>
      <w:r>
        <w:rPr>
          <w:spacing w:val="40"/>
        </w:rPr>
        <w:t> </w:t>
      </w:r>
      <w:r>
        <w:rPr/>
        <w:t>copper,</w:t>
      </w:r>
      <w:r>
        <w:rPr>
          <w:spacing w:val="40"/>
        </w:rPr>
        <w:t> </w:t>
      </w:r>
      <w:r>
        <w:rPr/>
        <w:t>nickel,</w:t>
      </w:r>
      <w:r>
        <w:rPr>
          <w:spacing w:val="40"/>
        </w:rPr>
        <w:t> </w:t>
      </w:r>
      <w:r>
        <w:rPr/>
        <w:t>lead</w:t>
      </w:r>
      <w:r>
        <w:rPr>
          <w:spacing w:val="40"/>
        </w:rPr>
        <w:t> </w:t>
      </w:r>
      <w:r>
        <w:rPr/>
        <w:t>and</w:t>
      </w:r>
      <w:r>
        <w:rPr>
          <w:spacing w:val="40"/>
        </w:rPr>
        <w:t> </w:t>
      </w:r>
      <w:r>
        <w:rPr/>
        <w:t>arsenic</w:t>
      </w:r>
      <w:r>
        <w:rPr>
          <w:spacing w:val="40"/>
        </w:rPr>
        <w:t> </w:t>
      </w:r>
      <w:r>
        <w:rPr/>
        <w:t>in</w:t>
      </w:r>
      <w:r>
        <w:rPr>
          <w:spacing w:val="40"/>
        </w:rPr>
        <w:t> </w:t>
      </w:r>
      <w:r>
        <w:rPr/>
        <w:t>manure</w:t>
      </w:r>
      <w:r>
        <w:rPr>
          <w:spacing w:val="40"/>
        </w:rPr>
        <w:t> </w:t>
      </w:r>
      <w:r>
        <w:rPr/>
        <w:t>samples</w:t>
      </w:r>
      <w:r>
        <w:rPr>
          <w:spacing w:val="40"/>
        </w:rPr>
        <w:t> </w:t>
      </w:r>
      <w:r>
        <w:rPr/>
        <w:t>in Northern Nigeria</w:t>
      </w: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3"/>
        <w:gridCol w:w="1283"/>
        <w:gridCol w:w="1484"/>
        <w:gridCol w:w="1370"/>
        <w:gridCol w:w="1369"/>
        <w:gridCol w:w="1370"/>
        <w:gridCol w:w="1462"/>
      </w:tblGrid>
      <w:tr>
        <w:trPr>
          <w:trHeight w:val="633" w:hRule="atLeast"/>
        </w:trPr>
        <w:tc>
          <w:tcPr>
            <w:tcW w:w="1253" w:type="dxa"/>
            <w:tcBorders>
              <w:top w:val="single" w:sz="4" w:space="0" w:color="000000"/>
              <w:bottom w:val="single" w:sz="4" w:space="0" w:color="000000"/>
            </w:tcBorders>
          </w:tcPr>
          <w:p>
            <w:pPr>
              <w:pStyle w:val="TableParagraph"/>
              <w:spacing w:line="268" w:lineRule="exact" w:before="0"/>
              <w:ind w:left="110"/>
              <w:rPr>
                <w:sz w:val="24"/>
              </w:rPr>
            </w:pPr>
            <w:r>
              <w:rPr>
                <w:spacing w:val="-2"/>
                <w:sz w:val="24"/>
              </w:rPr>
              <w:t>Sampling</w:t>
            </w:r>
          </w:p>
          <w:p>
            <w:pPr>
              <w:pStyle w:val="TableParagraph"/>
              <w:spacing w:before="41"/>
              <w:ind w:left="110"/>
              <w:rPr>
                <w:sz w:val="24"/>
              </w:rPr>
            </w:pPr>
            <w:r>
              <w:rPr>
                <w:spacing w:val="-2"/>
                <w:sz w:val="24"/>
              </w:rPr>
              <w:t>Areas</w:t>
            </w:r>
          </w:p>
        </w:tc>
        <w:tc>
          <w:tcPr>
            <w:tcW w:w="1283" w:type="dxa"/>
            <w:tcBorders>
              <w:top w:val="single" w:sz="4" w:space="0" w:color="000000"/>
              <w:bottom w:val="single" w:sz="4" w:space="0" w:color="000000"/>
            </w:tcBorders>
          </w:tcPr>
          <w:p>
            <w:pPr>
              <w:pStyle w:val="TableParagraph"/>
              <w:spacing w:line="268" w:lineRule="exact" w:before="0"/>
              <w:ind w:left="225"/>
              <w:rPr>
                <w:sz w:val="24"/>
              </w:rPr>
            </w:pPr>
            <w:r>
              <w:rPr>
                <w:spacing w:val="-2"/>
                <w:sz w:val="24"/>
              </w:rPr>
              <w:t>Manure</w:t>
            </w:r>
          </w:p>
        </w:tc>
        <w:tc>
          <w:tcPr>
            <w:tcW w:w="1484" w:type="dxa"/>
            <w:tcBorders>
              <w:top w:val="single" w:sz="4" w:space="0" w:color="000000"/>
              <w:bottom w:val="single" w:sz="4" w:space="0" w:color="000000"/>
            </w:tcBorders>
          </w:tcPr>
          <w:p>
            <w:pPr>
              <w:pStyle w:val="TableParagraph"/>
              <w:spacing w:line="268" w:lineRule="exact" w:before="0"/>
              <w:ind w:left="311"/>
              <w:rPr>
                <w:sz w:val="24"/>
              </w:rPr>
            </w:pPr>
            <w:r>
              <w:rPr>
                <w:spacing w:val="-5"/>
                <w:sz w:val="24"/>
              </w:rPr>
              <w:t>Zn</w:t>
            </w:r>
          </w:p>
        </w:tc>
        <w:tc>
          <w:tcPr>
            <w:tcW w:w="1370" w:type="dxa"/>
            <w:tcBorders>
              <w:top w:val="single" w:sz="4" w:space="0" w:color="000000"/>
              <w:bottom w:val="single" w:sz="4" w:space="0" w:color="000000"/>
            </w:tcBorders>
          </w:tcPr>
          <w:p>
            <w:pPr>
              <w:pStyle w:val="TableParagraph"/>
              <w:spacing w:line="268" w:lineRule="exact" w:before="0"/>
              <w:ind w:left="195"/>
              <w:rPr>
                <w:sz w:val="24"/>
              </w:rPr>
            </w:pPr>
            <w:r>
              <w:rPr>
                <w:spacing w:val="-5"/>
                <w:sz w:val="24"/>
              </w:rPr>
              <w:t>Cu</w:t>
            </w:r>
          </w:p>
        </w:tc>
        <w:tc>
          <w:tcPr>
            <w:tcW w:w="1369" w:type="dxa"/>
            <w:tcBorders>
              <w:top w:val="single" w:sz="4" w:space="0" w:color="000000"/>
              <w:bottom w:val="single" w:sz="4" w:space="0" w:color="000000"/>
            </w:tcBorders>
          </w:tcPr>
          <w:p>
            <w:pPr>
              <w:pStyle w:val="TableParagraph"/>
              <w:spacing w:line="268" w:lineRule="exact" w:before="0"/>
              <w:ind w:left="194"/>
              <w:rPr>
                <w:sz w:val="24"/>
              </w:rPr>
            </w:pPr>
            <w:r>
              <w:rPr>
                <w:spacing w:val="-5"/>
                <w:sz w:val="24"/>
              </w:rPr>
              <w:t>Ni</w:t>
            </w:r>
          </w:p>
        </w:tc>
        <w:tc>
          <w:tcPr>
            <w:tcW w:w="1370" w:type="dxa"/>
            <w:tcBorders>
              <w:top w:val="single" w:sz="4" w:space="0" w:color="000000"/>
              <w:bottom w:val="single" w:sz="4" w:space="0" w:color="000000"/>
            </w:tcBorders>
          </w:tcPr>
          <w:p>
            <w:pPr>
              <w:pStyle w:val="TableParagraph"/>
              <w:spacing w:line="268" w:lineRule="exact" w:before="0"/>
              <w:ind w:left="193"/>
              <w:rPr>
                <w:sz w:val="24"/>
              </w:rPr>
            </w:pPr>
            <w:r>
              <w:rPr>
                <w:spacing w:val="-5"/>
                <w:sz w:val="24"/>
              </w:rPr>
              <w:t>Pb</w:t>
            </w:r>
          </w:p>
        </w:tc>
        <w:tc>
          <w:tcPr>
            <w:tcW w:w="1462" w:type="dxa"/>
            <w:tcBorders>
              <w:top w:val="single" w:sz="4" w:space="0" w:color="000000"/>
              <w:bottom w:val="single" w:sz="4" w:space="0" w:color="000000"/>
            </w:tcBorders>
          </w:tcPr>
          <w:p>
            <w:pPr>
              <w:pStyle w:val="TableParagraph"/>
              <w:spacing w:line="268" w:lineRule="exact" w:before="0"/>
              <w:ind w:left="192"/>
              <w:rPr>
                <w:sz w:val="24"/>
              </w:rPr>
            </w:pPr>
            <w:r>
              <w:rPr>
                <w:spacing w:val="-5"/>
                <w:sz w:val="24"/>
              </w:rPr>
              <w:t>As</w:t>
            </w:r>
          </w:p>
        </w:tc>
      </w:tr>
      <w:tr>
        <w:trPr>
          <w:trHeight w:val="410" w:hRule="atLeast"/>
        </w:trPr>
        <w:tc>
          <w:tcPr>
            <w:tcW w:w="1253" w:type="dxa"/>
            <w:tcBorders>
              <w:top w:val="single" w:sz="4" w:space="0" w:color="000000"/>
            </w:tcBorders>
          </w:tcPr>
          <w:p>
            <w:pPr>
              <w:pStyle w:val="TableParagraph"/>
              <w:spacing w:line="268" w:lineRule="exact" w:before="0"/>
              <w:ind w:left="110"/>
              <w:rPr>
                <w:sz w:val="24"/>
              </w:rPr>
            </w:pPr>
            <w:r>
              <w:rPr>
                <w:spacing w:val="-2"/>
                <w:sz w:val="24"/>
              </w:rPr>
              <w:t>Kagara</w:t>
            </w:r>
          </w:p>
        </w:tc>
        <w:tc>
          <w:tcPr>
            <w:tcW w:w="1283" w:type="dxa"/>
            <w:tcBorders>
              <w:top w:val="single" w:sz="4" w:space="0" w:color="000000"/>
            </w:tcBorders>
          </w:tcPr>
          <w:p>
            <w:pPr>
              <w:pStyle w:val="TableParagraph"/>
              <w:spacing w:line="268" w:lineRule="exact" w:before="0"/>
              <w:ind w:left="225"/>
              <w:rPr>
                <w:sz w:val="24"/>
              </w:rPr>
            </w:pPr>
            <w:r>
              <w:rPr>
                <w:spacing w:val="-2"/>
                <w:sz w:val="24"/>
              </w:rPr>
              <w:t>Poultry</w:t>
            </w:r>
          </w:p>
        </w:tc>
        <w:tc>
          <w:tcPr>
            <w:tcW w:w="1484" w:type="dxa"/>
            <w:tcBorders>
              <w:top w:val="single" w:sz="4" w:space="0" w:color="000000"/>
            </w:tcBorders>
          </w:tcPr>
          <w:p>
            <w:pPr>
              <w:pStyle w:val="TableParagraph"/>
              <w:spacing w:line="268" w:lineRule="exact" w:before="0"/>
              <w:ind w:left="311"/>
              <w:rPr>
                <w:sz w:val="24"/>
              </w:rPr>
            </w:pPr>
            <w:r>
              <w:rPr>
                <w:spacing w:val="-2"/>
                <w:sz w:val="24"/>
              </w:rPr>
              <w:t>4.15±0.02</w:t>
            </w:r>
          </w:p>
        </w:tc>
        <w:tc>
          <w:tcPr>
            <w:tcW w:w="1370" w:type="dxa"/>
            <w:tcBorders>
              <w:top w:val="single" w:sz="4" w:space="0" w:color="000000"/>
            </w:tcBorders>
          </w:tcPr>
          <w:p>
            <w:pPr>
              <w:pStyle w:val="TableParagraph"/>
              <w:spacing w:line="268" w:lineRule="exact" w:before="0"/>
              <w:ind w:left="195"/>
              <w:rPr>
                <w:sz w:val="24"/>
              </w:rPr>
            </w:pPr>
            <w:r>
              <w:rPr>
                <w:spacing w:val="-2"/>
                <w:sz w:val="24"/>
              </w:rPr>
              <w:t>2.86±0.08</w:t>
            </w:r>
          </w:p>
        </w:tc>
        <w:tc>
          <w:tcPr>
            <w:tcW w:w="1369" w:type="dxa"/>
            <w:tcBorders>
              <w:top w:val="single" w:sz="4" w:space="0" w:color="000000"/>
            </w:tcBorders>
          </w:tcPr>
          <w:p>
            <w:pPr>
              <w:pStyle w:val="TableParagraph"/>
              <w:spacing w:line="268" w:lineRule="exact" w:before="0"/>
              <w:ind w:left="194"/>
              <w:rPr>
                <w:sz w:val="24"/>
              </w:rPr>
            </w:pPr>
            <w:r>
              <w:rPr>
                <w:spacing w:val="-2"/>
                <w:sz w:val="24"/>
              </w:rPr>
              <w:t>0.06±0.02</w:t>
            </w:r>
          </w:p>
        </w:tc>
        <w:tc>
          <w:tcPr>
            <w:tcW w:w="1370" w:type="dxa"/>
            <w:tcBorders>
              <w:top w:val="single" w:sz="4" w:space="0" w:color="000000"/>
            </w:tcBorders>
          </w:tcPr>
          <w:p>
            <w:pPr>
              <w:pStyle w:val="TableParagraph"/>
              <w:spacing w:line="268" w:lineRule="exact" w:before="0"/>
              <w:ind w:left="193"/>
              <w:rPr>
                <w:sz w:val="24"/>
              </w:rPr>
            </w:pPr>
            <w:r>
              <w:rPr>
                <w:spacing w:val="-2"/>
                <w:sz w:val="24"/>
              </w:rPr>
              <w:t>0.25±1.01</w:t>
            </w:r>
          </w:p>
        </w:tc>
        <w:tc>
          <w:tcPr>
            <w:tcW w:w="1462" w:type="dxa"/>
            <w:tcBorders>
              <w:top w:val="single" w:sz="4" w:space="0" w:color="000000"/>
            </w:tcBorders>
          </w:tcPr>
          <w:p>
            <w:pPr>
              <w:pStyle w:val="TableParagraph"/>
              <w:spacing w:line="268" w:lineRule="exact" w:before="0"/>
              <w:ind w:left="192"/>
              <w:rPr>
                <w:sz w:val="24"/>
              </w:rPr>
            </w:pPr>
            <w:r>
              <w:rPr>
                <w:spacing w:val="-2"/>
                <w:sz w:val="24"/>
              </w:rPr>
              <w:t>0.01±0.01</w:t>
            </w:r>
          </w:p>
        </w:tc>
      </w:tr>
      <w:tr>
        <w:trPr>
          <w:trHeight w:val="552" w:hRule="atLeast"/>
        </w:trPr>
        <w:tc>
          <w:tcPr>
            <w:tcW w:w="1253" w:type="dxa"/>
          </w:tcPr>
          <w:p>
            <w:pPr>
              <w:pStyle w:val="TableParagraph"/>
              <w:spacing w:before="0"/>
              <w:rPr>
                <w:sz w:val="24"/>
              </w:rPr>
            </w:pPr>
          </w:p>
        </w:tc>
        <w:tc>
          <w:tcPr>
            <w:tcW w:w="1283" w:type="dxa"/>
          </w:tcPr>
          <w:p>
            <w:pPr>
              <w:pStyle w:val="TableParagraph"/>
              <w:ind w:left="225"/>
              <w:rPr>
                <w:sz w:val="24"/>
              </w:rPr>
            </w:pPr>
            <w:r>
              <w:rPr>
                <w:spacing w:val="-2"/>
                <w:sz w:val="24"/>
              </w:rPr>
              <w:t>Cattle</w:t>
            </w:r>
          </w:p>
        </w:tc>
        <w:tc>
          <w:tcPr>
            <w:tcW w:w="1484" w:type="dxa"/>
          </w:tcPr>
          <w:p>
            <w:pPr>
              <w:pStyle w:val="TableParagraph"/>
              <w:ind w:left="311"/>
              <w:rPr>
                <w:sz w:val="24"/>
              </w:rPr>
            </w:pPr>
            <w:r>
              <w:rPr>
                <w:spacing w:val="-2"/>
                <w:sz w:val="24"/>
              </w:rPr>
              <w:t>2.91±0.03</w:t>
            </w:r>
          </w:p>
        </w:tc>
        <w:tc>
          <w:tcPr>
            <w:tcW w:w="1370" w:type="dxa"/>
          </w:tcPr>
          <w:p>
            <w:pPr>
              <w:pStyle w:val="TableParagraph"/>
              <w:ind w:left="195"/>
              <w:rPr>
                <w:sz w:val="24"/>
              </w:rPr>
            </w:pPr>
            <w:r>
              <w:rPr>
                <w:spacing w:val="-2"/>
                <w:sz w:val="24"/>
              </w:rPr>
              <w:t>1.48±0.02</w:t>
            </w:r>
          </w:p>
        </w:tc>
        <w:tc>
          <w:tcPr>
            <w:tcW w:w="1369" w:type="dxa"/>
          </w:tcPr>
          <w:p>
            <w:pPr>
              <w:pStyle w:val="TableParagraph"/>
              <w:ind w:left="194"/>
              <w:rPr>
                <w:sz w:val="24"/>
              </w:rPr>
            </w:pPr>
            <w:r>
              <w:rPr>
                <w:spacing w:val="-2"/>
                <w:sz w:val="24"/>
              </w:rPr>
              <w:t>0.05±0.01</w:t>
            </w:r>
          </w:p>
        </w:tc>
        <w:tc>
          <w:tcPr>
            <w:tcW w:w="1370" w:type="dxa"/>
          </w:tcPr>
          <w:p>
            <w:pPr>
              <w:pStyle w:val="TableParagraph"/>
              <w:ind w:left="193"/>
              <w:rPr>
                <w:sz w:val="24"/>
              </w:rPr>
            </w:pPr>
            <w:r>
              <w:rPr>
                <w:spacing w:val="-2"/>
                <w:sz w:val="24"/>
              </w:rPr>
              <w:t>2.82±0.07</w:t>
            </w:r>
          </w:p>
        </w:tc>
        <w:tc>
          <w:tcPr>
            <w:tcW w:w="1462" w:type="dxa"/>
          </w:tcPr>
          <w:p>
            <w:pPr>
              <w:pStyle w:val="TableParagraph"/>
              <w:ind w:left="192"/>
              <w:rPr>
                <w:sz w:val="24"/>
              </w:rPr>
            </w:pPr>
            <w:r>
              <w:rPr>
                <w:spacing w:val="-2"/>
                <w:sz w:val="24"/>
              </w:rPr>
              <w:t>0.02±0.01</w:t>
            </w:r>
          </w:p>
        </w:tc>
      </w:tr>
      <w:tr>
        <w:trPr>
          <w:trHeight w:val="552" w:hRule="atLeast"/>
        </w:trPr>
        <w:tc>
          <w:tcPr>
            <w:tcW w:w="1253" w:type="dxa"/>
          </w:tcPr>
          <w:p>
            <w:pPr>
              <w:pStyle w:val="TableParagraph"/>
              <w:ind w:left="110"/>
              <w:rPr>
                <w:sz w:val="24"/>
              </w:rPr>
            </w:pPr>
            <w:r>
              <w:rPr>
                <w:spacing w:val="-2"/>
                <w:sz w:val="24"/>
              </w:rPr>
              <w:t>Zungeru</w:t>
            </w:r>
          </w:p>
        </w:tc>
        <w:tc>
          <w:tcPr>
            <w:tcW w:w="1283" w:type="dxa"/>
          </w:tcPr>
          <w:p>
            <w:pPr>
              <w:pStyle w:val="TableParagraph"/>
              <w:ind w:left="225"/>
              <w:rPr>
                <w:sz w:val="24"/>
              </w:rPr>
            </w:pPr>
            <w:r>
              <w:rPr>
                <w:spacing w:val="-2"/>
                <w:sz w:val="24"/>
              </w:rPr>
              <w:t>Poultry</w:t>
            </w:r>
          </w:p>
        </w:tc>
        <w:tc>
          <w:tcPr>
            <w:tcW w:w="1484" w:type="dxa"/>
          </w:tcPr>
          <w:p>
            <w:pPr>
              <w:pStyle w:val="TableParagraph"/>
              <w:ind w:left="311"/>
              <w:rPr>
                <w:sz w:val="24"/>
              </w:rPr>
            </w:pPr>
            <w:r>
              <w:rPr>
                <w:spacing w:val="-2"/>
                <w:sz w:val="24"/>
              </w:rPr>
              <w:t>4.13±0.05</w:t>
            </w:r>
          </w:p>
        </w:tc>
        <w:tc>
          <w:tcPr>
            <w:tcW w:w="1370" w:type="dxa"/>
          </w:tcPr>
          <w:p>
            <w:pPr>
              <w:pStyle w:val="TableParagraph"/>
              <w:ind w:left="195"/>
              <w:rPr>
                <w:sz w:val="24"/>
              </w:rPr>
            </w:pPr>
            <w:r>
              <w:rPr>
                <w:spacing w:val="-2"/>
                <w:sz w:val="24"/>
              </w:rPr>
              <w:t>2.73±0.07</w:t>
            </w:r>
          </w:p>
        </w:tc>
        <w:tc>
          <w:tcPr>
            <w:tcW w:w="1369" w:type="dxa"/>
          </w:tcPr>
          <w:p>
            <w:pPr>
              <w:pStyle w:val="TableParagraph"/>
              <w:ind w:left="194"/>
              <w:rPr>
                <w:sz w:val="24"/>
              </w:rPr>
            </w:pPr>
            <w:r>
              <w:rPr>
                <w:spacing w:val="-2"/>
                <w:sz w:val="24"/>
              </w:rPr>
              <w:t>0.08±0.03</w:t>
            </w:r>
          </w:p>
        </w:tc>
        <w:tc>
          <w:tcPr>
            <w:tcW w:w="1370" w:type="dxa"/>
          </w:tcPr>
          <w:p>
            <w:pPr>
              <w:pStyle w:val="TableParagraph"/>
              <w:ind w:left="193"/>
              <w:rPr>
                <w:sz w:val="24"/>
              </w:rPr>
            </w:pPr>
            <w:r>
              <w:rPr>
                <w:spacing w:val="-2"/>
                <w:sz w:val="24"/>
              </w:rPr>
              <w:t>0.50±0.02</w:t>
            </w:r>
          </w:p>
        </w:tc>
        <w:tc>
          <w:tcPr>
            <w:tcW w:w="1462" w:type="dxa"/>
          </w:tcPr>
          <w:p>
            <w:pPr>
              <w:pStyle w:val="TableParagraph"/>
              <w:ind w:left="192"/>
              <w:rPr>
                <w:sz w:val="24"/>
              </w:rPr>
            </w:pPr>
            <w:r>
              <w:rPr>
                <w:spacing w:val="-2"/>
                <w:sz w:val="24"/>
              </w:rPr>
              <w:t>0.01±0.07</w:t>
            </w:r>
          </w:p>
        </w:tc>
      </w:tr>
      <w:tr>
        <w:trPr>
          <w:trHeight w:val="552" w:hRule="atLeast"/>
        </w:trPr>
        <w:tc>
          <w:tcPr>
            <w:tcW w:w="1253" w:type="dxa"/>
          </w:tcPr>
          <w:p>
            <w:pPr>
              <w:pStyle w:val="TableParagraph"/>
              <w:spacing w:before="0"/>
              <w:rPr>
                <w:sz w:val="24"/>
              </w:rPr>
            </w:pPr>
          </w:p>
        </w:tc>
        <w:tc>
          <w:tcPr>
            <w:tcW w:w="1283" w:type="dxa"/>
          </w:tcPr>
          <w:p>
            <w:pPr>
              <w:pStyle w:val="TableParagraph"/>
              <w:ind w:left="225"/>
              <w:rPr>
                <w:sz w:val="24"/>
              </w:rPr>
            </w:pPr>
            <w:r>
              <w:rPr>
                <w:spacing w:val="-2"/>
                <w:sz w:val="24"/>
              </w:rPr>
              <w:t>Cattle</w:t>
            </w:r>
          </w:p>
        </w:tc>
        <w:tc>
          <w:tcPr>
            <w:tcW w:w="1484" w:type="dxa"/>
          </w:tcPr>
          <w:p>
            <w:pPr>
              <w:pStyle w:val="TableParagraph"/>
              <w:ind w:left="311"/>
              <w:rPr>
                <w:sz w:val="24"/>
              </w:rPr>
            </w:pPr>
            <w:r>
              <w:rPr>
                <w:spacing w:val="-2"/>
                <w:sz w:val="24"/>
              </w:rPr>
              <w:t>2.56±0.10</w:t>
            </w:r>
          </w:p>
        </w:tc>
        <w:tc>
          <w:tcPr>
            <w:tcW w:w="1370" w:type="dxa"/>
          </w:tcPr>
          <w:p>
            <w:pPr>
              <w:pStyle w:val="TableParagraph"/>
              <w:ind w:left="195"/>
              <w:rPr>
                <w:sz w:val="24"/>
              </w:rPr>
            </w:pPr>
            <w:r>
              <w:rPr>
                <w:spacing w:val="-2"/>
                <w:sz w:val="24"/>
              </w:rPr>
              <w:t>1.46±0.17</w:t>
            </w:r>
          </w:p>
        </w:tc>
        <w:tc>
          <w:tcPr>
            <w:tcW w:w="1369" w:type="dxa"/>
          </w:tcPr>
          <w:p>
            <w:pPr>
              <w:pStyle w:val="TableParagraph"/>
              <w:ind w:left="194"/>
              <w:rPr>
                <w:sz w:val="24"/>
              </w:rPr>
            </w:pPr>
            <w:r>
              <w:rPr>
                <w:spacing w:val="-2"/>
                <w:sz w:val="24"/>
              </w:rPr>
              <w:t>0.04±0.01</w:t>
            </w:r>
          </w:p>
        </w:tc>
        <w:tc>
          <w:tcPr>
            <w:tcW w:w="1370" w:type="dxa"/>
          </w:tcPr>
          <w:p>
            <w:pPr>
              <w:pStyle w:val="TableParagraph"/>
              <w:ind w:left="193"/>
              <w:rPr>
                <w:sz w:val="24"/>
              </w:rPr>
            </w:pPr>
            <w:r>
              <w:rPr>
                <w:spacing w:val="-2"/>
                <w:sz w:val="24"/>
              </w:rPr>
              <w:t>1.97±1.04</w:t>
            </w:r>
          </w:p>
        </w:tc>
        <w:tc>
          <w:tcPr>
            <w:tcW w:w="1462" w:type="dxa"/>
          </w:tcPr>
          <w:p>
            <w:pPr>
              <w:pStyle w:val="TableParagraph"/>
              <w:ind w:left="192"/>
              <w:rPr>
                <w:sz w:val="24"/>
              </w:rPr>
            </w:pPr>
            <w:r>
              <w:rPr>
                <w:spacing w:val="-2"/>
                <w:sz w:val="24"/>
              </w:rPr>
              <w:t>0.02±0.02</w:t>
            </w:r>
          </w:p>
        </w:tc>
      </w:tr>
      <w:tr>
        <w:trPr>
          <w:trHeight w:val="552" w:hRule="atLeast"/>
        </w:trPr>
        <w:tc>
          <w:tcPr>
            <w:tcW w:w="1253" w:type="dxa"/>
          </w:tcPr>
          <w:p>
            <w:pPr>
              <w:pStyle w:val="TableParagraph"/>
              <w:ind w:left="110"/>
              <w:rPr>
                <w:sz w:val="24"/>
              </w:rPr>
            </w:pPr>
            <w:r>
              <w:rPr>
                <w:spacing w:val="-2"/>
                <w:sz w:val="24"/>
              </w:rPr>
              <w:t>Gusau</w:t>
            </w:r>
          </w:p>
        </w:tc>
        <w:tc>
          <w:tcPr>
            <w:tcW w:w="1283" w:type="dxa"/>
          </w:tcPr>
          <w:p>
            <w:pPr>
              <w:pStyle w:val="TableParagraph"/>
              <w:ind w:left="225"/>
              <w:rPr>
                <w:sz w:val="24"/>
              </w:rPr>
            </w:pPr>
            <w:r>
              <w:rPr>
                <w:spacing w:val="-2"/>
                <w:sz w:val="24"/>
              </w:rPr>
              <w:t>Poultry</w:t>
            </w:r>
          </w:p>
        </w:tc>
        <w:tc>
          <w:tcPr>
            <w:tcW w:w="1484" w:type="dxa"/>
          </w:tcPr>
          <w:p>
            <w:pPr>
              <w:pStyle w:val="TableParagraph"/>
              <w:ind w:left="311"/>
              <w:rPr>
                <w:sz w:val="24"/>
              </w:rPr>
            </w:pPr>
            <w:r>
              <w:rPr>
                <w:spacing w:val="-2"/>
                <w:sz w:val="24"/>
              </w:rPr>
              <w:t>4.04±1.01</w:t>
            </w:r>
          </w:p>
        </w:tc>
        <w:tc>
          <w:tcPr>
            <w:tcW w:w="1370" w:type="dxa"/>
          </w:tcPr>
          <w:p>
            <w:pPr>
              <w:pStyle w:val="TableParagraph"/>
              <w:ind w:left="195"/>
              <w:rPr>
                <w:sz w:val="24"/>
              </w:rPr>
            </w:pPr>
            <w:r>
              <w:rPr>
                <w:spacing w:val="-2"/>
                <w:sz w:val="24"/>
              </w:rPr>
              <w:t>2.55±0.31</w:t>
            </w:r>
          </w:p>
        </w:tc>
        <w:tc>
          <w:tcPr>
            <w:tcW w:w="1369" w:type="dxa"/>
          </w:tcPr>
          <w:p>
            <w:pPr>
              <w:pStyle w:val="TableParagraph"/>
              <w:ind w:left="194"/>
              <w:rPr>
                <w:sz w:val="24"/>
              </w:rPr>
            </w:pPr>
            <w:r>
              <w:rPr>
                <w:spacing w:val="-2"/>
                <w:sz w:val="24"/>
              </w:rPr>
              <w:t>0.05±0.03</w:t>
            </w:r>
          </w:p>
        </w:tc>
        <w:tc>
          <w:tcPr>
            <w:tcW w:w="1370" w:type="dxa"/>
          </w:tcPr>
          <w:p>
            <w:pPr>
              <w:pStyle w:val="TableParagraph"/>
              <w:ind w:left="193"/>
              <w:rPr>
                <w:sz w:val="24"/>
              </w:rPr>
            </w:pPr>
            <w:r>
              <w:rPr>
                <w:spacing w:val="-2"/>
                <w:sz w:val="24"/>
              </w:rPr>
              <w:t>0.38±0.01</w:t>
            </w:r>
          </w:p>
        </w:tc>
        <w:tc>
          <w:tcPr>
            <w:tcW w:w="1462" w:type="dxa"/>
          </w:tcPr>
          <w:p>
            <w:pPr>
              <w:pStyle w:val="TableParagraph"/>
              <w:ind w:left="192"/>
              <w:rPr>
                <w:sz w:val="24"/>
              </w:rPr>
            </w:pPr>
            <w:r>
              <w:rPr>
                <w:spacing w:val="-2"/>
                <w:sz w:val="24"/>
              </w:rPr>
              <w:t>0.01±0.01</w:t>
            </w:r>
          </w:p>
        </w:tc>
      </w:tr>
      <w:tr>
        <w:trPr>
          <w:trHeight w:val="552" w:hRule="atLeast"/>
        </w:trPr>
        <w:tc>
          <w:tcPr>
            <w:tcW w:w="1253" w:type="dxa"/>
          </w:tcPr>
          <w:p>
            <w:pPr>
              <w:pStyle w:val="TableParagraph"/>
              <w:spacing w:before="0"/>
              <w:rPr>
                <w:sz w:val="24"/>
              </w:rPr>
            </w:pPr>
          </w:p>
        </w:tc>
        <w:tc>
          <w:tcPr>
            <w:tcW w:w="1283" w:type="dxa"/>
          </w:tcPr>
          <w:p>
            <w:pPr>
              <w:pStyle w:val="TableParagraph"/>
              <w:ind w:left="225"/>
              <w:rPr>
                <w:sz w:val="24"/>
              </w:rPr>
            </w:pPr>
            <w:r>
              <w:rPr>
                <w:spacing w:val="-2"/>
                <w:sz w:val="24"/>
              </w:rPr>
              <w:t>Cattle</w:t>
            </w:r>
          </w:p>
        </w:tc>
        <w:tc>
          <w:tcPr>
            <w:tcW w:w="1484" w:type="dxa"/>
          </w:tcPr>
          <w:p>
            <w:pPr>
              <w:pStyle w:val="TableParagraph"/>
              <w:ind w:left="311"/>
              <w:rPr>
                <w:sz w:val="24"/>
              </w:rPr>
            </w:pPr>
            <w:r>
              <w:rPr>
                <w:spacing w:val="-2"/>
                <w:sz w:val="24"/>
              </w:rPr>
              <w:t>2.58±0.11</w:t>
            </w:r>
          </w:p>
        </w:tc>
        <w:tc>
          <w:tcPr>
            <w:tcW w:w="1370" w:type="dxa"/>
          </w:tcPr>
          <w:p>
            <w:pPr>
              <w:pStyle w:val="TableParagraph"/>
              <w:ind w:left="195"/>
              <w:rPr>
                <w:sz w:val="24"/>
              </w:rPr>
            </w:pPr>
            <w:r>
              <w:rPr>
                <w:spacing w:val="-2"/>
                <w:sz w:val="24"/>
              </w:rPr>
              <w:t>1.27±1.05</w:t>
            </w:r>
          </w:p>
        </w:tc>
        <w:tc>
          <w:tcPr>
            <w:tcW w:w="1369" w:type="dxa"/>
          </w:tcPr>
          <w:p>
            <w:pPr>
              <w:pStyle w:val="TableParagraph"/>
              <w:ind w:left="194"/>
              <w:rPr>
                <w:sz w:val="24"/>
              </w:rPr>
            </w:pPr>
            <w:r>
              <w:rPr>
                <w:spacing w:val="-2"/>
                <w:sz w:val="24"/>
              </w:rPr>
              <w:t>0.02±0.01</w:t>
            </w:r>
          </w:p>
        </w:tc>
        <w:tc>
          <w:tcPr>
            <w:tcW w:w="1370" w:type="dxa"/>
          </w:tcPr>
          <w:p>
            <w:pPr>
              <w:pStyle w:val="TableParagraph"/>
              <w:ind w:left="193"/>
              <w:rPr>
                <w:sz w:val="24"/>
              </w:rPr>
            </w:pPr>
            <w:r>
              <w:rPr>
                <w:spacing w:val="-2"/>
                <w:sz w:val="24"/>
              </w:rPr>
              <w:t>1.61±0.02</w:t>
            </w:r>
          </w:p>
        </w:tc>
        <w:tc>
          <w:tcPr>
            <w:tcW w:w="1462" w:type="dxa"/>
          </w:tcPr>
          <w:p>
            <w:pPr>
              <w:pStyle w:val="TableParagraph"/>
              <w:ind w:left="192"/>
              <w:rPr>
                <w:sz w:val="24"/>
              </w:rPr>
            </w:pPr>
            <w:r>
              <w:rPr>
                <w:spacing w:val="-2"/>
                <w:sz w:val="24"/>
              </w:rPr>
              <w:t>0.01±0.03</w:t>
            </w:r>
          </w:p>
        </w:tc>
      </w:tr>
      <w:tr>
        <w:trPr>
          <w:trHeight w:val="551" w:hRule="atLeast"/>
        </w:trPr>
        <w:tc>
          <w:tcPr>
            <w:tcW w:w="1253" w:type="dxa"/>
          </w:tcPr>
          <w:p>
            <w:pPr>
              <w:pStyle w:val="TableParagraph"/>
              <w:ind w:left="110"/>
              <w:rPr>
                <w:sz w:val="24"/>
              </w:rPr>
            </w:pPr>
            <w:r>
              <w:rPr>
                <w:spacing w:val="-4"/>
                <w:sz w:val="24"/>
              </w:rPr>
              <w:t>Anka</w:t>
            </w:r>
          </w:p>
        </w:tc>
        <w:tc>
          <w:tcPr>
            <w:tcW w:w="1283" w:type="dxa"/>
          </w:tcPr>
          <w:p>
            <w:pPr>
              <w:pStyle w:val="TableParagraph"/>
              <w:ind w:left="225"/>
              <w:rPr>
                <w:sz w:val="24"/>
              </w:rPr>
            </w:pPr>
            <w:r>
              <w:rPr>
                <w:spacing w:val="-2"/>
                <w:sz w:val="24"/>
              </w:rPr>
              <w:t>Poultry</w:t>
            </w:r>
          </w:p>
        </w:tc>
        <w:tc>
          <w:tcPr>
            <w:tcW w:w="1484" w:type="dxa"/>
          </w:tcPr>
          <w:p>
            <w:pPr>
              <w:pStyle w:val="TableParagraph"/>
              <w:ind w:left="311"/>
              <w:rPr>
                <w:sz w:val="24"/>
              </w:rPr>
            </w:pPr>
            <w:r>
              <w:rPr>
                <w:spacing w:val="-2"/>
                <w:sz w:val="24"/>
              </w:rPr>
              <w:t>3.84±0.12</w:t>
            </w:r>
          </w:p>
        </w:tc>
        <w:tc>
          <w:tcPr>
            <w:tcW w:w="1370" w:type="dxa"/>
          </w:tcPr>
          <w:p>
            <w:pPr>
              <w:pStyle w:val="TableParagraph"/>
              <w:ind w:left="195"/>
              <w:rPr>
                <w:sz w:val="24"/>
              </w:rPr>
            </w:pPr>
            <w:r>
              <w:rPr>
                <w:spacing w:val="-2"/>
                <w:sz w:val="24"/>
              </w:rPr>
              <w:t>2.63±0.61</w:t>
            </w:r>
          </w:p>
        </w:tc>
        <w:tc>
          <w:tcPr>
            <w:tcW w:w="1369" w:type="dxa"/>
          </w:tcPr>
          <w:p>
            <w:pPr>
              <w:pStyle w:val="TableParagraph"/>
              <w:ind w:left="194"/>
              <w:rPr>
                <w:sz w:val="24"/>
              </w:rPr>
            </w:pPr>
            <w:r>
              <w:rPr>
                <w:spacing w:val="-2"/>
                <w:sz w:val="24"/>
              </w:rPr>
              <w:t>0.06±0.03</w:t>
            </w:r>
          </w:p>
        </w:tc>
        <w:tc>
          <w:tcPr>
            <w:tcW w:w="1370" w:type="dxa"/>
          </w:tcPr>
          <w:p>
            <w:pPr>
              <w:pStyle w:val="TableParagraph"/>
              <w:ind w:left="193"/>
              <w:rPr>
                <w:sz w:val="24"/>
              </w:rPr>
            </w:pPr>
            <w:r>
              <w:rPr>
                <w:spacing w:val="-2"/>
                <w:sz w:val="24"/>
              </w:rPr>
              <w:t>0.22±0.03</w:t>
            </w:r>
          </w:p>
        </w:tc>
        <w:tc>
          <w:tcPr>
            <w:tcW w:w="1462" w:type="dxa"/>
          </w:tcPr>
          <w:p>
            <w:pPr>
              <w:pStyle w:val="TableParagraph"/>
              <w:ind w:left="192"/>
              <w:rPr>
                <w:sz w:val="24"/>
              </w:rPr>
            </w:pPr>
            <w:r>
              <w:rPr>
                <w:spacing w:val="-2"/>
                <w:sz w:val="24"/>
              </w:rPr>
              <w:t>0.01±0.01</w:t>
            </w:r>
          </w:p>
        </w:tc>
      </w:tr>
      <w:tr>
        <w:trPr>
          <w:trHeight w:val="552" w:hRule="atLeast"/>
        </w:trPr>
        <w:tc>
          <w:tcPr>
            <w:tcW w:w="1253" w:type="dxa"/>
          </w:tcPr>
          <w:p>
            <w:pPr>
              <w:pStyle w:val="TableParagraph"/>
              <w:spacing w:before="0"/>
              <w:rPr>
                <w:sz w:val="24"/>
              </w:rPr>
            </w:pPr>
          </w:p>
        </w:tc>
        <w:tc>
          <w:tcPr>
            <w:tcW w:w="1283" w:type="dxa"/>
          </w:tcPr>
          <w:p>
            <w:pPr>
              <w:pStyle w:val="TableParagraph"/>
              <w:ind w:left="225"/>
              <w:rPr>
                <w:sz w:val="24"/>
              </w:rPr>
            </w:pPr>
            <w:r>
              <w:rPr>
                <w:spacing w:val="-2"/>
                <w:sz w:val="24"/>
              </w:rPr>
              <w:t>Cattle</w:t>
            </w:r>
          </w:p>
        </w:tc>
        <w:tc>
          <w:tcPr>
            <w:tcW w:w="1484" w:type="dxa"/>
          </w:tcPr>
          <w:p>
            <w:pPr>
              <w:pStyle w:val="TableParagraph"/>
              <w:ind w:left="311"/>
              <w:rPr>
                <w:sz w:val="24"/>
              </w:rPr>
            </w:pPr>
            <w:r>
              <w:rPr>
                <w:spacing w:val="-2"/>
                <w:sz w:val="24"/>
              </w:rPr>
              <w:t>3.66±1.03</w:t>
            </w:r>
          </w:p>
        </w:tc>
        <w:tc>
          <w:tcPr>
            <w:tcW w:w="1370" w:type="dxa"/>
          </w:tcPr>
          <w:p>
            <w:pPr>
              <w:pStyle w:val="TableParagraph"/>
              <w:ind w:left="195"/>
              <w:rPr>
                <w:sz w:val="24"/>
              </w:rPr>
            </w:pPr>
            <w:r>
              <w:rPr>
                <w:spacing w:val="-2"/>
                <w:sz w:val="24"/>
              </w:rPr>
              <w:t>1.88±0.19</w:t>
            </w:r>
          </w:p>
        </w:tc>
        <w:tc>
          <w:tcPr>
            <w:tcW w:w="1369" w:type="dxa"/>
          </w:tcPr>
          <w:p>
            <w:pPr>
              <w:pStyle w:val="TableParagraph"/>
              <w:ind w:left="194"/>
              <w:rPr>
                <w:sz w:val="24"/>
              </w:rPr>
            </w:pPr>
            <w:r>
              <w:rPr>
                <w:spacing w:val="-2"/>
                <w:sz w:val="24"/>
              </w:rPr>
              <w:t>0.03±0.02</w:t>
            </w:r>
          </w:p>
        </w:tc>
        <w:tc>
          <w:tcPr>
            <w:tcW w:w="1370" w:type="dxa"/>
          </w:tcPr>
          <w:p>
            <w:pPr>
              <w:pStyle w:val="TableParagraph"/>
              <w:ind w:left="193"/>
              <w:rPr>
                <w:sz w:val="24"/>
              </w:rPr>
            </w:pPr>
            <w:r>
              <w:rPr>
                <w:spacing w:val="-2"/>
                <w:sz w:val="24"/>
              </w:rPr>
              <w:t>3.20±1.17</w:t>
            </w:r>
          </w:p>
        </w:tc>
        <w:tc>
          <w:tcPr>
            <w:tcW w:w="1462" w:type="dxa"/>
          </w:tcPr>
          <w:p>
            <w:pPr>
              <w:pStyle w:val="TableParagraph"/>
              <w:ind w:left="192"/>
              <w:rPr>
                <w:sz w:val="24"/>
              </w:rPr>
            </w:pPr>
            <w:r>
              <w:rPr>
                <w:spacing w:val="-2"/>
                <w:sz w:val="24"/>
              </w:rPr>
              <w:t>0.03±0.02</w:t>
            </w:r>
          </w:p>
        </w:tc>
      </w:tr>
      <w:tr>
        <w:trPr>
          <w:trHeight w:val="552" w:hRule="atLeast"/>
        </w:trPr>
        <w:tc>
          <w:tcPr>
            <w:tcW w:w="1253" w:type="dxa"/>
          </w:tcPr>
          <w:p>
            <w:pPr>
              <w:pStyle w:val="TableParagraph"/>
              <w:ind w:left="110"/>
              <w:rPr>
                <w:sz w:val="24"/>
              </w:rPr>
            </w:pPr>
            <w:r>
              <w:rPr>
                <w:spacing w:val="-2"/>
                <w:sz w:val="24"/>
              </w:rPr>
              <w:t>Konduga</w:t>
            </w:r>
          </w:p>
        </w:tc>
        <w:tc>
          <w:tcPr>
            <w:tcW w:w="1283" w:type="dxa"/>
          </w:tcPr>
          <w:p>
            <w:pPr>
              <w:pStyle w:val="TableParagraph"/>
              <w:ind w:left="225"/>
              <w:rPr>
                <w:sz w:val="24"/>
              </w:rPr>
            </w:pPr>
            <w:r>
              <w:rPr>
                <w:spacing w:val="-2"/>
                <w:sz w:val="24"/>
              </w:rPr>
              <w:t>Poultry</w:t>
            </w:r>
          </w:p>
        </w:tc>
        <w:tc>
          <w:tcPr>
            <w:tcW w:w="1484" w:type="dxa"/>
          </w:tcPr>
          <w:p>
            <w:pPr>
              <w:pStyle w:val="TableParagraph"/>
              <w:ind w:left="311"/>
              <w:rPr>
                <w:sz w:val="24"/>
              </w:rPr>
            </w:pPr>
            <w:r>
              <w:rPr>
                <w:spacing w:val="-2"/>
                <w:sz w:val="24"/>
              </w:rPr>
              <w:t>4.00±0.15</w:t>
            </w:r>
          </w:p>
        </w:tc>
        <w:tc>
          <w:tcPr>
            <w:tcW w:w="1370" w:type="dxa"/>
          </w:tcPr>
          <w:p>
            <w:pPr>
              <w:pStyle w:val="TableParagraph"/>
              <w:ind w:left="195"/>
              <w:rPr>
                <w:sz w:val="24"/>
              </w:rPr>
            </w:pPr>
            <w:r>
              <w:rPr>
                <w:spacing w:val="-2"/>
                <w:sz w:val="24"/>
              </w:rPr>
              <w:t>2.65±0.03</w:t>
            </w:r>
          </w:p>
        </w:tc>
        <w:tc>
          <w:tcPr>
            <w:tcW w:w="1369" w:type="dxa"/>
          </w:tcPr>
          <w:p>
            <w:pPr>
              <w:pStyle w:val="TableParagraph"/>
              <w:ind w:left="194"/>
              <w:rPr>
                <w:sz w:val="24"/>
              </w:rPr>
            </w:pPr>
            <w:r>
              <w:rPr>
                <w:spacing w:val="-2"/>
                <w:sz w:val="24"/>
              </w:rPr>
              <w:t>0.03±0.01</w:t>
            </w:r>
          </w:p>
        </w:tc>
        <w:tc>
          <w:tcPr>
            <w:tcW w:w="1370" w:type="dxa"/>
          </w:tcPr>
          <w:p>
            <w:pPr>
              <w:pStyle w:val="TableParagraph"/>
              <w:ind w:left="193"/>
              <w:rPr>
                <w:sz w:val="24"/>
              </w:rPr>
            </w:pPr>
            <w:r>
              <w:rPr>
                <w:spacing w:val="-2"/>
                <w:sz w:val="24"/>
              </w:rPr>
              <w:t>0.12±0.01</w:t>
            </w:r>
          </w:p>
        </w:tc>
        <w:tc>
          <w:tcPr>
            <w:tcW w:w="1462" w:type="dxa"/>
          </w:tcPr>
          <w:p>
            <w:pPr>
              <w:pStyle w:val="TableParagraph"/>
              <w:ind w:left="192"/>
              <w:rPr>
                <w:sz w:val="24"/>
              </w:rPr>
            </w:pPr>
            <w:r>
              <w:rPr>
                <w:spacing w:val="-5"/>
                <w:sz w:val="24"/>
              </w:rPr>
              <w:t>Nd</w:t>
            </w:r>
          </w:p>
        </w:tc>
      </w:tr>
      <w:tr>
        <w:trPr>
          <w:trHeight w:val="552" w:hRule="atLeast"/>
        </w:trPr>
        <w:tc>
          <w:tcPr>
            <w:tcW w:w="1253" w:type="dxa"/>
          </w:tcPr>
          <w:p>
            <w:pPr>
              <w:pStyle w:val="TableParagraph"/>
              <w:spacing w:before="0"/>
              <w:rPr>
                <w:sz w:val="24"/>
              </w:rPr>
            </w:pPr>
          </w:p>
        </w:tc>
        <w:tc>
          <w:tcPr>
            <w:tcW w:w="1283" w:type="dxa"/>
          </w:tcPr>
          <w:p>
            <w:pPr>
              <w:pStyle w:val="TableParagraph"/>
              <w:ind w:left="225"/>
              <w:rPr>
                <w:sz w:val="24"/>
              </w:rPr>
            </w:pPr>
            <w:r>
              <w:rPr>
                <w:spacing w:val="-2"/>
                <w:sz w:val="24"/>
              </w:rPr>
              <w:t>Cattle</w:t>
            </w:r>
          </w:p>
        </w:tc>
        <w:tc>
          <w:tcPr>
            <w:tcW w:w="1484" w:type="dxa"/>
          </w:tcPr>
          <w:p>
            <w:pPr>
              <w:pStyle w:val="TableParagraph"/>
              <w:ind w:left="311"/>
              <w:rPr>
                <w:sz w:val="24"/>
              </w:rPr>
            </w:pPr>
            <w:r>
              <w:rPr>
                <w:spacing w:val="-2"/>
                <w:sz w:val="24"/>
              </w:rPr>
              <w:t>2.42±2.01</w:t>
            </w:r>
          </w:p>
        </w:tc>
        <w:tc>
          <w:tcPr>
            <w:tcW w:w="1370" w:type="dxa"/>
          </w:tcPr>
          <w:p>
            <w:pPr>
              <w:pStyle w:val="TableParagraph"/>
              <w:ind w:left="195"/>
              <w:rPr>
                <w:sz w:val="24"/>
              </w:rPr>
            </w:pPr>
            <w:r>
              <w:rPr>
                <w:spacing w:val="-2"/>
                <w:sz w:val="24"/>
              </w:rPr>
              <w:t>1.01±1.00</w:t>
            </w:r>
          </w:p>
        </w:tc>
        <w:tc>
          <w:tcPr>
            <w:tcW w:w="1369" w:type="dxa"/>
          </w:tcPr>
          <w:p>
            <w:pPr>
              <w:pStyle w:val="TableParagraph"/>
              <w:ind w:left="194"/>
              <w:rPr>
                <w:sz w:val="24"/>
              </w:rPr>
            </w:pPr>
            <w:r>
              <w:rPr>
                <w:spacing w:val="-2"/>
                <w:sz w:val="24"/>
              </w:rPr>
              <w:t>0.03±0.02</w:t>
            </w:r>
          </w:p>
        </w:tc>
        <w:tc>
          <w:tcPr>
            <w:tcW w:w="1370" w:type="dxa"/>
          </w:tcPr>
          <w:p>
            <w:pPr>
              <w:pStyle w:val="TableParagraph"/>
              <w:ind w:left="193"/>
              <w:rPr>
                <w:sz w:val="24"/>
              </w:rPr>
            </w:pPr>
            <w:r>
              <w:rPr>
                <w:spacing w:val="-2"/>
                <w:sz w:val="24"/>
              </w:rPr>
              <w:t>1.26±0.16</w:t>
            </w:r>
          </w:p>
        </w:tc>
        <w:tc>
          <w:tcPr>
            <w:tcW w:w="1462" w:type="dxa"/>
          </w:tcPr>
          <w:p>
            <w:pPr>
              <w:pStyle w:val="TableParagraph"/>
              <w:ind w:left="192"/>
              <w:rPr>
                <w:sz w:val="24"/>
              </w:rPr>
            </w:pPr>
            <w:r>
              <w:rPr>
                <w:spacing w:val="-5"/>
                <w:sz w:val="24"/>
              </w:rPr>
              <w:t>Nd</w:t>
            </w:r>
          </w:p>
        </w:tc>
      </w:tr>
      <w:tr>
        <w:trPr>
          <w:trHeight w:val="552" w:hRule="atLeast"/>
        </w:trPr>
        <w:tc>
          <w:tcPr>
            <w:tcW w:w="1253" w:type="dxa"/>
          </w:tcPr>
          <w:p>
            <w:pPr>
              <w:pStyle w:val="TableParagraph"/>
              <w:ind w:left="110"/>
              <w:rPr>
                <w:sz w:val="24"/>
              </w:rPr>
            </w:pPr>
            <w:r>
              <w:rPr>
                <w:spacing w:val="-4"/>
                <w:sz w:val="24"/>
              </w:rPr>
              <w:t>Bama</w:t>
            </w:r>
          </w:p>
        </w:tc>
        <w:tc>
          <w:tcPr>
            <w:tcW w:w="1283" w:type="dxa"/>
          </w:tcPr>
          <w:p>
            <w:pPr>
              <w:pStyle w:val="TableParagraph"/>
              <w:ind w:left="225"/>
              <w:rPr>
                <w:sz w:val="24"/>
              </w:rPr>
            </w:pPr>
            <w:r>
              <w:rPr>
                <w:spacing w:val="-2"/>
                <w:sz w:val="24"/>
              </w:rPr>
              <w:t>Poultry</w:t>
            </w:r>
          </w:p>
        </w:tc>
        <w:tc>
          <w:tcPr>
            <w:tcW w:w="1484" w:type="dxa"/>
          </w:tcPr>
          <w:p>
            <w:pPr>
              <w:pStyle w:val="TableParagraph"/>
              <w:ind w:left="311"/>
              <w:rPr>
                <w:sz w:val="24"/>
              </w:rPr>
            </w:pPr>
            <w:r>
              <w:rPr>
                <w:spacing w:val="-2"/>
                <w:sz w:val="24"/>
              </w:rPr>
              <w:t>4.12±0.18</w:t>
            </w:r>
          </w:p>
        </w:tc>
        <w:tc>
          <w:tcPr>
            <w:tcW w:w="1370" w:type="dxa"/>
          </w:tcPr>
          <w:p>
            <w:pPr>
              <w:pStyle w:val="TableParagraph"/>
              <w:ind w:left="195"/>
              <w:rPr>
                <w:sz w:val="24"/>
              </w:rPr>
            </w:pPr>
            <w:r>
              <w:rPr>
                <w:spacing w:val="-2"/>
                <w:sz w:val="24"/>
              </w:rPr>
              <w:t>2.28±0.71</w:t>
            </w:r>
          </w:p>
        </w:tc>
        <w:tc>
          <w:tcPr>
            <w:tcW w:w="1369" w:type="dxa"/>
          </w:tcPr>
          <w:p>
            <w:pPr>
              <w:pStyle w:val="TableParagraph"/>
              <w:ind w:left="194"/>
              <w:rPr>
                <w:sz w:val="24"/>
              </w:rPr>
            </w:pPr>
            <w:r>
              <w:rPr>
                <w:spacing w:val="-2"/>
                <w:sz w:val="24"/>
              </w:rPr>
              <w:t>0.04±0.03</w:t>
            </w:r>
          </w:p>
        </w:tc>
        <w:tc>
          <w:tcPr>
            <w:tcW w:w="1370" w:type="dxa"/>
          </w:tcPr>
          <w:p>
            <w:pPr>
              <w:pStyle w:val="TableParagraph"/>
              <w:ind w:left="193"/>
              <w:rPr>
                <w:sz w:val="24"/>
              </w:rPr>
            </w:pPr>
            <w:r>
              <w:rPr>
                <w:spacing w:val="-2"/>
                <w:sz w:val="24"/>
              </w:rPr>
              <w:t>0.16±0.05</w:t>
            </w:r>
          </w:p>
        </w:tc>
        <w:tc>
          <w:tcPr>
            <w:tcW w:w="1462" w:type="dxa"/>
          </w:tcPr>
          <w:p>
            <w:pPr>
              <w:pStyle w:val="TableParagraph"/>
              <w:ind w:left="192"/>
              <w:rPr>
                <w:sz w:val="24"/>
              </w:rPr>
            </w:pPr>
            <w:r>
              <w:rPr>
                <w:spacing w:val="-2"/>
                <w:sz w:val="24"/>
              </w:rPr>
              <w:t>0.01±0.01</w:t>
            </w:r>
          </w:p>
        </w:tc>
      </w:tr>
      <w:tr>
        <w:trPr>
          <w:trHeight w:val="692" w:hRule="atLeast"/>
        </w:trPr>
        <w:tc>
          <w:tcPr>
            <w:tcW w:w="1253" w:type="dxa"/>
            <w:tcBorders>
              <w:bottom w:val="single" w:sz="4" w:space="0" w:color="000000"/>
            </w:tcBorders>
          </w:tcPr>
          <w:p>
            <w:pPr>
              <w:pStyle w:val="TableParagraph"/>
              <w:spacing w:before="0"/>
              <w:rPr>
                <w:sz w:val="24"/>
              </w:rPr>
            </w:pPr>
          </w:p>
        </w:tc>
        <w:tc>
          <w:tcPr>
            <w:tcW w:w="1283" w:type="dxa"/>
            <w:tcBorders>
              <w:bottom w:val="single" w:sz="4" w:space="0" w:color="000000"/>
            </w:tcBorders>
          </w:tcPr>
          <w:p>
            <w:pPr>
              <w:pStyle w:val="TableParagraph"/>
              <w:ind w:left="225"/>
              <w:rPr>
                <w:sz w:val="24"/>
              </w:rPr>
            </w:pPr>
            <w:r>
              <w:rPr>
                <w:spacing w:val="-2"/>
                <w:sz w:val="24"/>
              </w:rPr>
              <w:t>Cattle</w:t>
            </w:r>
          </w:p>
        </w:tc>
        <w:tc>
          <w:tcPr>
            <w:tcW w:w="1484" w:type="dxa"/>
            <w:tcBorders>
              <w:bottom w:val="single" w:sz="4" w:space="0" w:color="000000"/>
            </w:tcBorders>
          </w:tcPr>
          <w:p>
            <w:pPr>
              <w:pStyle w:val="TableParagraph"/>
              <w:ind w:left="311"/>
              <w:rPr>
                <w:sz w:val="24"/>
              </w:rPr>
            </w:pPr>
            <w:r>
              <w:rPr>
                <w:spacing w:val="-2"/>
                <w:sz w:val="24"/>
              </w:rPr>
              <w:t>2.05±0.22</w:t>
            </w:r>
          </w:p>
        </w:tc>
        <w:tc>
          <w:tcPr>
            <w:tcW w:w="1370" w:type="dxa"/>
            <w:tcBorders>
              <w:bottom w:val="single" w:sz="4" w:space="0" w:color="000000"/>
            </w:tcBorders>
          </w:tcPr>
          <w:p>
            <w:pPr>
              <w:pStyle w:val="TableParagraph"/>
              <w:ind w:left="195"/>
              <w:rPr>
                <w:sz w:val="24"/>
              </w:rPr>
            </w:pPr>
            <w:r>
              <w:rPr>
                <w:spacing w:val="-2"/>
                <w:sz w:val="24"/>
              </w:rPr>
              <w:t>1.06±0.01</w:t>
            </w:r>
          </w:p>
        </w:tc>
        <w:tc>
          <w:tcPr>
            <w:tcW w:w="1369" w:type="dxa"/>
            <w:tcBorders>
              <w:bottom w:val="single" w:sz="4" w:space="0" w:color="000000"/>
            </w:tcBorders>
          </w:tcPr>
          <w:p>
            <w:pPr>
              <w:pStyle w:val="TableParagraph"/>
              <w:ind w:left="194"/>
              <w:rPr>
                <w:sz w:val="24"/>
              </w:rPr>
            </w:pPr>
            <w:r>
              <w:rPr>
                <w:spacing w:val="-2"/>
                <w:sz w:val="24"/>
              </w:rPr>
              <w:t>0.03±0.01</w:t>
            </w:r>
          </w:p>
        </w:tc>
        <w:tc>
          <w:tcPr>
            <w:tcW w:w="1370" w:type="dxa"/>
            <w:tcBorders>
              <w:bottom w:val="single" w:sz="4" w:space="0" w:color="000000"/>
            </w:tcBorders>
          </w:tcPr>
          <w:p>
            <w:pPr>
              <w:pStyle w:val="TableParagraph"/>
              <w:ind w:left="193"/>
              <w:rPr>
                <w:sz w:val="24"/>
              </w:rPr>
            </w:pPr>
            <w:r>
              <w:rPr>
                <w:spacing w:val="-2"/>
                <w:sz w:val="24"/>
              </w:rPr>
              <w:t>0.81±0.01</w:t>
            </w:r>
          </w:p>
        </w:tc>
        <w:tc>
          <w:tcPr>
            <w:tcW w:w="1462" w:type="dxa"/>
            <w:tcBorders>
              <w:bottom w:val="single" w:sz="4" w:space="0" w:color="000000"/>
            </w:tcBorders>
          </w:tcPr>
          <w:p>
            <w:pPr>
              <w:pStyle w:val="TableParagraph"/>
              <w:ind w:left="192"/>
              <w:rPr>
                <w:sz w:val="24"/>
              </w:rPr>
            </w:pPr>
            <w:r>
              <w:rPr>
                <w:spacing w:val="-5"/>
                <w:sz w:val="24"/>
              </w:rPr>
              <w:t>Nd</w:t>
            </w:r>
          </w:p>
        </w:tc>
      </w:tr>
    </w:tbl>
    <w:p>
      <w:pPr>
        <w:pStyle w:val="BodyText"/>
        <w:ind w:left="420"/>
      </w:pPr>
      <w:r>
        <w:rPr/>
        <w:t>Nd –</w:t>
      </w:r>
      <w:r>
        <w:rPr>
          <w:spacing w:val="1"/>
        </w:rPr>
        <w:t> </w:t>
      </w:r>
      <w:r>
        <w:rPr/>
        <w:t>Non</w:t>
      </w:r>
      <w:r>
        <w:rPr>
          <w:spacing w:val="-3"/>
        </w:rPr>
        <w:t> </w:t>
      </w:r>
      <w:r>
        <w:rPr>
          <w:spacing w:val="-2"/>
        </w:rPr>
        <w:t>detected</w:t>
      </w:r>
    </w:p>
    <w:p>
      <w:pPr>
        <w:spacing w:after="0"/>
        <w:sectPr>
          <w:pgSz w:w="12240" w:h="15840"/>
          <w:pgMar w:header="0" w:footer="1012" w:top="1360" w:bottom="1200" w:left="1020" w:right="720"/>
        </w:sectPr>
      </w:pPr>
    </w:p>
    <w:p>
      <w:pPr>
        <w:pStyle w:val="Heading2"/>
        <w:spacing w:before="72"/>
      </w:pPr>
      <w:r>
        <w:rPr/>
        <w:t>Appendix</w:t>
      </w:r>
      <w:r>
        <w:rPr>
          <w:spacing w:val="-3"/>
        </w:rPr>
        <w:t> </w:t>
      </w:r>
      <w:r>
        <w:rPr>
          <w:spacing w:val="-5"/>
        </w:rPr>
        <w:t>11</w:t>
      </w:r>
    </w:p>
    <w:p>
      <w:pPr>
        <w:pStyle w:val="BodyText"/>
        <w:spacing w:line="355" w:lineRule="auto" w:before="242"/>
        <w:ind w:left="420" w:right="600"/>
      </w:pPr>
      <w:r>
        <w:rPr/>
        <w:t>Mean seasonal concentrations(mg/</w:t>
      </w:r>
      <w:r>
        <w:rPr>
          <w:sz w:val="22"/>
        </w:rPr>
        <w:t>l</w:t>
      </w:r>
      <w:r>
        <w:rPr/>
        <w:t>)</w:t>
      </w:r>
      <w:r>
        <w:rPr>
          <w:spacing w:val="27"/>
        </w:rPr>
        <w:t> </w:t>
      </w:r>
      <w:r>
        <w:rPr/>
        <w:t>of zinc,</w:t>
      </w:r>
      <w:r>
        <w:rPr>
          <w:spacing w:val="28"/>
        </w:rPr>
        <w:t> </w:t>
      </w:r>
      <w:r>
        <w:rPr/>
        <w:t>copper,</w:t>
      </w:r>
      <w:r>
        <w:rPr>
          <w:spacing w:val="28"/>
        </w:rPr>
        <w:t> </w:t>
      </w:r>
      <w:r>
        <w:rPr/>
        <w:t>nickel,</w:t>
      </w:r>
      <w:r>
        <w:rPr>
          <w:spacing w:val="32"/>
        </w:rPr>
        <w:t> </w:t>
      </w:r>
      <w:r>
        <w:rPr/>
        <w:t>lead and arsenic</w:t>
      </w:r>
      <w:r>
        <w:rPr>
          <w:spacing w:val="29"/>
        </w:rPr>
        <w:t> </w:t>
      </w:r>
      <w:r>
        <w:rPr/>
        <w:t>in water</w:t>
      </w:r>
      <w:r>
        <w:rPr>
          <w:spacing w:val="27"/>
        </w:rPr>
        <w:t> </w:t>
      </w:r>
      <w:r>
        <w:rPr/>
        <w:t>samples from</w:t>
      </w:r>
      <w:r>
        <w:rPr>
          <w:spacing w:val="-12"/>
        </w:rPr>
        <w:t> </w:t>
      </w:r>
      <w:r>
        <w:rPr/>
        <w:t>Rivers</w:t>
      </w:r>
      <w:r>
        <w:rPr>
          <w:spacing w:val="1"/>
        </w:rPr>
        <w:t> </w:t>
      </w:r>
      <w:r>
        <w:rPr/>
        <w:t>Kaduna,</w:t>
      </w:r>
      <w:r>
        <w:rPr>
          <w:spacing w:val="1"/>
        </w:rPr>
        <w:t> </w:t>
      </w:r>
      <w:r>
        <w:rPr/>
        <w:t>Sokoto</w:t>
      </w:r>
      <w:r>
        <w:rPr>
          <w:spacing w:val="-1"/>
        </w:rPr>
        <w:t> </w:t>
      </w:r>
      <w:r>
        <w:rPr/>
        <w:t>and</w:t>
      </w:r>
      <w:r>
        <w:rPr>
          <w:spacing w:val="-1"/>
        </w:rPr>
        <w:t> </w:t>
      </w:r>
      <w:r>
        <w:rPr/>
        <w:t>Ngadda</w:t>
      </w:r>
      <w:r>
        <w:rPr>
          <w:spacing w:val="2"/>
        </w:rPr>
        <w:t> </w:t>
      </w:r>
      <w:r>
        <w:rPr/>
        <w:t>in</w:t>
      </w:r>
      <w:r>
        <w:rPr>
          <w:spacing w:val="-5"/>
        </w:rPr>
        <w:t> </w:t>
      </w:r>
      <w:r>
        <w:rPr/>
        <w:t>Northern</w:t>
      </w:r>
      <w:r>
        <w:rPr>
          <w:spacing w:val="-6"/>
        </w:rPr>
        <w:t> </w:t>
      </w:r>
      <w:r>
        <w:rPr/>
        <w:t>Nigeria</w:t>
      </w:r>
      <w:r>
        <w:rPr>
          <w:spacing w:val="5"/>
        </w:rPr>
        <w:t> </w:t>
      </w:r>
      <w:r>
        <w:rPr/>
        <w:t>and</w:t>
      </w:r>
      <w:r>
        <w:rPr>
          <w:spacing w:val="-1"/>
        </w:rPr>
        <w:t> </w:t>
      </w:r>
      <w:r>
        <w:rPr/>
        <w:t>Statistical</w:t>
      </w:r>
      <w:r>
        <w:rPr>
          <w:spacing w:val="-9"/>
        </w:rPr>
        <w:t> </w:t>
      </w:r>
      <w:r>
        <w:rPr/>
        <w:t>difference</w:t>
      </w:r>
      <w:r>
        <w:rPr>
          <w:spacing w:val="-2"/>
        </w:rPr>
        <w:t> </w:t>
      </w:r>
      <w:r>
        <w:rPr/>
        <w:t>at</w:t>
      </w:r>
      <w:r>
        <w:rPr>
          <w:spacing w:val="4"/>
        </w:rPr>
        <w:t> </w:t>
      </w:r>
      <w:r>
        <w:rPr>
          <w:spacing w:val="-2"/>
        </w:rPr>
        <w:t>P&lt;0.05</w:t>
      </w:r>
    </w:p>
    <w:p>
      <w:pPr>
        <w:pStyle w:val="BodyText"/>
        <w:rPr>
          <w:sz w:val="20"/>
        </w:rPr>
      </w:pPr>
    </w:p>
    <w:p>
      <w:pPr>
        <w:pStyle w:val="BodyText"/>
        <w:spacing w:before="78"/>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
        <w:gridCol w:w="1361"/>
        <w:gridCol w:w="1483"/>
        <w:gridCol w:w="1351"/>
        <w:gridCol w:w="1353"/>
        <w:gridCol w:w="1385"/>
        <w:gridCol w:w="1380"/>
      </w:tblGrid>
      <w:tr>
        <w:trPr>
          <w:trHeight w:val="410" w:hRule="atLeast"/>
        </w:trPr>
        <w:tc>
          <w:tcPr>
            <w:tcW w:w="1118" w:type="dxa"/>
            <w:tcBorders>
              <w:bottom w:val="single" w:sz="4" w:space="0" w:color="000000"/>
            </w:tcBorders>
          </w:tcPr>
          <w:p>
            <w:pPr>
              <w:pStyle w:val="TableParagraph"/>
              <w:spacing w:line="263" w:lineRule="exact" w:before="0"/>
              <w:ind w:left="110"/>
              <w:rPr>
                <w:rFonts w:ascii="Calibri"/>
                <w:sz w:val="22"/>
              </w:rPr>
            </w:pPr>
            <w:r>
              <w:rPr>
                <w:rFonts w:ascii="Calibri"/>
                <w:spacing w:val="-2"/>
                <w:sz w:val="22"/>
              </w:rPr>
              <w:t>Rivers</w:t>
            </w:r>
          </w:p>
        </w:tc>
        <w:tc>
          <w:tcPr>
            <w:tcW w:w="1361" w:type="dxa"/>
            <w:tcBorders>
              <w:bottom w:val="single" w:sz="4" w:space="0" w:color="000000"/>
            </w:tcBorders>
          </w:tcPr>
          <w:p>
            <w:pPr>
              <w:pStyle w:val="TableParagraph"/>
              <w:spacing w:line="266" w:lineRule="exact" w:before="0"/>
              <w:ind w:left="317"/>
              <w:rPr>
                <w:sz w:val="24"/>
              </w:rPr>
            </w:pPr>
            <w:r>
              <w:rPr>
                <w:spacing w:val="-2"/>
                <w:sz w:val="24"/>
              </w:rPr>
              <w:t>Season</w:t>
            </w:r>
          </w:p>
        </w:tc>
        <w:tc>
          <w:tcPr>
            <w:tcW w:w="1483" w:type="dxa"/>
            <w:tcBorders>
              <w:bottom w:val="single" w:sz="4" w:space="0" w:color="000000"/>
            </w:tcBorders>
          </w:tcPr>
          <w:p>
            <w:pPr>
              <w:pStyle w:val="TableParagraph"/>
              <w:spacing w:line="266" w:lineRule="exact" w:before="0"/>
              <w:ind w:left="291"/>
              <w:rPr>
                <w:sz w:val="24"/>
              </w:rPr>
            </w:pPr>
            <w:r>
              <w:rPr>
                <w:spacing w:val="-5"/>
                <w:sz w:val="24"/>
              </w:rPr>
              <w:t>Zn</w:t>
            </w:r>
          </w:p>
        </w:tc>
        <w:tc>
          <w:tcPr>
            <w:tcW w:w="1351" w:type="dxa"/>
            <w:tcBorders>
              <w:bottom w:val="single" w:sz="4" w:space="0" w:color="000000"/>
            </w:tcBorders>
          </w:tcPr>
          <w:p>
            <w:pPr>
              <w:pStyle w:val="TableParagraph"/>
              <w:spacing w:line="266" w:lineRule="exact" w:before="0"/>
              <w:ind w:left="157"/>
              <w:rPr>
                <w:sz w:val="24"/>
              </w:rPr>
            </w:pPr>
            <w:r>
              <w:rPr>
                <w:spacing w:val="-5"/>
                <w:sz w:val="24"/>
              </w:rPr>
              <w:t>Cu</w:t>
            </w:r>
          </w:p>
        </w:tc>
        <w:tc>
          <w:tcPr>
            <w:tcW w:w="1353" w:type="dxa"/>
            <w:tcBorders>
              <w:bottom w:val="single" w:sz="4" w:space="0" w:color="000000"/>
            </w:tcBorders>
          </w:tcPr>
          <w:p>
            <w:pPr>
              <w:pStyle w:val="TableParagraph"/>
              <w:spacing w:line="266" w:lineRule="exact" w:before="0"/>
              <w:ind w:left="160"/>
              <w:rPr>
                <w:sz w:val="24"/>
              </w:rPr>
            </w:pPr>
            <w:r>
              <w:rPr>
                <w:spacing w:val="-5"/>
                <w:sz w:val="24"/>
              </w:rPr>
              <w:t>Ni</w:t>
            </w:r>
          </w:p>
        </w:tc>
        <w:tc>
          <w:tcPr>
            <w:tcW w:w="1385" w:type="dxa"/>
            <w:tcBorders>
              <w:bottom w:val="single" w:sz="4" w:space="0" w:color="000000"/>
            </w:tcBorders>
          </w:tcPr>
          <w:p>
            <w:pPr>
              <w:pStyle w:val="TableParagraph"/>
              <w:spacing w:line="266" w:lineRule="exact" w:before="0"/>
              <w:ind w:left="161"/>
              <w:rPr>
                <w:sz w:val="24"/>
              </w:rPr>
            </w:pPr>
            <w:r>
              <w:rPr>
                <w:spacing w:val="-5"/>
                <w:sz w:val="24"/>
              </w:rPr>
              <w:t>Pb</w:t>
            </w:r>
          </w:p>
        </w:tc>
        <w:tc>
          <w:tcPr>
            <w:tcW w:w="1380" w:type="dxa"/>
            <w:tcBorders>
              <w:bottom w:val="single" w:sz="4" w:space="0" w:color="000000"/>
            </w:tcBorders>
          </w:tcPr>
          <w:p>
            <w:pPr>
              <w:pStyle w:val="TableParagraph"/>
              <w:spacing w:line="266" w:lineRule="exact" w:before="0"/>
              <w:ind w:left="135"/>
              <w:rPr>
                <w:sz w:val="24"/>
              </w:rPr>
            </w:pPr>
            <w:r>
              <w:rPr>
                <w:spacing w:val="-5"/>
                <w:sz w:val="24"/>
              </w:rPr>
              <w:t>As</w:t>
            </w:r>
          </w:p>
        </w:tc>
      </w:tr>
      <w:tr>
        <w:trPr>
          <w:trHeight w:val="411" w:hRule="atLeast"/>
        </w:trPr>
        <w:tc>
          <w:tcPr>
            <w:tcW w:w="1118" w:type="dxa"/>
            <w:tcBorders>
              <w:top w:val="single" w:sz="4" w:space="0" w:color="000000"/>
            </w:tcBorders>
          </w:tcPr>
          <w:p>
            <w:pPr>
              <w:pStyle w:val="TableParagraph"/>
              <w:spacing w:line="265" w:lineRule="exact" w:before="0"/>
              <w:ind w:left="110"/>
              <w:rPr>
                <w:rFonts w:ascii="Calibri"/>
                <w:sz w:val="22"/>
              </w:rPr>
            </w:pPr>
            <w:r>
              <w:rPr>
                <w:rFonts w:ascii="Calibri"/>
                <w:spacing w:val="-2"/>
                <w:sz w:val="22"/>
              </w:rPr>
              <w:t>Kaduna</w:t>
            </w:r>
          </w:p>
        </w:tc>
        <w:tc>
          <w:tcPr>
            <w:tcW w:w="1361" w:type="dxa"/>
            <w:tcBorders>
              <w:top w:val="single" w:sz="4" w:space="0" w:color="000000"/>
            </w:tcBorders>
          </w:tcPr>
          <w:p>
            <w:pPr>
              <w:pStyle w:val="TableParagraph"/>
              <w:spacing w:line="268" w:lineRule="exact" w:before="0"/>
              <w:ind w:left="317"/>
              <w:rPr>
                <w:sz w:val="24"/>
              </w:rPr>
            </w:pPr>
            <w:r>
              <w:rPr>
                <w:spacing w:val="-2"/>
                <w:sz w:val="24"/>
              </w:rPr>
              <w:t>Raining</w:t>
            </w:r>
          </w:p>
        </w:tc>
        <w:tc>
          <w:tcPr>
            <w:tcW w:w="1483" w:type="dxa"/>
            <w:tcBorders>
              <w:top w:val="single" w:sz="4" w:space="0" w:color="000000"/>
            </w:tcBorders>
          </w:tcPr>
          <w:p>
            <w:pPr>
              <w:pStyle w:val="TableParagraph"/>
              <w:spacing w:line="268" w:lineRule="exact" w:before="0"/>
              <w:ind w:left="291"/>
              <w:rPr>
                <w:sz w:val="24"/>
              </w:rPr>
            </w:pPr>
            <w:r>
              <w:rPr>
                <w:spacing w:val="-2"/>
                <w:sz w:val="24"/>
              </w:rPr>
              <w:t>7.07±2.80</w:t>
            </w:r>
          </w:p>
        </w:tc>
        <w:tc>
          <w:tcPr>
            <w:tcW w:w="1351" w:type="dxa"/>
            <w:tcBorders>
              <w:top w:val="single" w:sz="4" w:space="0" w:color="000000"/>
            </w:tcBorders>
          </w:tcPr>
          <w:p>
            <w:pPr>
              <w:pStyle w:val="TableParagraph"/>
              <w:spacing w:line="268" w:lineRule="exact" w:before="0"/>
              <w:ind w:left="157"/>
              <w:rPr>
                <w:sz w:val="24"/>
              </w:rPr>
            </w:pPr>
            <w:r>
              <w:rPr>
                <w:spacing w:val="-2"/>
                <w:sz w:val="24"/>
              </w:rPr>
              <w:t>1.21±0.38</w:t>
            </w:r>
          </w:p>
        </w:tc>
        <w:tc>
          <w:tcPr>
            <w:tcW w:w="1353" w:type="dxa"/>
            <w:tcBorders>
              <w:top w:val="single" w:sz="4" w:space="0" w:color="000000"/>
            </w:tcBorders>
          </w:tcPr>
          <w:p>
            <w:pPr>
              <w:pStyle w:val="TableParagraph"/>
              <w:spacing w:line="268" w:lineRule="exact" w:before="0"/>
              <w:ind w:left="160"/>
              <w:rPr>
                <w:sz w:val="24"/>
              </w:rPr>
            </w:pPr>
            <w:r>
              <w:rPr>
                <w:spacing w:val="-2"/>
                <w:sz w:val="24"/>
              </w:rPr>
              <w:t>0.05±0.01</w:t>
            </w:r>
          </w:p>
        </w:tc>
        <w:tc>
          <w:tcPr>
            <w:tcW w:w="1385" w:type="dxa"/>
            <w:tcBorders>
              <w:top w:val="single" w:sz="4" w:space="0" w:color="000000"/>
            </w:tcBorders>
          </w:tcPr>
          <w:p>
            <w:pPr>
              <w:pStyle w:val="TableParagraph"/>
              <w:spacing w:line="268" w:lineRule="exact" w:before="0"/>
              <w:ind w:left="161"/>
              <w:rPr>
                <w:sz w:val="24"/>
              </w:rPr>
            </w:pPr>
            <w:r>
              <w:rPr>
                <w:spacing w:val="-2"/>
                <w:sz w:val="24"/>
              </w:rPr>
              <w:t>0.09±0.02*</w:t>
            </w:r>
          </w:p>
        </w:tc>
        <w:tc>
          <w:tcPr>
            <w:tcW w:w="1380" w:type="dxa"/>
            <w:tcBorders>
              <w:top w:val="single" w:sz="4" w:space="0" w:color="000000"/>
            </w:tcBorders>
          </w:tcPr>
          <w:p>
            <w:pPr>
              <w:pStyle w:val="TableParagraph"/>
              <w:spacing w:line="268" w:lineRule="exact" w:before="0"/>
              <w:ind w:left="135"/>
              <w:rPr>
                <w:sz w:val="24"/>
              </w:rPr>
            </w:pPr>
            <w:r>
              <w:rPr>
                <w:spacing w:val="-2"/>
                <w:sz w:val="24"/>
              </w:rPr>
              <w:t>0.14±0.04</w:t>
            </w:r>
          </w:p>
        </w:tc>
      </w:tr>
      <w:tr>
        <w:trPr>
          <w:trHeight w:val="552" w:hRule="atLeast"/>
        </w:trPr>
        <w:tc>
          <w:tcPr>
            <w:tcW w:w="1118" w:type="dxa"/>
          </w:tcPr>
          <w:p>
            <w:pPr>
              <w:pStyle w:val="TableParagraph"/>
              <w:spacing w:before="0"/>
              <w:rPr>
                <w:sz w:val="22"/>
              </w:rPr>
            </w:pPr>
          </w:p>
        </w:tc>
        <w:tc>
          <w:tcPr>
            <w:tcW w:w="1361" w:type="dxa"/>
          </w:tcPr>
          <w:p>
            <w:pPr>
              <w:pStyle w:val="TableParagraph"/>
              <w:ind w:left="317"/>
              <w:rPr>
                <w:sz w:val="24"/>
              </w:rPr>
            </w:pPr>
            <w:r>
              <w:rPr>
                <w:spacing w:val="-5"/>
                <w:sz w:val="24"/>
              </w:rPr>
              <w:t>Dry</w:t>
            </w:r>
          </w:p>
        </w:tc>
        <w:tc>
          <w:tcPr>
            <w:tcW w:w="1483" w:type="dxa"/>
          </w:tcPr>
          <w:p>
            <w:pPr>
              <w:pStyle w:val="TableParagraph"/>
              <w:ind w:left="291"/>
              <w:rPr>
                <w:sz w:val="24"/>
              </w:rPr>
            </w:pPr>
            <w:r>
              <w:rPr>
                <w:sz w:val="24"/>
              </w:rPr>
              <w:t>7.22±</w:t>
            </w:r>
            <w:r>
              <w:rPr>
                <w:spacing w:val="2"/>
                <w:sz w:val="24"/>
              </w:rPr>
              <w:t> </w:t>
            </w:r>
            <w:r>
              <w:rPr>
                <w:spacing w:val="-4"/>
                <w:sz w:val="24"/>
              </w:rPr>
              <w:t>1.64</w:t>
            </w:r>
          </w:p>
        </w:tc>
        <w:tc>
          <w:tcPr>
            <w:tcW w:w="1351" w:type="dxa"/>
          </w:tcPr>
          <w:p>
            <w:pPr>
              <w:pStyle w:val="TableParagraph"/>
              <w:ind w:left="157"/>
              <w:rPr>
                <w:sz w:val="24"/>
              </w:rPr>
            </w:pPr>
            <w:r>
              <w:rPr>
                <w:sz w:val="24"/>
              </w:rPr>
              <w:t>1.29±</w:t>
            </w:r>
            <w:r>
              <w:rPr>
                <w:spacing w:val="2"/>
                <w:sz w:val="24"/>
              </w:rPr>
              <w:t> </w:t>
            </w:r>
            <w:r>
              <w:rPr>
                <w:spacing w:val="-4"/>
                <w:sz w:val="24"/>
              </w:rPr>
              <w:t>0.21</w:t>
            </w:r>
          </w:p>
        </w:tc>
        <w:tc>
          <w:tcPr>
            <w:tcW w:w="1353" w:type="dxa"/>
          </w:tcPr>
          <w:p>
            <w:pPr>
              <w:pStyle w:val="TableParagraph"/>
              <w:ind w:left="160"/>
              <w:rPr>
                <w:sz w:val="24"/>
              </w:rPr>
            </w:pPr>
            <w:r>
              <w:rPr>
                <w:sz w:val="24"/>
              </w:rPr>
              <w:t>0.06±</w:t>
            </w:r>
            <w:r>
              <w:rPr>
                <w:spacing w:val="2"/>
                <w:sz w:val="24"/>
              </w:rPr>
              <w:t> </w:t>
            </w:r>
            <w:r>
              <w:rPr>
                <w:spacing w:val="-4"/>
                <w:sz w:val="24"/>
              </w:rPr>
              <w:t>0.03</w:t>
            </w:r>
          </w:p>
        </w:tc>
        <w:tc>
          <w:tcPr>
            <w:tcW w:w="1385" w:type="dxa"/>
          </w:tcPr>
          <w:p>
            <w:pPr>
              <w:pStyle w:val="TableParagraph"/>
              <w:ind w:left="161"/>
              <w:rPr>
                <w:sz w:val="24"/>
              </w:rPr>
            </w:pPr>
            <w:r>
              <w:rPr>
                <w:spacing w:val="-2"/>
                <w:sz w:val="24"/>
              </w:rPr>
              <w:t>0.10±0.02*</w:t>
            </w:r>
          </w:p>
        </w:tc>
        <w:tc>
          <w:tcPr>
            <w:tcW w:w="1380" w:type="dxa"/>
          </w:tcPr>
          <w:p>
            <w:pPr>
              <w:pStyle w:val="TableParagraph"/>
              <w:ind w:left="135"/>
              <w:rPr>
                <w:sz w:val="24"/>
              </w:rPr>
            </w:pPr>
            <w:r>
              <w:rPr>
                <w:sz w:val="24"/>
              </w:rPr>
              <w:t>0.18±</w:t>
            </w:r>
            <w:r>
              <w:rPr>
                <w:spacing w:val="2"/>
                <w:sz w:val="24"/>
              </w:rPr>
              <w:t> </w:t>
            </w:r>
            <w:r>
              <w:rPr>
                <w:spacing w:val="-4"/>
                <w:sz w:val="24"/>
              </w:rPr>
              <w:t>0.54</w:t>
            </w:r>
          </w:p>
        </w:tc>
      </w:tr>
      <w:tr>
        <w:trPr>
          <w:trHeight w:val="551" w:hRule="atLeast"/>
        </w:trPr>
        <w:tc>
          <w:tcPr>
            <w:tcW w:w="1118" w:type="dxa"/>
          </w:tcPr>
          <w:p>
            <w:pPr>
              <w:pStyle w:val="TableParagraph"/>
              <w:spacing w:before="138"/>
              <w:ind w:left="110"/>
              <w:rPr>
                <w:rFonts w:ascii="Calibri"/>
                <w:sz w:val="22"/>
              </w:rPr>
            </w:pPr>
            <w:r>
              <w:rPr>
                <w:rFonts w:ascii="Calibri"/>
                <w:spacing w:val="-2"/>
                <w:sz w:val="22"/>
              </w:rPr>
              <w:t>Sokoto</w:t>
            </w:r>
          </w:p>
        </w:tc>
        <w:tc>
          <w:tcPr>
            <w:tcW w:w="1361" w:type="dxa"/>
          </w:tcPr>
          <w:p>
            <w:pPr>
              <w:pStyle w:val="TableParagraph"/>
              <w:ind w:left="317"/>
              <w:rPr>
                <w:sz w:val="24"/>
              </w:rPr>
            </w:pPr>
            <w:r>
              <w:rPr>
                <w:spacing w:val="-2"/>
                <w:sz w:val="24"/>
              </w:rPr>
              <w:t>Raining</w:t>
            </w:r>
          </w:p>
        </w:tc>
        <w:tc>
          <w:tcPr>
            <w:tcW w:w="1483" w:type="dxa"/>
          </w:tcPr>
          <w:p>
            <w:pPr>
              <w:pStyle w:val="TableParagraph"/>
              <w:ind w:left="291"/>
              <w:rPr>
                <w:sz w:val="24"/>
              </w:rPr>
            </w:pPr>
            <w:r>
              <w:rPr>
                <w:spacing w:val="-2"/>
                <w:sz w:val="24"/>
              </w:rPr>
              <w:t>4.14±0.11</w:t>
            </w:r>
          </w:p>
        </w:tc>
        <w:tc>
          <w:tcPr>
            <w:tcW w:w="1351" w:type="dxa"/>
          </w:tcPr>
          <w:p>
            <w:pPr>
              <w:pStyle w:val="TableParagraph"/>
              <w:ind w:left="157"/>
              <w:rPr>
                <w:sz w:val="24"/>
              </w:rPr>
            </w:pPr>
            <w:r>
              <w:rPr>
                <w:spacing w:val="-2"/>
                <w:sz w:val="24"/>
              </w:rPr>
              <w:t>1.22±0.51</w:t>
            </w:r>
          </w:p>
        </w:tc>
        <w:tc>
          <w:tcPr>
            <w:tcW w:w="1353" w:type="dxa"/>
          </w:tcPr>
          <w:p>
            <w:pPr>
              <w:pStyle w:val="TableParagraph"/>
              <w:ind w:left="160"/>
              <w:rPr>
                <w:sz w:val="24"/>
              </w:rPr>
            </w:pPr>
            <w:r>
              <w:rPr>
                <w:spacing w:val="-2"/>
                <w:sz w:val="24"/>
              </w:rPr>
              <w:t>0.03±0.02</w:t>
            </w:r>
          </w:p>
        </w:tc>
        <w:tc>
          <w:tcPr>
            <w:tcW w:w="1385" w:type="dxa"/>
          </w:tcPr>
          <w:p>
            <w:pPr>
              <w:pStyle w:val="TableParagraph"/>
              <w:ind w:left="161"/>
              <w:rPr>
                <w:sz w:val="24"/>
              </w:rPr>
            </w:pPr>
            <w:r>
              <w:rPr>
                <w:spacing w:val="-2"/>
                <w:sz w:val="24"/>
              </w:rPr>
              <w:t>0.11±0.06*</w:t>
            </w:r>
          </w:p>
        </w:tc>
        <w:tc>
          <w:tcPr>
            <w:tcW w:w="1380" w:type="dxa"/>
          </w:tcPr>
          <w:p>
            <w:pPr>
              <w:pStyle w:val="TableParagraph"/>
              <w:ind w:left="135"/>
              <w:rPr>
                <w:sz w:val="24"/>
              </w:rPr>
            </w:pPr>
            <w:r>
              <w:rPr>
                <w:spacing w:val="-2"/>
                <w:sz w:val="24"/>
              </w:rPr>
              <w:t>0.08±0.04</w:t>
            </w:r>
          </w:p>
        </w:tc>
      </w:tr>
      <w:tr>
        <w:trPr>
          <w:trHeight w:val="552" w:hRule="atLeast"/>
        </w:trPr>
        <w:tc>
          <w:tcPr>
            <w:tcW w:w="1118" w:type="dxa"/>
          </w:tcPr>
          <w:p>
            <w:pPr>
              <w:pStyle w:val="TableParagraph"/>
              <w:spacing w:before="0"/>
              <w:rPr>
                <w:sz w:val="22"/>
              </w:rPr>
            </w:pPr>
          </w:p>
        </w:tc>
        <w:tc>
          <w:tcPr>
            <w:tcW w:w="1361" w:type="dxa"/>
          </w:tcPr>
          <w:p>
            <w:pPr>
              <w:pStyle w:val="TableParagraph"/>
              <w:ind w:left="317"/>
              <w:rPr>
                <w:sz w:val="24"/>
              </w:rPr>
            </w:pPr>
            <w:r>
              <w:rPr>
                <w:spacing w:val="-5"/>
                <w:sz w:val="24"/>
              </w:rPr>
              <w:t>Dry</w:t>
            </w:r>
          </w:p>
        </w:tc>
        <w:tc>
          <w:tcPr>
            <w:tcW w:w="1483" w:type="dxa"/>
          </w:tcPr>
          <w:p>
            <w:pPr>
              <w:pStyle w:val="TableParagraph"/>
              <w:ind w:left="291"/>
              <w:rPr>
                <w:sz w:val="24"/>
              </w:rPr>
            </w:pPr>
            <w:r>
              <w:rPr>
                <w:spacing w:val="-2"/>
                <w:sz w:val="24"/>
              </w:rPr>
              <w:t>6.32±0.65</w:t>
            </w:r>
          </w:p>
        </w:tc>
        <w:tc>
          <w:tcPr>
            <w:tcW w:w="1351" w:type="dxa"/>
          </w:tcPr>
          <w:p>
            <w:pPr>
              <w:pStyle w:val="TableParagraph"/>
              <w:ind w:left="157"/>
              <w:rPr>
                <w:sz w:val="24"/>
              </w:rPr>
            </w:pPr>
            <w:r>
              <w:rPr>
                <w:spacing w:val="-2"/>
                <w:sz w:val="24"/>
              </w:rPr>
              <w:t>1.25±0.65</w:t>
            </w:r>
          </w:p>
        </w:tc>
        <w:tc>
          <w:tcPr>
            <w:tcW w:w="1353" w:type="dxa"/>
          </w:tcPr>
          <w:p>
            <w:pPr>
              <w:pStyle w:val="TableParagraph"/>
              <w:ind w:left="160"/>
              <w:rPr>
                <w:sz w:val="24"/>
              </w:rPr>
            </w:pPr>
            <w:r>
              <w:rPr>
                <w:sz w:val="24"/>
              </w:rPr>
              <w:t>0.07±</w:t>
            </w:r>
            <w:r>
              <w:rPr>
                <w:spacing w:val="2"/>
                <w:sz w:val="24"/>
              </w:rPr>
              <w:t> </w:t>
            </w:r>
            <w:r>
              <w:rPr>
                <w:spacing w:val="-4"/>
                <w:sz w:val="24"/>
              </w:rPr>
              <w:t>0.02</w:t>
            </w:r>
          </w:p>
        </w:tc>
        <w:tc>
          <w:tcPr>
            <w:tcW w:w="1385" w:type="dxa"/>
          </w:tcPr>
          <w:p>
            <w:pPr>
              <w:pStyle w:val="TableParagraph"/>
              <w:ind w:left="161"/>
              <w:rPr>
                <w:sz w:val="24"/>
              </w:rPr>
            </w:pPr>
            <w:r>
              <w:rPr>
                <w:spacing w:val="-2"/>
                <w:sz w:val="24"/>
              </w:rPr>
              <w:t>0.12±0.03*</w:t>
            </w:r>
          </w:p>
        </w:tc>
        <w:tc>
          <w:tcPr>
            <w:tcW w:w="1380" w:type="dxa"/>
          </w:tcPr>
          <w:p>
            <w:pPr>
              <w:pStyle w:val="TableParagraph"/>
              <w:ind w:left="135"/>
              <w:rPr>
                <w:sz w:val="24"/>
              </w:rPr>
            </w:pPr>
            <w:r>
              <w:rPr>
                <w:sz w:val="24"/>
              </w:rPr>
              <w:t>0.10±</w:t>
            </w:r>
            <w:r>
              <w:rPr>
                <w:spacing w:val="2"/>
                <w:sz w:val="24"/>
              </w:rPr>
              <w:t> </w:t>
            </w:r>
            <w:r>
              <w:rPr>
                <w:spacing w:val="-4"/>
                <w:sz w:val="24"/>
              </w:rPr>
              <w:t>0.02</w:t>
            </w:r>
          </w:p>
        </w:tc>
      </w:tr>
      <w:tr>
        <w:trPr>
          <w:trHeight w:val="552" w:hRule="atLeast"/>
        </w:trPr>
        <w:tc>
          <w:tcPr>
            <w:tcW w:w="1118" w:type="dxa"/>
          </w:tcPr>
          <w:p>
            <w:pPr>
              <w:pStyle w:val="TableParagraph"/>
              <w:spacing w:before="138"/>
              <w:ind w:left="110"/>
              <w:rPr>
                <w:rFonts w:ascii="Calibri"/>
                <w:sz w:val="22"/>
              </w:rPr>
            </w:pPr>
            <w:r>
              <w:rPr>
                <w:rFonts w:ascii="Calibri"/>
                <w:spacing w:val="-2"/>
                <w:sz w:val="22"/>
              </w:rPr>
              <w:t>Ngadda</w:t>
            </w:r>
          </w:p>
        </w:tc>
        <w:tc>
          <w:tcPr>
            <w:tcW w:w="1361" w:type="dxa"/>
          </w:tcPr>
          <w:p>
            <w:pPr>
              <w:pStyle w:val="TableParagraph"/>
              <w:ind w:left="317"/>
              <w:rPr>
                <w:sz w:val="24"/>
              </w:rPr>
            </w:pPr>
            <w:r>
              <w:rPr>
                <w:spacing w:val="-2"/>
                <w:sz w:val="24"/>
              </w:rPr>
              <w:t>Raining</w:t>
            </w:r>
          </w:p>
        </w:tc>
        <w:tc>
          <w:tcPr>
            <w:tcW w:w="1483" w:type="dxa"/>
          </w:tcPr>
          <w:p>
            <w:pPr>
              <w:pStyle w:val="TableParagraph"/>
              <w:ind w:left="291"/>
              <w:rPr>
                <w:sz w:val="24"/>
              </w:rPr>
            </w:pPr>
            <w:r>
              <w:rPr>
                <w:spacing w:val="-2"/>
                <w:sz w:val="24"/>
              </w:rPr>
              <w:t>7.62±2.86</w:t>
            </w:r>
          </w:p>
        </w:tc>
        <w:tc>
          <w:tcPr>
            <w:tcW w:w="1351" w:type="dxa"/>
          </w:tcPr>
          <w:p>
            <w:pPr>
              <w:pStyle w:val="TableParagraph"/>
              <w:ind w:left="157"/>
              <w:rPr>
                <w:sz w:val="24"/>
              </w:rPr>
            </w:pPr>
            <w:r>
              <w:rPr>
                <w:spacing w:val="-2"/>
                <w:sz w:val="24"/>
              </w:rPr>
              <w:t>1.28±1.00</w:t>
            </w:r>
          </w:p>
        </w:tc>
        <w:tc>
          <w:tcPr>
            <w:tcW w:w="1353" w:type="dxa"/>
          </w:tcPr>
          <w:p>
            <w:pPr>
              <w:pStyle w:val="TableParagraph"/>
              <w:ind w:left="160"/>
              <w:rPr>
                <w:sz w:val="24"/>
              </w:rPr>
            </w:pPr>
            <w:r>
              <w:rPr>
                <w:spacing w:val="-2"/>
                <w:sz w:val="24"/>
              </w:rPr>
              <w:t>0.02±0.01</w:t>
            </w:r>
          </w:p>
        </w:tc>
        <w:tc>
          <w:tcPr>
            <w:tcW w:w="1385" w:type="dxa"/>
          </w:tcPr>
          <w:p>
            <w:pPr>
              <w:pStyle w:val="TableParagraph"/>
              <w:ind w:left="161"/>
              <w:rPr>
                <w:sz w:val="24"/>
              </w:rPr>
            </w:pPr>
            <w:r>
              <w:rPr>
                <w:spacing w:val="-2"/>
                <w:sz w:val="24"/>
              </w:rPr>
              <w:t>0.07±0.04*</w:t>
            </w:r>
          </w:p>
        </w:tc>
        <w:tc>
          <w:tcPr>
            <w:tcW w:w="1380" w:type="dxa"/>
          </w:tcPr>
          <w:p>
            <w:pPr>
              <w:pStyle w:val="TableParagraph"/>
              <w:ind w:left="135"/>
              <w:rPr>
                <w:sz w:val="24"/>
              </w:rPr>
            </w:pPr>
            <w:r>
              <w:rPr>
                <w:spacing w:val="-2"/>
                <w:sz w:val="24"/>
              </w:rPr>
              <w:t>0.21±0.05</w:t>
            </w:r>
          </w:p>
        </w:tc>
      </w:tr>
      <w:tr>
        <w:trPr>
          <w:trHeight w:val="551" w:hRule="atLeast"/>
        </w:trPr>
        <w:tc>
          <w:tcPr>
            <w:tcW w:w="1118" w:type="dxa"/>
          </w:tcPr>
          <w:p>
            <w:pPr>
              <w:pStyle w:val="TableParagraph"/>
              <w:spacing w:before="0"/>
              <w:rPr>
                <w:sz w:val="22"/>
              </w:rPr>
            </w:pPr>
          </w:p>
        </w:tc>
        <w:tc>
          <w:tcPr>
            <w:tcW w:w="1361" w:type="dxa"/>
          </w:tcPr>
          <w:p>
            <w:pPr>
              <w:pStyle w:val="TableParagraph"/>
              <w:ind w:left="317"/>
              <w:rPr>
                <w:sz w:val="24"/>
              </w:rPr>
            </w:pPr>
            <w:r>
              <w:rPr>
                <w:spacing w:val="-5"/>
                <w:sz w:val="24"/>
              </w:rPr>
              <w:t>Dry</w:t>
            </w:r>
          </w:p>
        </w:tc>
        <w:tc>
          <w:tcPr>
            <w:tcW w:w="1483" w:type="dxa"/>
          </w:tcPr>
          <w:p>
            <w:pPr>
              <w:pStyle w:val="TableParagraph"/>
              <w:ind w:left="291"/>
              <w:rPr>
                <w:sz w:val="24"/>
              </w:rPr>
            </w:pPr>
            <w:r>
              <w:rPr>
                <w:spacing w:val="-2"/>
                <w:sz w:val="24"/>
              </w:rPr>
              <w:t>8.05±1.06</w:t>
            </w:r>
          </w:p>
        </w:tc>
        <w:tc>
          <w:tcPr>
            <w:tcW w:w="1351" w:type="dxa"/>
          </w:tcPr>
          <w:p>
            <w:pPr>
              <w:pStyle w:val="TableParagraph"/>
              <w:ind w:left="157"/>
              <w:rPr>
                <w:sz w:val="24"/>
              </w:rPr>
            </w:pPr>
            <w:r>
              <w:rPr>
                <w:spacing w:val="-2"/>
                <w:sz w:val="24"/>
              </w:rPr>
              <w:t>1.32±0.23</w:t>
            </w:r>
          </w:p>
        </w:tc>
        <w:tc>
          <w:tcPr>
            <w:tcW w:w="1353" w:type="dxa"/>
          </w:tcPr>
          <w:p>
            <w:pPr>
              <w:pStyle w:val="TableParagraph"/>
              <w:ind w:left="160"/>
              <w:rPr>
                <w:sz w:val="24"/>
              </w:rPr>
            </w:pPr>
            <w:r>
              <w:rPr>
                <w:spacing w:val="-2"/>
                <w:sz w:val="24"/>
              </w:rPr>
              <w:t>0.03±0.02</w:t>
            </w:r>
          </w:p>
        </w:tc>
        <w:tc>
          <w:tcPr>
            <w:tcW w:w="1385" w:type="dxa"/>
          </w:tcPr>
          <w:p>
            <w:pPr>
              <w:pStyle w:val="TableParagraph"/>
              <w:ind w:left="161"/>
              <w:rPr>
                <w:sz w:val="24"/>
              </w:rPr>
            </w:pPr>
            <w:r>
              <w:rPr>
                <w:spacing w:val="-2"/>
                <w:sz w:val="24"/>
              </w:rPr>
              <w:t>0.08±0.03*</w:t>
            </w:r>
          </w:p>
        </w:tc>
        <w:tc>
          <w:tcPr>
            <w:tcW w:w="1380" w:type="dxa"/>
          </w:tcPr>
          <w:p>
            <w:pPr>
              <w:pStyle w:val="TableParagraph"/>
              <w:ind w:left="135"/>
              <w:rPr>
                <w:sz w:val="24"/>
              </w:rPr>
            </w:pPr>
            <w:r>
              <w:rPr>
                <w:spacing w:val="-2"/>
                <w:sz w:val="24"/>
              </w:rPr>
              <w:t>0.30±0.08</w:t>
            </w:r>
          </w:p>
        </w:tc>
      </w:tr>
      <w:tr>
        <w:trPr>
          <w:trHeight w:val="408" w:hRule="atLeast"/>
        </w:trPr>
        <w:tc>
          <w:tcPr>
            <w:tcW w:w="8051" w:type="dxa"/>
            <w:gridSpan w:val="6"/>
          </w:tcPr>
          <w:p>
            <w:pPr>
              <w:pStyle w:val="TableParagraph"/>
              <w:tabs>
                <w:tab w:pos="3061" w:val="left" w:leader="none"/>
                <w:tab w:pos="4316" w:val="left" w:leader="none"/>
                <w:tab w:pos="5634" w:val="left" w:leader="none"/>
                <w:tab w:pos="7791" w:val="right" w:leader="none"/>
              </w:tabs>
              <w:spacing w:line="256" w:lineRule="exact"/>
              <w:ind w:left="110"/>
              <w:rPr>
                <w:sz w:val="24"/>
              </w:rPr>
            </w:pPr>
            <w:r>
              <w:rPr>
                <w:sz w:val="24"/>
              </w:rPr>
              <w:t>MPL</w:t>
            </w:r>
            <w:r>
              <w:rPr>
                <w:spacing w:val="-4"/>
                <w:sz w:val="24"/>
              </w:rPr>
              <w:t> </w:t>
            </w:r>
            <w:r>
              <w:rPr>
                <w:spacing w:val="-2"/>
                <w:sz w:val="24"/>
              </w:rPr>
              <w:t>[W.H.O.(2007)]</w:t>
            </w:r>
            <w:r>
              <w:rPr>
                <w:sz w:val="24"/>
              </w:rPr>
              <w:tab/>
            </w:r>
            <w:r>
              <w:rPr>
                <w:spacing w:val="-4"/>
                <w:sz w:val="24"/>
              </w:rPr>
              <w:t>15.0</w:t>
            </w:r>
            <w:r>
              <w:rPr>
                <w:sz w:val="24"/>
              </w:rPr>
              <w:tab/>
            </w:r>
            <w:r>
              <w:rPr>
                <w:spacing w:val="-5"/>
                <w:sz w:val="24"/>
              </w:rPr>
              <w:t>1.5</w:t>
            </w:r>
            <w:r>
              <w:rPr>
                <w:sz w:val="24"/>
              </w:rPr>
              <w:tab/>
            </w:r>
            <w:r>
              <w:rPr>
                <w:spacing w:val="-2"/>
                <w:sz w:val="24"/>
              </w:rPr>
              <w:t>1.00.05</w:t>
            </w:r>
            <w:r>
              <w:rPr>
                <w:sz w:val="24"/>
              </w:rPr>
              <w:tab/>
            </w:r>
            <w:r>
              <w:rPr>
                <w:spacing w:val="-5"/>
                <w:sz w:val="24"/>
              </w:rPr>
              <w:t>0.5</w:t>
            </w:r>
          </w:p>
        </w:tc>
        <w:tc>
          <w:tcPr>
            <w:tcW w:w="1380" w:type="dxa"/>
          </w:tcPr>
          <w:p>
            <w:pPr>
              <w:pStyle w:val="TableParagraph"/>
              <w:spacing w:before="0"/>
              <w:rPr>
                <w:sz w:val="22"/>
              </w:rPr>
            </w:pPr>
          </w:p>
        </w:tc>
      </w:tr>
    </w:tbl>
    <w:p>
      <w:pPr>
        <w:pStyle w:val="BodyText"/>
        <w:spacing w:before="34"/>
        <w:rPr>
          <w:sz w:val="20"/>
        </w:rPr>
      </w:pPr>
      <w:r>
        <w:rPr/>
        <mc:AlternateContent>
          <mc:Choice Requires="wps">
            <w:drawing>
              <wp:anchor distT="0" distB="0" distL="0" distR="0" allowOverlap="1" layoutInCell="1" locked="0" behindDoc="1" simplePos="0" relativeHeight="487594496">
                <wp:simplePos x="0" y="0"/>
                <wp:positionH relativeFrom="page">
                  <wp:posOffset>835456</wp:posOffset>
                </wp:positionH>
                <wp:positionV relativeFrom="paragraph">
                  <wp:posOffset>183303</wp:posOffset>
                </wp:positionV>
                <wp:extent cx="6095365" cy="635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6095365" cy="6350"/>
                        </a:xfrm>
                        <a:custGeom>
                          <a:avLst/>
                          <a:gdLst/>
                          <a:ahLst/>
                          <a:cxnLst/>
                          <a:rect l="l" t="t" r="r" b="b"/>
                          <a:pathLst>
                            <a:path w="6095365" h="6350">
                              <a:moveTo>
                                <a:pt x="6095111" y="0"/>
                              </a:moveTo>
                              <a:lnTo>
                                <a:pt x="0" y="0"/>
                              </a:lnTo>
                              <a:lnTo>
                                <a:pt x="0" y="6096"/>
                              </a:lnTo>
                              <a:lnTo>
                                <a:pt x="6095111" y="6096"/>
                              </a:lnTo>
                              <a:lnTo>
                                <a:pt x="60951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783997pt;margin-top:14.43335pt;width:479.93pt;height:.48001pt;mso-position-horizontal-relative:page;mso-position-vertical-relative:paragraph;z-index:-15721984;mso-wrap-distance-left:0;mso-wrap-distance-right:0" id="docshape21" filled="true" fillcolor="#000000" stroked="false">
                <v:fill type="solid"/>
                <w10:wrap type="topAndBottom"/>
              </v:rect>
            </w:pict>
          </mc:Fallback>
        </mc:AlternateContent>
      </w:r>
    </w:p>
    <w:p>
      <w:pPr>
        <w:pStyle w:val="BodyText"/>
        <w:ind w:left="420"/>
      </w:pPr>
      <w:r>
        <w:rPr/>
        <w:t>MPL</w:t>
      </w:r>
      <w:r>
        <w:rPr>
          <w:spacing w:val="-8"/>
        </w:rPr>
        <w:t> </w:t>
      </w:r>
      <w:r>
        <w:rPr/>
        <w:t>-Maximum</w:t>
      </w:r>
      <w:r>
        <w:rPr>
          <w:spacing w:val="-9"/>
        </w:rPr>
        <w:t> </w:t>
      </w:r>
      <w:r>
        <w:rPr/>
        <w:t>permissible limit;</w:t>
      </w:r>
      <w:r>
        <w:rPr>
          <w:spacing w:val="-4"/>
        </w:rPr>
        <w:t> </w:t>
      </w:r>
      <w:r>
        <w:rPr/>
        <w:t>WHO</w:t>
      </w:r>
      <w:r>
        <w:rPr>
          <w:spacing w:val="3"/>
        </w:rPr>
        <w:t> </w:t>
      </w:r>
      <w:r>
        <w:rPr/>
        <w:t>World Health</w:t>
      </w:r>
      <w:r>
        <w:rPr>
          <w:spacing w:val="-8"/>
        </w:rPr>
        <w:t> </w:t>
      </w:r>
      <w:r>
        <w:rPr>
          <w:spacing w:val="-2"/>
        </w:rPr>
        <w:t>Organization;</w:t>
      </w:r>
    </w:p>
    <w:p>
      <w:pPr>
        <w:pStyle w:val="BodyText"/>
        <w:spacing w:before="268"/>
        <w:ind w:left="420"/>
      </w:pPr>
      <w:r>
        <w:rPr/>
        <w:t>*(P&lt;0.05)</w:t>
      </w:r>
      <w:r>
        <w:rPr>
          <w:spacing w:val="1"/>
        </w:rPr>
        <w:t> </w:t>
      </w:r>
      <w:r>
        <w:rPr>
          <w:spacing w:val="-2"/>
        </w:rPr>
        <w:t>Significant</w:t>
      </w:r>
    </w:p>
    <w:sectPr>
      <w:pgSz w:w="12240" w:h="15840"/>
      <w:pgMar w:header="0" w:footer="1012" w:top="1360" w:bottom="1200" w:left="10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7840">
              <wp:simplePos x="0" y="0"/>
              <wp:positionH relativeFrom="page">
                <wp:posOffset>3739896</wp:posOffset>
              </wp:positionH>
              <wp:positionV relativeFrom="page">
                <wp:posOffset>9275774</wp:posOffset>
              </wp:positionV>
              <wp:extent cx="30988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09880" cy="165735"/>
                      </a:xfrm>
                      <a:prstGeom prst="rect">
                        <a:avLst/>
                      </a:prstGeom>
                    </wps:spPr>
                    <wps:txbx>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480011pt;margin-top:730.375977pt;width:24.4pt;height:13.05pt;mso-position-horizontal-relative:page;mso-position-vertical-relative:page;z-index:-17328640" type="#_x0000_t202" id="docshape1" filled="false" stroked="false">
              <v:textbox inset="0,0,0,0">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8352">
              <wp:simplePos x="0" y="0"/>
              <wp:positionH relativeFrom="page">
                <wp:posOffset>3742944</wp:posOffset>
              </wp:positionH>
              <wp:positionV relativeFrom="page">
                <wp:posOffset>9275774</wp:posOffset>
              </wp:positionV>
              <wp:extent cx="29972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720001pt;margin-top:730.375977pt;width:23.6pt;height:13.05pt;mso-position-horizontal-relative:page;mso-position-vertical-relative:page;z-index:-17328128"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5668" w:hanging="207"/>
      </w:pPr>
      <w:rPr>
        <w:rFonts w:hint="default" w:ascii="Times New Roman" w:hAnsi="Times New Roman" w:eastAsia="Times New Roman" w:cs="Times New Roman"/>
        <w:b w:val="0"/>
        <w:bCs w:val="0"/>
        <w:i w:val="0"/>
        <w:iCs w:val="0"/>
        <w:color w:val="FF0000"/>
        <w:spacing w:val="0"/>
        <w:w w:val="100"/>
        <w:sz w:val="24"/>
        <w:szCs w:val="24"/>
        <w:lang w:val="en-US" w:eastAsia="en-US" w:bidi="ar-SA"/>
      </w:rPr>
    </w:lvl>
    <w:lvl w:ilvl="1">
      <w:start w:val="0"/>
      <w:numFmt w:val="bullet"/>
      <w:lvlText w:val="•"/>
      <w:lvlJc w:val="left"/>
      <w:pPr>
        <w:ind w:left="6144" w:hanging="207"/>
      </w:pPr>
      <w:rPr>
        <w:rFonts w:hint="default"/>
        <w:lang w:val="en-US" w:eastAsia="en-US" w:bidi="ar-SA"/>
      </w:rPr>
    </w:lvl>
    <w:lvl w:ilvl="2">
      <w:start w:val="0"/>
      <w:numFmt w:val="bullet"/>
      <w:lvlText w:val="•"/>
      <w:lvlJc w:val="left"/>
      <w:pPr>
        <w:ind w:left="6628" w:hanging="207"/>
      </w:pPr>
      <w:rPr>
        <w:rFonts w:hint="default"/>
        <w:lang w:val="en-US" w:eastAsia="en-US" w:bidi="ar-SA"/>
      </w:rPr>
    </w:lvl>
    <w:lvl w:ilvl="3">
      <w:start w:val="0"/>
      <w:numFmt w:val="bullet"/>
      <w:lvlText w:val="•"/>
      <w:lvlJc w:val="left"/>
      <w:pPr>
        <w:ind w:left="7112" w:hanging="207"/>
      </w:pPr>
      <w:rPr>
        <w:rFonts w:hint="default"/>
        <w:lang w:val="en-US" w:eastAsia="en-US" w:bidi="ar-SA"/>
      </w:rPr>
    </w:lvl>
    <w:lvl w:ilvl="4">
      <w:start w:val="0"/>
      <w:numFmt w:val="bullet"/>
      <w:lvlText w:val="•"/>
      <w:lvlJc w:val="left"/>
      <w:pPr>
        <w:ind w:left="7596" w:hanging="207"/>
      </w:pPr>
      <w:rPr>
        <w:rFonts w:hint="default"/>
        <w:lang w:val="en-US" w:eastAsia="en-US" w:bidi="ar-SA"/>
      </w:rPr>
    </w:lvl>
    <w:lvl w:ilvl="5">
      <w:start w:val="0"/>
      <w:numFmt w:val="bullet"/>
      <w:lvlText w:val="•"/>
      <w:lvlJc w:val="left"/>
      <w:pPr>
        <w:ind w:left="8080" w:hanging="207"/>
      </w:pPr>
      <w:rPr>
        <w:rFonts w:hint="default"/>
        <w:lang w:val="en-US" w:eastAsia="en-US" w:bidi="ar-SA"/>
      </w:rPr>
    </w:lvl>
    <w:lvl w:ilvl="6">
      <w:start w:val="0"/>
      <w:numFmt w:val="bullet"/>
      <w:lvlText w:val="•"/>
      <w:lvlJc w:val="left"/>
      <w:pPr>
        <w:ind w:left="8564" w:hanging="207"/>
      </w:pPr>
      <w:rPr>
        <w:rFonts w:hint="default"/>
        <w:lang w:val="en-US" w:eastAsia="en-US" w:bidi="ar-SA"/>
      </w:rPr>
    </w:lvl>
    <w:lvl w:ilvl="7">
      <w:start w:val="0"/>
      <w:numFmt w:val="bullet"/>
      <w:lvlText w:val="•"/>
      <w:lvlJc w:val="left"/>
      <w:pPr>
        <w:ind w:left="9048" w:hanging="207"/>
      </w:pPr>
      <w:rPr>
        <w:rFonts w:hint="default"/>
        <w:lang w:val="en-US" w:eastAsia="en-US" w:bidi="ar-SA"/>
      </w:rPr>
    </w:lvl>
    <w:lvl w:ilvl="8">
      <w:start w:val="0"/>
      <w:numFmt w:val="bullet"/>
      <w:lvlText w:val="•"/>
      <w:lvlJc w:val="left"/>
      <w:pPr>
        <w:ind w:left="9532" w:hanging="207"/>
      </w:pPr>
      <w:rPr>
        <w:rFonts w:hint="default"/>
        <w:lang w:val="en-US" w:eastAsia="en-US" w:bidi="ar-SA"/>
      </w:rPr>
    </w:lvl>
  </w:abstractNum>
  <w:abstractNum w:abstractNumId="19">
    <w:multiLevelType w:val="hybridMultilevel"/>
    <w:lvl w:ilvl="0">
      <w:start w:val="0"/>
      <w:numFmt w:val="bullet"/>
      <w:lvlText w:val="●"/>
      <w:lvlJc w:val="left"/>
      <w:pPr>
        <w:ind w:left="5668" w:hanging="207"/>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144" w:hanging="207"/>
      </w:pPr>
      <w:rPr>
        <w:rFonts w:hint="default"/>
        <w:lang w:val="en-US" w:eastAsia="en-US" w:bidi="ar-SA"/>
      </w:rPr>
    </w:lvl>
    <w:lvl w:ilvl="2">
      <w:start w:val="0"/>
      <w:numFmt w:val="bullet"/>
      <w:lvlText w:val="•"/>
      <w:lvlJc w:val="left"/>
      <w:pPr>
        <w:ind w:left="6628" w:hanging="207"/>
      </w:pPr>
      <w:rPr>
        <w:rFonts w:hint="default"/>
        <w:lang w:val="en-US" w:eastAsia="en-US" w:bidi="ar-SA"/>
      </w:rPr>
    </w:lvl>
    <w:lvl w:ilvl="3">
      <w:start w:val="0"/>
      <w:numFmt w:val="bullet"/>
      <w:lvlText w:val="•"/>
      <w:lvlJc w:val="left"/>
      <w:pPr>
        <w:ind w:left="7112" w:hanging="207"/>
      </w:pPr>
      <w:rPr>
        <w:rFonts w:hint="default"/>
        <w:lang w:val="en-US" w:eastAsia="en-US" w:bidi="ar-SA"/>
      </w:rPr>
    </w:lvl>
    <w:lvl w:ilvl="4">
      <w:start w:val="0"/>
      <w:numFmt w:val="bullet"/>
      <w:lvlText w:val="•"/>
      <w:lvlJc w:val="left"/>
      <w:pPr>
        <w:ind w:left="7596" w:hanging="207"/>
      </w:pPr>
      <w:rPr>
        <w:rFonts w:hint="default"/>
        <w:lang w:val="en-US" w:eastAsia="en-US" w:bidi="ar-SA"/>
      </w:rPr>
    </w:lvl>
    <w:lvl w:ilvl="5">
      <w:start w:val="0"/>
      <w:numFmt w:val="bullet"/>
      <w:lvlText w:val="•"/>
      <w:lvlJc w:val="left"/>
      <w:pPr>
        <w:ind w:left="8080" w:hanging="207"/>
      </w:pPr>
      <w:rPr>
        <w:rFonts w:hint="default"/>
        <w:lang w:val="en-US" w:eastAsia="en-US" w:bidi="ar-SA"/>
      </w:rPr>
    </w:lvl>
    <w:lvl w:ilvl="6">
      <w:start w:val="0"/>
      <w:numFmt w:val="bullet"/>
      <w:lvlText w:val="•"/>
      <w:lvlJc w:val="left"/>
      <w:pPr>
        <w:ind w:left="8564" w:hanging="207"/>
      </w:pPr>
      <w:rPr>
        <w:rFonts w:hint="default"/>
        <w:lang w:val="en-US" w:eastAsia="en-US" w:bidi="ar-SA"/>
      </w:rPr>
    </w:lvl>
    <w:lvl w:ilvl="7">
      <w:start w:val="0"/>
      <w:numFmt w:val="bullet"/>
      <w:lvlText w:val="•"/>
      <w:lvlJc w:val="left"/>
      <w:pPr>
        <w:ind w:left="9048" w:hanging="207"/>
      </w:pPr>
      <w:rPr>
        <w:rFonts w:hint="default"/>
        <w:lang w:val="en-US" w:eastAsia="en-US" w:bidi="ar-SA"/>
      </w:rPr>
    </w:lvl>
    <w:lvl w:ilvl="8">
      <w:start w:val="0"/>
      <w:numFmt w:val="bullet"/>
      <w:lvlText w:val="•"/>
      <w:lvlJc w:val="left"/>
      <w:pPr>
        <w:ind w:left="9532" w:hanging="207"/>
      </w:pPr>
      <w:rPr>
        <w:rFonts w:hint="default"/>
        <w:lang w:val="en-US" w:eastAsia="en-US" w:bidi="ar-SA"/>
      </w:rPr>
    </w:lvl>
  </w:abstractNum>
  <w:abstractNum w:abstractNumId="13">
    <w:multiLevelType w:val="hybridMultilevel"/>
    <w:lvl w:ilvl="0">
      <w:start w:val="1"/>
      <w:numFmt w:val="decimal"/>
      <w:lvlText w:val="%1."/>
      <w:lvlJc w:val="left"/>
      <w:pPr>
        <w:ind w:left="144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46" w:hanging="360"/>
      </w:pPr>
      <w:rPr>
        <w:rFonts w:hint="default"/>
        <w:lang w:val="en-US" w:eastAsia="en-US" w:bidi="ar-SA"/>
      </w:rPr>
    </w:lvl>
    <w:lvl w:ilvl="2">
      <w:start w:val="0"/>
      <w:numFmt w:val="bullet"/>
      <w:lvlText w:val="•"/>
      <w:lvlJc w:val="left"/>
      <w:pPr>
        <w:ind w:left="3252" w:hanging="360"/>
      </w:pPr>
      <w:rPr>
        <w:rFonts w:hint="default"/>
        <w:lang w:val="en-US" w:eastAsia="en-US" w:bidi="ar-SA"/>
      </w:rPr>
    </w:lvl>
    <w:lvl w:ilvl="3">
      <w:start w:val="0"/>
      <w:numFmt w:val="bullet"/>
      <w:lvlText w:val="•"/>
      <w:lvlJc w:val="left"/>
      <w:pPr>
        <w:ind w:left="4158" w:hanging="360"/>
      </w:pPr>
      <w:rPr>
        <w:rFonts w:hint="default"/>
        <w:lang w:val="en-US" w:eastAsia="en-US" w:bidi="ar-SA"/>
      </w:rPr>
    </w:lvl>
    <w:lvl w:ilvl="4">
      <w:start w:val="0"/>
      <w:numFmt w:val="bullet"/>
      <w:lvlText w:val="•"/>
      <w:lvlJc w:val="left"/>
      <w:pPr>
        <w:ind w:left="5064"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76" w:hanging="360"/>
      </w:pPr>
      <w:rPr>
        <w:rFonts w:hint="default"/>
        <w:lang w:val="en-US" w:eastAsia="en-US" w:bidi="ar-SA"/>
      </w:rPr>
    </w:lvl>
    <w:lvl w:ilvl="7">
      <w:start w:val="0"/>
      <w:numFmt w:val="bullet"/>
      <w:lvlText w:val="•"/>
      <w:lvlJc w:val="left"/>
      <w:pPr>
        <w:ind w:left="7782" w:hanging="360"/>
      </w:pPr>
      <w:rPr>
        <w:rFonts w:hint="default"/>
        <w:lang w:val="en-US" w:eastAsia="en-US" w:bidi="ar-SA"/>
      </w:rPr>
    </w:lvl>
    <w:lvl w:ilvl="8">
      <w:start w:val="0"/>
      <w:numFmt w:val="bullet"/>
      <w:lvlText w:val="•"/>
      <w:lvlJc w:val="left"/>
      <w:pPr>
        <w:ind w:left="8688" w:hanging="360"/>
      </w:pPr>
      <w:rPr>
        <w:rFonts w:hint="default"/>
        <w:lang w:val="en-US" w:eastAsia="en-US" w:bidi="ar-SA"/>
      </w:rPr>
    </w:lvl>
  </w:abstractNum>
  <w:abstractNum w:abstractNumId="24">
    <w:multiLevelType w:val="hybridMultilevel"/>
    <w:lvl w:ilvl="0">
      <w:start w:val="6"/>
      <w:numFmt w:val="decimal"/>
      <w:lvlText w:val="%1"/>
      <w:lvlJc w:val="left"/>
      <w:pPr>
        <w:ind w:left="3844" w:hanging="3424"/>
        <w:jc w:val="left"/>
      </w:pPr>
      <w:rPr>
        <w:rFonts w:hint="default"/>
        <w:lang w:val="en-US" w:eastAsia="en-US" w:bidi="ar-SA"/>
      </w:rPr>
    </w:lvl>
    <w:lvl w:ilvl="1">
      <w:start w:val="1"/>
      <w:numFmt w:val="decimal"/>
      <w:lvlText w:val="%1.%2"/>
      <w:lvlJc w:val="left"/>
      <w:pPr>
        <w:ind w:left="3844" w:hanging="3424"/>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141" w:hanging="361"/>
      </w:pPr>
      <w:rPr>
        <w:rFonts w:hint="default" w:ascii="Arial MT" w:hAnsi="Arial MT" w:eastAsia="Arial MT" w:cs="Arial MT"/>
        <w:b w:val="0"/>
        <w:bCs w:val="0"/>
        <w:i w:val="0"/>
        <w:iCs w:val="0"/>
        <w:spacing w:val="0"/>
        <w:w w:val="100"/>
        <w:sz w:val="24"/>
        <w:szCs w:val="24"/>
        <w:lang w:val="en-US" w:eastAsia="en-US" w:bidi="ar-SA"/>
      </w:rPr>
    </w:lvl>
    <w:lvl w:ilvl="3">
      <w:start w:val="0"/>
      <w:numFmt w:val="bullet"/>
      <w:lvlText w:val="•"/>
      <w:lvlJc w:val="left"/>
      <w:pPr>
        <w:ind w:left="5320" w:hanging="361"/>
      </w:pPr>
      <w:rPr>
        <w:rFonts w:hint="default"/>
        <w:lang w:val="en-US" w:eastAsia="en-US" w:bidi="ar-SA"/>
      </w:rPr>
    </w:lvl>
    <w:lvl w:ilvl="4">
      <w:start w:val="0"/>
      <w:numFmt w:val="bullet"/>
      <w:lvlText w:val="•"/>
      <w:lvlJc w:val="left"/>
      <w:pPr>
        <w:ind w:left="6060" w:hanging="361"/>
      </w:pPr>
      <w:rPr>
        <w:rFonts w:hint="default"/>
        <w:lang w:val="en-US" w:eastAsia="en-US" w:bidi="ar-SA"/>
      </w:rPr>
    </w:lvl>
    <w:lvl w:ilvl="5">
      <w:start w:val="0"/>
      <w:numFmt w:val="bullet"/>
      <w:lvlText w:val="•"/>
      <w:lvlJc w:val="left"/>
      <w:pPr>
        <w:ind w:left="6800" w:hanging="361"/>
      </w:pPr>
      <w:rPr>
        <w:rFonts w:hint="default"/>
        <w:lang w:val="en-US" w:eastAsia="en-US" w:bidi="ar-SA"/>
      </w:rPr>
    </w:lvl>
    <w:lvl w:ilvl="6">
      <w:start w:val="0"/>
      <w:numFmt w:val="bullet"/>
      <w:lvlText w:val="•"/>
      <w:lvlJc w:val="left"/>
      <w:pPr>
        <w:ind w:left="7540" w:hanging="361"/>
      </w:pPr>
      <w:rPr>
        <w:rFonts w:hint="default"/>
        <w:lang w:val="en-US" w:eastAsia="en-US" w:bidi="ar-SA"/>
      </w:rPr>
    </w:lvl>
    <w:lvl w:ilvl="7">
      <w:start w:val="0"/>
      <w:numFmt w:val="bullet"/>
      <w:lvlText w:val="•"/>
      <w:lvlJc w:val="left"/>
      <w:pPr>
        <w:ind w:left="8280" w:hanging="361"/>
      </w:pPr>
      <w:rPr>
        <w:rFonts w:hint="default"/>
        <w:lang w:val="en-US" w:eastAsia="en-US" w:bidi="ar-SA"/>
      </w:rPr>
    </w:lvl>
    <w:lvl w:ilvl="8">
      <w:start w:val="0"/>
      <w:numFmt w:val="bullet"/>
      <w:lvlText w:val="•"/>
      <w:lvlJc w:val="left"/>
      <w:pPr>
        <w:ind w:left="9020" w:hanging="361"/>
      </w:pPr>
      <w:rPr>
        <w:rFonts w:hint="default"/>
        <w:lang w:val="en-US" w:eastAsia="en-US" w:bidi="ar-SA"/>
      </w:rPr>
    </w:lvl>
  </w:abstractNum>
  <w:abstractNum w:abstractNumId="23">
    <w:multiLevelType w:val="hybridMultilevel"/>
    <w:lvl w:ilvl="0">
      <w:start w:val="5"/>
      <w:numFmt w:val="decimal"/>
      <w:lvlText w:val="%1"/>
      <w:lvlJc w:val="left"/>
      <w:pPr>
        <w:ind w:left="3117" w:hanging="2698"/>
        <w:jc w:val="left"/>
      </w:pPr>
      <w:rPr>
        <w:rFonts w:hint="default"/>
        <w:lang w:val="en-US" w:eastAsia="en-US" w:bidi="ar-SA"/>
      </w:rPr>
    </w:lvl>
    <w:lvl w:ilvl="1">
      <w:start w:val="1"/>
      <w:numFmt w:val="decimal"/>
      <w:lvlText w:val="%1.%2"/>
      <w:lvlJc w:val="left"/>
      <w:pPr>
        <w:ind w:left="3117" w:hanging="269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596" w:hanging="2698"/>
      </w:pPr>
      <w:rPr>
        <w:rFonts w:hint="default"/>
        <w:lang w:val="en-US" w:eastAsia="en-US" w:bidi="ar-SA"/>
      </w:rPr>
    </w:lvl>
    <w:lvl w:ilvl="3">
      <w:start w:val="0"/>
      <w:numFmt w:val="bullet"/>
      <w:lvlText w:val="•"/>
      <w:lvlJc w:val="left"/>
      <w:pPr>
        <w:ind w:left="5334" w:hanging="2698"/>
      </w:pPr>
      <w:rPr>
        <w:rFonts w:hint="default"/>
        <w:lang w:val="en-US" w:eastAsia="en-US" w:bidi="ar-SA"/>
      </w:rPr>
    </w:lvl>
    <w:lvl w:ilvl="4">
      <w:start w:val="0"/>
      <w:numFmt w:val="bullet"/>
      <w:lvlText w:val="•"/>
      <w:lvlJc w:val="left"/>
      <w:pPr>
        <w:ind w:left="6072" w:hanging="2698"/>
      </w:pPr>
      <w:rPr>
        <w:rFonts w:hint="default"/>
        <w:lang w:val="en-US" w:eastAsia="en-US" w:bidi="ar-SA"/>
      </w:rPr>
    </w:lvl>
    <w:lvl w:ilvl="5">
      <w:start w:val="0"/>
      <w:numFmt w:val="bullet"/>
      <w:lvlText w:val="•"/>
      <w:lvlJc w:val="left"/>
      <w:pPr>
        <w:ind w:left="6810" w:hanging="2698"/>
      </w:pPr>
      <w:rPr>
        <w:rFonts w:hint="default"/>
        <w:lang w:val="en-US" w:eastAsia="en-US" w:bidi="ar-SA"/>
      </w:rPr>
    </w:lvl>
    <w:lvl w:ilvl="6">
      <w:start w:val="0"/>
      <w:numFmt w:val="bullet"/>
      <w:lvlText w:val="•"/>
      <w:lvlJc w:val="left"/>
      <w:pPr>
        <w:ind w:left="7548" w:hanging="2698"/>
      </w:pPr>
      <w:rPr>
        <w:rFonts w:hint="default"/>
        <w:lang w:val="en-US" w:eastAsia="en-US" w:bidi="ar-SA"/>
      </w:rPr>
    </w:lvl>
    <w:lvl w:ilvl="7">
      <w:start w:val="0"/>
      <w:numFmt w:val="bullet"/>
      <w:lvlText w:val="•"/>
      <w:lvlJc w:val="left"/>
      <w:pPr>
        <w:ind w:left="8286" w:hanging="2698"/>
      </w:pPr>
      <w:rPr>
        <w:rFonts w:hint="default"/>
        <w:lang w:val="en-US" w:eastAsia="en-US" w:bidi="ar-SA"/>
      </w:rPr>
    </w:lvl>
    <w:lvl w:ilvl="8">
      <w:start w:val="0"/>
      <w:numFmt w:val="bullet"/>
      <w:lvlText w:val="•"/>
      <w:lvlJc w:val="left"/>
      <w:pPr>
        <w:ind w:left="9024" w:hanging="2698"/>
      </w:pPr>
      <w:rPr>
        <w:rFonts w:hint="default"/>
        <w:lang w:val="en-US" w:eastAsia="en-US" w:bidi="ar-SA"/>
      </w:rPr>
    </w:lvl>
  </w:abstractNum>
  <w:abstractNum w:abstractNumId="22">
    <w:multiLevelType w:val="hybridMultilevel"/>
    <w:lvl w:ilvl="0">
      <w:start w:val="4"/>
      <w:numFmt w:val="decimal"/>
      <w:lvlText w:val="%1"/>
      <w:lvlJc w:val="left"/>
      <w:pPr>
        <w:ind w:left="900" w:hanging="480"/>
        <w:jc w:val="left"/>
      </w:pPr>
      <w:rPr>
        <w:rFonts w:hint="default"/>
        <w:lang w:val="en-US" w:eastAsia="en-US" w:bidi="ar-SA"/>
      </w:rPr>
    </w:lvl>
    <w:lvl w:ilvl="1">
      <w:start w:val="1"/>
      <w:numFmt w:val="decimal"/>
      <w:lvlText w:val="%1.%2"/>
      <w:lvlJc w:val="left"/>
      <w:pPr>
        <w:ind w:left="900" w:hanging="480"/>
        <w:jc w:val="left"/>
      </w:pPr>
      <w:rPr>
        <w:rFonts w:hint="default"/>
        <w:spacing w:val="0"/>
        <w:w w:val="100"/>
        <w:lang w:val="en-US" w:eastAsia="en-US" w:bidi="ar-SA"/>
      </w:rPr>
    </w:lvl>
    <w:lvl w:ilvl="2">
      <w:start w:val="0"/>
      <w:numFmt w:val="bullet"/>
      <w:lvlText w:val="•"/>
      <w:lvlJc w:val="left"/>
      <w:pPr>
        <w:ind w:left="2820" w:hanging="480"/>
      </w:pPr>
      <w:rPr>
        <w:rFonts w:hint="default"/>
        <w:lang w:val="en-US" w:eastAsia="en-US" w:bidi="ar-SA"/>
      </w:rPr>
    </w:lvl>
    <w:lvl w:ilvl="3">
      <w:start w:val="0"/>
      <w:numFmt w:val="bullet"/>
      <w:lvlText w:val="•"/>
      <w:lvlJc w:val="left"/>
      <w:pPr>
        <w:ind w:left="3780" w:hanging="480"/>
      </w:pPr>
      <w:rPr>
        <w:rFonts w:hint="default"/>
        <w:lang w:val="en-US" w:eastAsia="en-US" w:bidi="ar-SA"/>
      </w:rPr>
    </w:lvl>
    <w:lvl w:ilvl="4">
      <w:start w:val="0"/>
      <w:numFmt w:val="bullet"/>
      <w:lvlText w:val="•"/>
      <w:lvlJc w:val="left"/>
      <w:pPr>
        <w:ind w:left="4740" w:hanging="480"/>
      </w:pPr>
      <w:rPr>
        <w:rFonts w:hint="default"/>
        <w:lang w:val="en-US" w:eastAsia="en-US" w:bidi="ar-SA"/>
      </w:rPr>
    </w:lvl>
    <w:lvl w:ilvl="5">
      <w:start w:val="0"/>
      <w:numFmt w:val="bullet"/>
      <w:lvlText w:val="•"/>
      <w:lvlJc w:val="left"/>
      <w:pPr>
        <w:ind w:left="5700" w:hanging="480"/>
      </w:pPr>
      <w:rPr>
        <w:rFonts w:hint="default"/>
        <w:lang w:val="en-US" w:eastAsia="en-US" w:bidi="ar-SA"/>
      </w:rPr>
    </w:lvl>
    <w:lvl w:ilvl="6">
      <w:start w:val="0"/>
      <w:numFmt w:val="bullet"/>
      <w:lvlText w:val="•"/>
      <w:lvlJc w:val="left"/>
      <w:pPr>
        <w:ind w:left="6660" w:hanging="480"/>
      </w:pPr>
      <w:rPr>
        <w:rFonts w:hint="default"/>
        <w:lang w:val="en-US" w:eastAsia="en-US" w:bidi="ar-SA"/>
      </w:rPr>
    </w:lvl>
    <w:lvl w:ilvl="7">
      <w:start w:val="0"/>
      <w:numFmt w:val="bullet"/>
      <w:lvlText w:val="•"/>
      <w:lvlJc w:val="left"/>
      <w:pPr>
        <w:ind w:left="7620" w:hanging="480"/>
      </w:pPr>
      <w:rPr>
        <w:rFonts w:hint="default"/>
        <w:lang w:val="en-US" w:eastAsia="en-US" w:bidi="ar-SA"/>
      </w:rPr>
    </w:lvl>
    <w:lvl w:ilvl="8">
      <w:start w:val="0"/>
      <w:numFmt w:val="bullet"/>
      <w:lvlText w:val="•"/>
      <w:lvlJc w:val="left"/>
      <w:pPr>
        <w:ind w:left="8580" w:hanging="480"/>
      </w:pPr>
      <w:rPr>
        <w:rFonts w:hint="default"/>
        <w:lang w:val="en-US" w:eastAsia="en-US" w:bidi="ar-SA"/>
      </w:rPr>
    </w:lvl>
  </w:abstractNum>
  <w:abstractNum w:abstractNumId="21">
    <w:multiLevelType w:val="hybridMultilevel"/>
    <w:lvl w:ilvl="0">
      <w:start w:val="3"/>
      <w:numFmt w:val="decimal"/>
      <w:lvlText w:val="%1"/>
      <w:lvlJc w:val="left"/>
      <w:pPr>
        <w:ind w:left="1203" w:hanging="783"/>
        <w:jc w:val="left"/>
      </w:pPr>
      <w:rPr>
        <w:rFonts w:hint="default"/>
        <w:lang w:val="en-US" w:eastAsia="en-US" w:bidi="ar-SA"/>
      </w:rPr>
    </w:lvl>
    <w:lvl w:ilvl="1">
      <w:start w:val="2"/>
      <w:numFmt w:val="decimal"/>
      <w:lvlText w:val="%1.%2"/>
      <w:lvlJc w:val="left"/>
      <w:pPr>
        <w:ind w:left="1203" w:hanging="783"/>
        <w:jc w:val="left"/>
      </w:pPr>
      <w:rPr>
        <w:rFonts w:hint="default"/>
        <w:lang w:val="en-US" w:eastAsia="en-US" w:bidi="ar-SA"/>
      </w:rPr>
    </w:lvl>
    <w:lvl w:ilvl="2">
      <w:start w:val="5"/>
      <w:numFmt w:val="decimal"/>
      <w:lvlText w:val="%1.%2.%3"/>
      <w:lvlJc w:val="left"/>
      <w:pPr>
        <w:ind w:left="1203" w:hanging="783"/>
        <w:jc w:val="left"/>
      </w:pPr>
      <w:rPr>
        <w:rFonts w:hint="default"/>
        <w:lang w:val="en-US" w:eastAsia="en-US" w:bidi="ar-SA"/>
      </w:rPr>
    </w:lvl>
    <w:lvl w:ilvl="3">
      <w:start w:val="1"/>
      <w:numFmt w:val="decimal"/>
      <w:lvlText w:val="%1.%2.%3.%4"/>
      <w:lvlJc w:val="left"/>
      <w:pPr>
        <w:ind w:left="1203" w:hanging="783"/>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4920" w:hanging="783"/>
      </w:pPr>
      <w:rPr>
        <w:rFonts w:hint="default"/>
        <w:lang w:val="en-US" w:eastAsia="en-US" w:bidi="ar-SA"/>
      </w:rPr>
    </w:lvl>
    <w:lvl w:ilvl="5">
      <w:start w:val="0"/>
      <w:numFmt w:val="bullet"/>
      <w:lvlText w:val="•"/>
      <w:lvlJc w:val="left"/>
      <w:pPr>
        <w:ind w:left="5850" w:hanging="783"/>
      </w:pPr>
      <w:rPr>
        <w:rFonts w:hint="default"/>
        <w:lang w:val="en-US" w:eastAsia="en-US" w:bidi="ar-SA"/>
      </w:rPr>
    </w:lvl>
    <w:lvl w:ilvl="6">
      <w:start w:val="0"/>
      <w:numFmt w:val="bullet"/>
      <w:lvlText w:val="•"/>
      <w:lvlJc w:val="left"/>
      <w:pPr>
        <w:ind w:left="6780" w:hanging="783"/>
      </w:pPr>
      <w:rPr>
        <w:rFonts w:hint="default"/>
        <w:lang w:val="en-US" w:eastAsia="en-US" w:bidi="ar-SA"/>
      </w:rPr>
    </w:lvl>
    <w:lvl w:ilvl="7">
      <w:start w:val="0"/>
      <w:numFmt w:val="bullet"/>
      <w:lvlText w:val="•"/>
      <w:lvlJc w:val="left"/>
      <w:pPr>
        <w:ind w:left="7710" w:hanging="783"/>
      </w:pPr>
      <w:rPr>
        <w:rFonts w:hint="default"/>
        <w:lang w:val="en-US" w:eastAsia="en-US" w:bidi="ar-SA"/>
      </w:rPr>
    </w:lvl>
    <w:lvl w:ilvl="8">
      <w:start w:val="0"/>
      <w:numFmt w:val="bullet"/>
      <w:lvlText w:val="•"/>
      <w:lvlJc w:val="left"/>
      <w:pPr>
        <w:ind w:left="8640" w:hanging="783"/>
      </w:pPr>
      <w:rPr>
        <w:rFonts w:hint="default"/>
        <w:lang w:val="en-US" w:eastAsia="en-US" w:bidi="ar-SA"/>
      </w:rPr>
    </w:lvl>
  </w:abstractNum>
  <w:abstractNum w:abstractNumId="18">
    <w:multiLevelType w:val="hybridMultilevel"/>
    <w:lvl w:ilvl="0">
      <w:start w:val="0"/>
      <w:numFmt w:val="bullet"/>
      <w:lvlText w:val="●"/>
      <w:lvlJc w:val="left"/>
      <w:pPr>
        <w:ind w:left="5668" w:hanging="207"/>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144" w:hanging="207"/>
      </w:pPr>
      <w:rPr>
        <w:rFonts w:hint="default"/>
        <w:lang w:val="en-US" w:eastAsia="en-US" w:bidi="ar-SA"/>
      </w:rPr>
    </w:lvl>
    <w:lvl w:ilvl="2">
      <w:start w:val="0"/>
      <w:numFmt w:val="bullet"/>
      <w:lvlText w:val="•"/>
      <w:lvlJc w:val="left"/>
      <w:pPr>
        <w:ind w:left="6628" w:hanging="207"/>
      </w:pPr>
      <w:rPr>
        <w:rFonts w:hint="default"/>
        <w:lang w:val="en-US" w:eastAsia="en-US" w:bidi="ar-SA"/>
      </w:rPr>
    </w:lvl>
    <w:lvl w:ilvl="3">
      <w:start w:val="0"/>
      <w:numFmt w:val="bullet"/>
      <w:lvlText w:val="•"/>
      <w:lvlJc w:val="left"/>
      <w:pPr>
        <w:ind w:left="7112" w:hanging="207"/>
      </w:pPr>
      <w:rPr>
        <w:rFonts w:hint="default"/>
        <w:lang w:val="en-US" w:eastAsia="en-US" w:bidi="ar-SA"/>
      </w:rPr>
    </w:lvl>
    <w:lvl w:ilvl="4">
      <w:start w:val="0"/>
      <w:numFmt w:val="bullet"/>
      <w:lvlText w:val="•"/>
      <w:lvlJc w:val="left"/>
      <w:pPr>
        <w:ind w:left="7596" w:hanging="207"/>
      </w:pPr>
      <w:rPr>
        <w:rFonts w:hint="default"/>
        <w:lang w:val="en-US" w:eastAsia="en-US" w:bidi="ar-SA"/>
      </w:rPr>
    </w:lvl>
    <w:lvl w:ilvl="5">
      <w:start w:val="0"/>
      <w:numFmt w:val="bullet"/>
      <w:lvlText w:val="•"/>
      <w:lvlJc w:val="left"/>
      <w:pPr>
        <w:ind w:left="8080" w:hanging="207"/>
      </w:pPr>
      <w:rPr>
        <w:rFonts w:hint="default"/>
        <w:lang w:val="en-US" w:eastAsia="en-US" w:bidi="ar-SA"/>
      </w:rPr>
    </w:lvl>
    <w:lvl w:ilvl="6">
      <w:start w:val="0"/>
      <w:numFmt w:val="bullet"/>
      <w:lvlText w:val="•"/>
      <w:lvlJc w:val="left"/>
      <w:pPr>
        <w:ind w:left="8564" w:hanging="207"/>
      </w:pPr>
      <w:rPr>
        <w:rFonts w:hint="default"/>
        <w:lang w:val="en-US" w:eastAsia="en-US" w:bidi="ar-SA"/>
      </w:rPr>
    </w:lvl>
    <w:lvl w:ilvl="7">
      <w:start w:val="0"/>
      <w:numFmt w:val="bullet"/>
      <w:lvlText w:val="•"/>
      <w:lvlJc w:val="left"/>
      <w:pPr>
        <w:ind w:left="9048" w:hanging="207"/>
      </w:pPr>
      <w:rPr>
        <w:rFonts w:hint="default"/>
        <w:lang w:val="en-US" w:eastAsia="en-US" w:bidi="ar-SA"/>
      </w:rPr>
    </w:lvl>
    <w:lvl w:ilvl="8">
      <w:start w:val="0"/>
      <w:numFmt w:val="bullet"/>
      <w:lvlText w:val="•"/>
      <w:lvlJc w:val="left"/>
      <w:pPr>
        <w:ind w:left="9532" w:hanging="207"/>
      </w:pPr>
      <w:rPr>
        <w:rFonts w:hint="default"/>
        <w:lang w:val="en-US" w:eastAsia="en-US" w:bidi="ar-SA"/>
      </w:rPr>
    </w:lvl>
  </w:abstractNum>
  <w:abstractNum w:abstractNumId="17">
    <w:multiLevelType w:val="hybridMultilevel"/>
    <w:lvl w:ilvl="0">
      <w:start w:val="3"/>
      <w:numFmt w:val="decimal"/>
      <w:lvlText w:val="%1"/>
      <w:lvlJc w:val="left"/>
      <w:pPr>
        <w:ind w:left="3421" w:hanging="3001"/>
        <w:jc w:val="left"/>
      </w:pPr>
      <w:rPr>
        <w:rFonts w:hint="default"/>
        <w:lang w:val="en-US" w:eastAsia="en-US" w:bidi="ar-SA"/>
      </w:rPr>
    </w:lvl>
    <w:lvl w:ilvl="1">
      <w:start w:val="1"/>
      <w:numFmt w:val="decimal"/>
      <w:lvlText w:val="%1.%2"/>
      <w:lvlJc w:val="left"/>
      <w:pPr>
        <w:ind w:left="3421" w:hanging="30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44" w:hanging="724"/>
        <w:jc w:val="left"/>
      </w:pPr>
      <w:rPr>
        <w:rFonts w:hint="default"/>
        <w:spacing w:val="0"/>
        <w:w w:val="100"/>
        <w:lang w:val="en-US" w:eastAsia="en-US" w:bidi="ar-SA"/>
      </w:rPr>
    </w:lvl>
    <w:lvl w:ilvl="3">
      <w:start w:val="1"/>
      <w:numFmt w:val="decimal"/>
      <w:lvlText w:val="%1.%2.%3.%4"/>
      <w:lvlJc w:val="left"/>
      <w:pPr>
        <w:ind w:left="1203" w:hanging="783"/>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4431" w:hanging="783"/>
      </w:pPr>
      <w:rPr>
        <w:rFonts w:hint="default"/>
        <w:lang w:val="en-US" w:eastAsia="en-US" w:bidi="ar-SA"/>
      </w:rPr>
    </w:lvl>
    <w:lvl w:ilvl="5">
      <w:start w:val="0"/>
      <w:numFmt w:val="bullet"/>
      <w:lvlText w:val="•"/>
      <w:lvlJc w:val="left"/>
      <w:pPr>
        <w:ind w:left="5442" w:hanging="783"/>
      </w:pPr>
      <w:rPr>
        <w:rFonts w:hint="default"/>
        <w:lang w:val="en-US" w:eastAsia="en-US" w:bidi="ar-SA"/>
      </w:rPr>
    </w:lvl>
    <w:lvl w:ilvl="6">
      <w:start w:val="0"/>
      <w:numFmt w:val="bullet"/>
      <w:lvlText w:val="•"/>
      <w:lvlJc w:val="left"/>
      <w:pPr>
        <w:ind w:left="6454" w:hanging="783"/>
      </w:pPr>
      <w:rPr>
        <w:rFonts w:hint="default"/>
        <w:lang w:val="en-US" w:eastAsia="en-US" w:bidi="ar-SA"/>
      </w:rPr>
    </w:lvl>
    <w:lvl w:ilvl="7">
      <w:start w:val="0"/>
      <w:numFmt w:val="bullet"/>
      <w:lvlText w:val="•"/>
      <w:lvlJc w:val="left"/>
      <w:pPr>
        <w:ind w:left="7465" w:hanging="783"/>
      </w:pPr>
      <w:rPr>
        <w:rFonts w:hint="default"/>
        <w:lang w:val="en-US" w:eastAsia="en-US" w:bidi="ar-SA"/>
      </w:rPr>
    </w:lvl>
    <w:lvl w:ilvl="8">
      <w:start w:val="0"/>
      <w:numFmt w:val="bullet"/>
      <w:lvlText w:val="•"/>
      <w:lvlJc w:val="left"/>
      <w:pPr>
        <w:ind w:left="8477" w:hanging="783"/>
      </w:pPr>
      <w:rPr>
        <w:rFonts w:hint="default"/>
        <w:lang w:val="en-US" w:eastAsia="en-US" w:bidi="ar-SA"/>
      </w:rPr>
    </w:lvl>
  </w:abstractNum>
  <w:abstractNum w:abstractNumId="16">
    <w:multiLevelType w:val="hybridMultilevel"/>
    <w:lvl w:ilvl="0">
      <w:start w:val="2"/>
      <w:numFmt w:val="decimal"/>
      <w:lvlText w:val="%1"/>
      <w:lvlJc w:val="left"/>
      <w:pPr>
        <w:ind w:left="3716" w:hanging="3297"/>
        <w:jc w:val="left"/>
      </w:pPr>
      <w:rPr>
        <w:rFonts w:hint="default"/>
        <w:lang w:val="en-US" w:eastAsia="en-US" w:bidi="ar-SA"/>
      </w:rPr>
    </w:lvl>
    <w:lvl w:ilvl="1">
      <w:start w:val="0"/>
      <w:numFmt w:val="decimal"/>
      <w:lvlText w:val="%1.%2"/>
      <w:lvlJc w:val="left"/>
      <w:pPr>
        <w:ind w:left="3716" w:hanging="3297"/>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1" w:hanging="78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67" w:hanging="782"/>
      </w:pPr>
      <w:rPr>
        <w:rFonts w:hint="default"/>
        <w:lang w:val="en-US" w:eastAsia="en-US" w:bidi="ar-SA"/>
      </w:rPr>
    </w:lvl>
    <w:lvl w:ilvl="4">
      <w:start w:val="0"/>
      <w:numFmt w:val="bullet"/>
      <w:lvlText w:val="•"/>
      <w:lvlJc w:val="left"/>
      <w:pPr>
        <w:ind w:left="5415" w:hanging="782"/>
      </w:pPr>
      <w:rPr>
        <w:rFonts w:hint="default"/>
        <w:lang w:val="en-US" w:eastAsia="en-US" w:bidi="ar-SA"/>
      </w:rPr>
    </w:lvl>
    <w:lvl w:ilvl="5">
      <w:start w:val="0"/>
      <w:numFmt w:val="bullet"/>
      <w:lvlText w:val="•"/>
      <w:lvlJc w:val="left"/>
      <w:pPr>
        <w:ind w:left="6262" w:hanging="782"/>
      </w:pPr>
      <w:rPr>
        <w:rFonts w:hint="default"/>
        <w:lang w:val="en-US" w:eastAsia="en-US" w:bidi="ar-SA"/>
      </w:rPr>
    </w:lvl>
    <w:lvl w:ilvl="6">
      <w:start w:val="0"/>
      <w:numFmt w:val="bullet"/>
      <w:lvlText w:val="•"/>
      <w:lvlJc w:val="left"/>
      <w:pPr>
        <w:ind w:left="7110" w:hanging="782"/>
      </w:pPr>
      <w:rPr>
        <w:rFonts w:hint="default"/>
        <w:lang w:val="en-US" w:eastAsia="en-US" w:bidi="ar-SA"/>
      </w:rPr>
    </w:lvl>
    <w:lvl w:ilvl="7">
      <w:start w:val="0"/>
      <w:numFmt w:val="bullet"/>
      <w:lvlText w:val="•"/>
      <w:lvlJc w:val="left"/>
      <w:pPr>
        <w:ind w:left="7957" w:hanging="782"/>
      </w:pPr>
      <w:rPr>
        <w:rFonts w:hint="default"/>
        <w:lang w:val="en-US" w:eastAsia="en-US" w:bidi="ar-SA"/>
      </w:rPr>
    </w:lvl>
    <w:lvl w:ilvl="8">
      <w:start w:val="0"/>
      <w:numFmt w:val="bullet"/>
      <w:lvlText w:val="•"/>
      <w:lvlJc w:val="left"/>
      <w:pPr>
        <w:ind w:left="8805" w:hanging="782"/>
      </w:pPr>
      <w:rPr>
        <w:rFonts w:hint="default"/>
        <w:lang w:val="en-US" w:eastAsia="en-US" w:bidi="ar-SA"/>
      </w:rPr>
    </w:lvl>
  </w:abstractNum>
  <w:abstractNum w:abstractNumId="15">
    <w:multiLevelType w:val="hybridMultilevel"/>
    <w:lvl w:ilvl="0">
      <w:start w:val="1"/>
      <w:numFmt w:val="decimal"/>
      <w:lvlText w:val="%1"/>
      <w:lvlJc w:val="left"/>
      <w:pPr>
        <w:ind w:left="1081" w:hanging="662"/>
        <w:jc w:val="left"/>
      </w:pPr>
      <w:rPr>
        <w:rFonts w:hint="default"/>
        <w:lang w:val="en-US" w:eastAsia="en-US" w:bidi="ar-SA"/>
      </w:rPr>
    </w:lvl>
    <w:lvl w:ilvl="1">
      <w:start w:val="7"/>
      <w:numFmt w:val="decimal"/>
      <w:lvlText w:val="%1.%2"/>
      <w:lvlJc w:val="left"/>
      <w:pPr>
        <w:ind w:left="1081" w:hanging="66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81" w:hanging="662"/>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780" w:hanging="27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220" w:hanging="278"/>
      </w:pPr>
      <w:rPr>
        <w:rFonts w:hint="default"/>
        <w:lang w:val="en-US" w:eastAsia="en-US" w:bidi="ar-SA"/>
      </w:rPr>
    </w:lvl>
    <w:lvl w:ilvl="5">
      <w:start w:val="0"/>
      <w:numFmt w:val="bullet"/>
      <w:lvlText w:val="•"/>
      <w:lvlJc w:val="left"/>
      <w:pPr>
        <w:ind w:left="5266" w:hanging="278"/>
      </w:pPr>
      <w:rPr>
        <w:rFonts w:hint="default"/>
        <w:lang w:val="en-US" w:eastAsia="en-US" w:bidi="ar-SA"/>
      </w:rPr>
    </w:lvl>
    <w:lvl w:ilvl="6">
      <w:start w:val="0"/>
      <w:numFmt w:val="bullet"/>
      <w:lvlText w:val="•"/>
      <w:lvlJc w:val="left"/>
      <w:pPr>
        <w:ind w:left="6313" w:hanging="278"/>
      </w:pPr>
      <w:rPr>
        <w:rFonts w:hint="default"/>
        <w:lang w:val="en-US" w:eastAsia="en-US" w:bidi="ar-SA"/>
      </w:rPr>
    </w:lvl>
    <w:lvl w:ilvl="7">
      <w:start w:val="0"/>
      <w:numFmt w:val="bullet"/>
      <w:lvlText w:val="•"/>
      <w:lvlJc w:val="left"/>
      <w:pPr>
        <w:ind w:left="7360" w:hanging="278"/>
      </w:pPr>
      <w:rPr>
        <w:rFonts w:hint="default"/>
        <w:lang w:val="en-US" w:eastAsia="en-US" w:bidi="ar-SA"/>
      </w:rPr>
    </w:lvl>
    <w:lvl w:ilvl="8">
      <w:start w:val="0"/>
      <w:numFmt w:val="bullet"/>
      <w:lvlText w:val="•"/>
      <w:lvlJc w:val="left"/>
      <w:pPr>
        <w:ind w:left="8406" w:hanging="278"/>
      </w:pPr>
      <w:rPr>
        <w:rFonts w:hint="default"/>
        <w:lang w:val="en-US" w:eastAsia="en-US" w:bidi="ar-SA"/>
      </w:rPr>
    </w:lvl>
  </w:abstractNum>
  <w:abstractNum w:abstractNumId="14">
    <w:multiLevelType w:val="hybridMultilevel"/>
    <w:lvl w:ilvl="0">
      <w:start w:val="1"/>
      <w:numFmt w:val="decimal"/>
      <w:lvlText w:val="%1"/>
      <w:lvlJc w:val="left"/>
      <w:pPr>
        <w:ind w:left="4142" w:hanging="3357"/>
        <w:jc w:val="left"/>
      </w:pPr>
      <w:rPr>
        <w:rFonts w:hint="default"/>
        <w:lang w:val="en-US" w:eastAsia="en-US" w:bidi="ar-SA"/>
      </w:rPr>
    </w:lvl>
    <w:lvl w:ilvl="1">
      <w:start w:val="1"/>
      <w:numFmt w:val="decimal"/>
      <w:lvlText w:val="%1.%2"/>
      <w:lvlJc w:val="left"/>
      <w:pPr>
        <w:ind w:left="4142" w:hanging="3357"/>
        <w:jc w:val="right"/>
      </w:pPr>
      <w:rPr>
        <w:rFonts w:hint="default" w:ascii="Times New Roman" w:hAnsi="Times New Roman" w:eastAsia="Times New Roman" w:cs="Times New Roman"/>
        <w:b/>
        <w:bCs/>
        <w:i w:val="0"/>
        <w:iCs w:val="0"/>
        <w:spacing w:val="-5"/>
        <w:w w:val="100"/>
        <w:sz w:val="24"/>
        <w:szCs w:val="24"/>
        <w:lang w:val="en-US" w:eastAsia="en-US" w:bidi="ar-SA"/>
      </w:rPr>
    </w:lvl>
    <w:lvl w:ilvl="2">
      <w:start w:val="0"/>
      <w:numFmt w:val="bullet"/>
      <w:lvlText w:val="•"/>
      <w:lvlJc w:val="left"/>
      <w:pPr>
        <w:ind w:left="5412" w:hanging="3357"/>
      </w:pPr>
      <w:rPr>
        <w:rFonts w:hint="default"/>
        <w:lang w:val="en-US" w:eastAsia="en-US" w:bidi="ar-SA"/>
      </w:rPr>
    </w:lvl>
    <w:lvl w:ilvl="3">
      <w:start w:val="0"/>
      <w:numFmt w:val="bullet"/>
      <w:lvlText w:val="•"/>
      <w:lvlJc w:val="left"/>
      <w:pPr>
        <w:ind w:left="6048" w:hanging="3357"/>
      </w:pPr>
      <w:rPr>
        <w:rFonts w:hint="default"/>
        <w:lang w:val="en-US" w:eastAsia="en-US" w:bidi="ar-SA"/>
      </w:rPr>
    </w:lvl>
    <w:lvl w:ilvl="4">
      <w:start w:val="0"/>
      <w:numFmt w:val="bullet"/>
      <w:lvlText w:val="•"/>
      <w:lvlJc w:val="left"/>
      <w:pPr>
        <w:ind w:left="6684" w:hanging="3357"/>
      </w:pPr>
      <w:rPr>
        <w:rFonts w:hint="default"/>
        <w:lang w:val="en-US" w:eastAsia="en-US" w:bidi="ar-SA"/>
      </w:rPr>
    </w:lvl>
    <w:lvl w:ilvl="5">
      <w:start w:val="0"/>
      <w:numFmt w:val="bullet"/>
      <w:lvlText w:val="•"/>
      <w:lvlJc w:val="left"/>
      <w:pPr>
        <w:ind w:left="7320" w:hanging="3357"/>
      </w:pPr>
      <w:rPr>
        <w:rFonts w:hint="default"/>
        <w:lang w:val="en-US" w:eastAsia="en-US" w:bidi="ar-SA"/>
      </w:rPr>
    </w:lvl>
    <w:lvl w:ilvl="6">
      <w:start w:val="0"/>
      <w:numFmt w:val="bullet"/>
      <w:lvlText w:val="•"/>
      <w:lvlJc w:val="left"/>
      <w:pPr>
        <w:ind w:left="7956" w:hanging="3357"/>
      </w:pPr>
      <w:rPr>
        <w:rFonts w:hint="default"/>
        <w:lang w:val="en-US" w:eastAsia="en-US" w:bidi="ar-SA"/>
      </w:rPr>
    </w:lvl>
    <w:lvl w:ilvl="7">
      <w:start w:val="0"/>
      <w:numFmt w:val="bullet"/>
      <w:lvlText w:val="•"/>
      <w:lvlJc w:val="left"/>
      <w:pPr>
        <w:ind w:left="8592" w:hanging="3357"/>
      </w:pPr>
      <w:rPr>
        <w:rFonts w:hint="default"/>
        <w:lang w:val="en-US" w:eastAsia="en-US" w:bidi="ar-SA"/>
      </w:rPr>
    </w:lvl>
    <w:lvl w:ilvl="8">
      <w:start w:val="0"/>
      <w:numFmt w:val="bullet"/>
      <w:lvlText w:val="•"/>
      <w:lvlJc w:val="left"/>
      <w:pPr>
        <w:ind w:left="9228" w:hanging="3357"/>
      </w:pPr>
      <w:rPr>
        <w:rFonts w:hint="default"/>
        <w:lang w:val="en-US" w:eastAsia="en-US" w:bidi="ar-SA"/>
      </w:rPr>
    </w:lvl>
  </w:abstractNum>
  <w:abstractNum w:abstractNumId="12">
    <w:multiLevelType w:val="hybridMultilevel"/>
    <w:lvl w:ilvl="0">
      <w:start w:val="4"/>
      <w:numFmt w:val="decimal"/>
      <w:lvlText w:val="%1"/>
      <w:lvlJc w:val="left"/>
      <w:pPr>
        <w:ind w:left="842" w:hanging="360"/>
        <w:jc w:val="left"/>
      </w:pPr>
      <w:rPr>
        <w:rFonts w:hint="default"/>
        <w:lang w:val="en-US" w:eastAsia="en-US" w:bidi="ar-SA"/>
      </w:rPr>
    </w:lvl>
    <w:lvl w:ilvl="1">
      <w:start w:val="1"/>
      <w:numFmt w:val="decimal"/>
      <w:lvlText w:val="%1.%2"/>
      <w:lvlJc w:val="left"/>
      <w:pPr>
        <w:ind w:left="84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72" w:hanging="360"/>
      </w:pPr>
      <w:rPr>
        <w:rFonts w:hint="default"/>
        <w:lang w:val="en-US" w:eastAsia="en-US" w:bidi="ar-SA"/>
      </w:rPr>
    </w:lvl>
    <w:lvl w:ilvl="3">
      <w:start w:val="0"/>
      <w:numFmt w:val="bullet"/>
      <w:lvlText w:val="•"/>
      <w:lvlJc w:val="left"/>
      <w:pPr>
        <w:ind w:left="3738" w:hanging="360"/>
      </w:pPr>
      <w:rPr>
        <w:rFonts w:hint="default"/>
        <w:lang w:val="en-US" w:eastAsia="en-US" w:bidi="ar-SA"/>
      </w:rPr>
    </w:lvl>
    <w:lvl w:ilvl="4">
      <w:start w:val="0"/>
      <w:numFmt w:val="bullet"/>
      <w:lvlText w:val="•"/>
      <w:lvlJc w:val="left"/>
      <w:pPr>
        <w:ind w:left="4704" w:hanging="360"/>
      </w:pPr>
      <w:rPr>
        <w:rFonts w:hint="default"/>
        <w:lang w:val="en-US" w:eastAsia="en-US" w:bidi="ar-SA"/>
      </w:rPr>
    </w:lvl>
    <w:lvl w:ilvl="5">
      <w:start w:val="0"/>
      <w:numFmt w:val="bullet"/>
      <w:lvlText w:val="•"/>
      <w:lvlJc w:val="left"/>
      <w:pPr>
        <w:ind w:left="5670" w:hanging="360"/>
      </w:pPr>
      <w:rPr>
        <w:rFonts w:hint="default"/>
        <w:lang w:val="en-US" w:eastAsia="en-US" w:bidi="ar-SA"/>
      </w:rPr>
    </w:lvl>
    <w:lvl w:ilvl="6">
      <w:start w:val="0"/>
      <w:numFmt w:val="bullet"/>
      <w:lvlText w:val="•"/>
      <w:lvlJc w:val="left"/>
      <w:pPr>
        <w:ind w:left="6636" w:hanging="360"/>
      </w:pPr>
      <w:rPr>
        <w:rFonts w:hint="default"/>
        <w:lang w:val="en-US" w:eastAsia="en-US" w:bidi="ar-SA"/>
      </w:rPr>
    </w:lvl>
    <w:lvl w:ilvl="7">
      <w:start w:val="0"/>
      <w:numFmt w:val="bullet"/>
      <w:lvlText w:val="•"/>
      <w:lvlJc w:val="left"/>
      <w:pPr>
        <w:ind w:left="760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11">
    <w:multiLevelType w:val="hybridMultilevel"/>
    <w:lvl w:ilvl="0">
      <w:start w:val="4"/>
      <w:numFmt w:val="decimal"/>
      <w:lvlText w:val="%1"/>
      <w:lvlJc w:val="left"/>
      <w:pPr>
        <w:ind w:left="1024" w:hanging="542"/>
        <w:jc w:val="left"/>
      </w:pPr>
      <w:rPr>
        <w:rFonts w:hint="default"/>
        <w:lang w:val="en-US" w:eastAsia="en-US" w:bidi="ar-SA"/>
      </w:rPr>
    </w:lvl>
    <w:lvl w:ilvl="1">
      <w:start w:val="11"/>
      <w:numFmt w:val="decimal"/>
      <w:lvlText w:val="%1.%2"/>
      <w:lvlJc w:val="left"/>
      <w:pPr>
        <w:ind w:left="1024" w:hanging="542"/>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16" w:hanging="542"/>
      </w:pPr>
      <w:rPr>
        <w:rFonts w:hint="default"/>
        <w:lang w:val="en-US" w:eastAsia="en-US" w:bidi="ar-SA"/>
      </w:rPr>
    </w:lvl>
    <w:lvl w:ilvl="3">
      <w:start w:val="0"/>
      <w:numFmt w:val="bullet"/>
      <w:lvlText w:val="•"/>
      <w:lvlJc w:val="left"/>
      <w:pPr>
        <w:ind w:left="3864" w:hanging="542"/>
      </w:pPr>
      <w:rPr>
        <w:rFonts w:hint="default"/>
        <w:lang w:val="en-US" w:eastAsia="en-US" w:bidi="ar-SA"/>
      </w:rPr>
    </w:lvl>
    <w:lvl w:ilvl="4">
      <w:start w:val="0"/>
      <w:numFmt w:val="bullet"/>
      <w:lvlText w:val="•"/>
      <w:lvlJc w:val="left"/>
      <w:pPr>
        <w:ind w:left="4812" w:hanging="542"/>
      </w:pPr>
      <w:rPr>
        <w:rFonts w:hint="default"/>
        <w:lang w:val="en-US" w:eastAsia="en-US" w:bidi="ar-SA"/>
      </w:rPr>
    </w:lvl>
    <w:lvl w:ilvl="5">
      <w:start w:val="0"/>
      <w:numFmt w:val="bullet"/>
      <w:lvlText w:val="•"/>
      <w:lvlJc w:val="left"/>
      <w:pPr>
        <w:ind w:left="5760" w:hanging="542"/>
      </w:pPr>
      <w:rPr>
        <w:rFonts w:hint="default"/>
        <w:lang w:val="en-US" w:eastAsia="en-US" w:bidi="ar-SA"/>
      </w:rPr>
    </w:lvl>
    <w:lvl w:ilvl="6">
      <w:start w:val="0"/>
      <w:numFmt w:val="bullet"/>
      <w:lvlText w:val="•"/>
      <w:lvlJc w:val="left"/>
      <w:pPr>
        <w:ind w:left="6708" w:hanging="542"/>
      </w:pPr>
      <w:rPr>
        <w:rFonts w:hint="default"/>
        <w:lang w:val="en-US" w:eastAsia="en-US" w:bidi="ar-SA"/>
      </w:rPr>
    </w:lvl>
    <w:lvl w:ilvl="7">
      <w:start w:val="0"/>
      <w:numFmt w:val="bullet"/>
      <w:lvlText w:val="•"/>
      <w:lvlJc w:val="left"/>
      <w:pPr>
        <w:ind w:left="7656" w:hanging="542"/>
      </w:pPr>
      <w:rPr>
        <w:rFonts w:hint="default"/>
        <w:lang w:val="en-US" w:eastAsia="en-US" w:bidi="ar-SA"/>
      </w:rPr>
    </w:lvl>
    <w:lvl w:ilvl="8">
      <w:start w:val="0"/>
      <w:numFmt w:val="bullet"/>
      <w:lvlText w:val="•"/>
      <w:lvlJc w:val="left"/>
      <w:pPr>
        <w:ind w:left="8604" w:hanging="542"/>
      </w:pPr>
      <w:rPr>
        <w:rFonts w:hint="default"/>
        <w:lang w:val="en-US" w:eastAsia="en-US" w:bidi="ar-SA"/>
      </w:rPr>
    </w:lvl>
  </w:abstractNum>
  <w:abstractNum w:abstractNumId="10">
    <w:multiLevelType w:val="hybridMultilevel"/>
    <w:lvl w:ilvl="0">
      <w:start w:val="4"/>
      <w:numFmt w:val="decimal"/>
      <w:lvlText w:val="%1"/>
      <w:lvlJc w:val="left"/>
      <w:pPr>
        <w:ind w:left="842" w:hanging="360"/>
        <w:jc w:val="left"/>
      </w:pPr>
      <w:rPr>
        <w:rFonts w:hint="default"/>
        <w:lang w:val="en-US" w:eastAsia="en-US" w:bidi="ar-SA"/>
      </w:rPr>
    </w:lvl>
    <w:lvl w:ilvl="1">
      <w:start w:val="0"/>
      <w:numFmt w:val="decimal"/>
      <w:lvlText w:val="%1.%2"/>
      <w:lvlJc w:val="left"/>
      <w:pPr>
        <w:ind w:left="84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72" w:hanging="360"/>
      </w:pPr>
      <w:rPr>
        <w:rFonts w:hint="default"/>
        <w:lang w:val="en-US" w:eastAsia="en-US" w:bidi="ar-SA"/>
      </w:rPr>
    </w:lvl>
    <w:lvl w:ilvl="3">
      <w:start w:val="0"/>
      <w:numFmt w:val="bullet"/>
      <w:lvlText w:val="•"/>
      <w:lvlJc w:val="left"/>
      <w:pPr>
        <w:ind w:left="3738" w:hanging="360"/>
      </w:pPr>
      <w:rPr>
        <w:rFonts w:hint="default"/>
        <w:lang w:val="en-US" w:eastAsia="en-US" w:bidi="ar-SA"/>
      </w:rPr>
    </w:lvl>
    <w:lvl w:ilvl="4">
      <w:start w:val="0"/>
      <w:numFmt w:val="bullet"/>
      <w:lvlText w:val="•"/>
      <w:lvlJc w:val="left"/>
      <w:pPr>
        <w:ind w:left="4704" w:hanging="360"/>
      </w:pPr>
      <w:rPr>
        <w:rFonts w:hint="default"/>
        <w:lang w:val="en-US" w:eastAsia="en-US" w:bidi="ar-SA"/>
      </w:rPr>
    </w:lvl>
    <w:lvl w:ilvl="5">
      <w:start w:val="0"/>
      <w:numFmt w:val="bullet"/>
      <w:lvlText w:val="•"/>
      <w:lvlJc w:val="left"/>
      <w:pPr>
        <w:ind w:left="5670" w:hanging="360"/>
      </w:pPr>
      <w:rPr>
        <w:rFonts w:hint="default"/>
        <w:lang w:val="en-US" w:eastAsia="en-US" w:bidi="ar-SA"/>
      </w:rPr>
    </w:lvl>
    <w:lvl w:ilvl="6">
      <w:start w:val="0"/>
      <w:numFmt w:val="bullet"/>
      <w:lvlText w:val="•"/>
      <w:lvlJc w:val="left"/>
      <w:pPr>
        <w:ind w:left="6636" w:hanging="360"/>
      </w:pPr>
      <w:rPr>
        <w:rFonts w:hint="default"/>
        <w:lang w:val="en-US" w:eastAsia="en-US" w:bidi="ar-SA"/>
      </w:rPr>
    </w:lvl>
    <w:lvl w:ilvl="7">
      <w:start w:val="0"/>
      <w:numFmt w:val="bullet"/>
      <w:lvlText w:val="•"/>
      <w:lvlJc w:val="left"/>
      <w:pPr>
        <w:ind w:left="760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9">
    <w:multiLevelType w:val="hybridMultilevel"/>
    <w:lvl w:ilvl="0">
      <w:start w:val="3"/>
      <w:numFmt w:val="decimal"/>
      <w:lvlText w:val="%1"/>
      <w:lvlJc w:val="left"/>
      <w:pPr>
        <w:ind w:left="842" w:hanging="360"/>
        <w:jc w:val="left"/>
      </w:pPr>
      <w:rPr>
        <w:rFonts w:hint="default"/>
        <w:lang w:val="en-US" w:eastAsia="en-US" w:bidi="ar-SA"/>
      </w:rPr>
    </w:lvl>
    <w:lvl w:ilvl="1">
      <w:start w:val="1"/>
      <w:numFmt w:val="decimal"/>
      <w:lvlText w:val="%1.%2"/>
      <w:lvlJc w:val="left"/>
      <w:pPr>
        <w:ind w:left="84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72" w:hanging="360"/>
      </w:pPr>
      <w:rPr>
        <w:rFonts w:hint="default"/>
        <w:lang w:val="en-US" w:eastAsia="en-US" w:bidi="ar-SA"/>
      </w:rPr>
    </w:lvl>
    <w:lvl w:ilvl="3">
      <w:start w:val="0"/>
      <w:numFmt w:val="bullet"/>
      <w:lvlText w:val="•"/>
      <w:lvlJc w:val="left"/>
      <w:pPr>
        <w:ind w:left="3738" w:hanging="360"/>
      </w:pPr>
      <w:rPr>
        <w:rFonts w:hint="default"/>
        <w:lang w:val="en-US" w:eastAsia="en-US" w:bidi="ar-SA"/>
      </w:rPr>
    </w:lvl>
    <w:lvl w:ilvl="4">
      <w:start w:val="0"/>
      <w:numFmt w:val="bullet"/>
      <w:lvlText w:val="•"/>
      <w:lvlJc w:val="left"/>
      <w:pPr>
        <w:ind w:left="4704" w:hanging="360"/>
      </w:pPr>
      <w:rPr>
        <w:rFonts w:hint="default"/>
        <w:lang w:val="en-US" w:eastAsia="en-US" w:bidi="ar-SA"/>
      </w:rPr>
    </w:lvl>
    <w:lvl w:ilvl="5">
      <w:start w:val="0"/>
      <w:numFmt w:val="bullet"/>
      <w:lvlText w:val="•"/>
      <w:lvlJc w:val="left"/>
      <w:pPr>
        <w:ind w:left="5670" w:hanging="360"/>
      </w:pPr>
      <w:rPr>
        <w:rFonts w:hint="default"/>
        <w:lang w:val="en-US" w:eastAsia="en-US" w:bidi="ar-SA"/>
      </w:rPr>
    </w:lvl>
    <w:lvl w:ilvl="6">
      <w:start w:val="0"/>
      <w:numFmt w:val="bullet"/>
      <w:lvlText w:val="•"/>
      <w:lvlJc w:val="left"/>
      <w:pPr>
        <w:ind w:left="6636" w:hanging="360"/>
      </w:pPr>
      <w:rPr>
        <w:rFonts w:hint="default"/>
        <w:lang w:val="en-US" w:eastAsia="en-US" w:bidi="ar-SA"/>
      </w:rPr>
    </w:lvl>
    <w:lvl w:ilvl="7">
      <w:start w:val="0"/>
      <w:numFmt w:val="bullet"/>
      <w:lvlText w:val="•"/>
      <w:lvlJc w:val="left"/>
      <w:pPr>
        <w:ind w:left="760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8">
    <w:multiLevelType w:val="hybridMultilevel"/>
    <w:lvl w:ilvl="0">
      <w:start w:val="6"/>
      <w:numFmt w:val="decimal"/>
      <w:lvlText w:val="%1"/>
      <w:lvlJc w:val="left"/>
      <w:pPr>
        <w:ind w:left="1141" w:hanging="721"/>
        <w:jc w:val="left"/>
      </w:pPr>
      <w:rPr>
        <w:rFonts w:hint="default"/>
        <w:lang w:val="en-US" w:eastAsia="en-US" w:bidi="ar-SA"/>
      </w:rPr>
    </w:lvl>
    <w:lvl w:ilvl="1">
      <w:start w:val="3"/>
      <w:numFmt w:val="decimal"/>
      <w:lvlText w:val="%1.%2."/>
      <w:lvlJc w:val="left"/>
      <w:pPr>
        <w:ind w:left="11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12" w:hanging="721"/>
      </w:pPr>
      <w:rPr>
        <w:rFonts w:hint="default"/>
        <w:lang w:val="en-US" w:eastAsia="en-US" w:bidi="ar-SA"/>
      </w:rPr>
    </w:lvl>
    <w:lvl w:ilvl="3">
      <w:start w:val="0"/>
      <w:numFmt w:val="bullet"/>
      <w:lvlText w:val="•"/>
      <w:lvlJc w:val="left"/>
      <w:pPr>
        <w:ind w:left="3948" w:hanging="721"/>
      </w:pPr>
      <w:rPr>
        <w:rFonts w:hint="default"/>
        <w:lang w:val="en-US" w:eastAsia="en-US" w:bidi="ar-SA"/>
      </w:rPr>
    </w:lvl>
    <w:lvl w:ilvl="4">
      <w:start w:val="0"/>
      <w:numFmt w:val="bullet"/>
      <w:lvlText w:val="•"/>
      <w:lvlJc w:val="left"/>
      <w:pPr>
        <w:ind w:left="4884" w:hanging="721"/>
      </w:pPr>
      <w:rPr>
        <w:rFonts w:hint="default"/>
        <w:lang w:val="en-US" w:eastAsia="en-US" w:bidi="ar-SA"/>
      </w:rPr>
    </w:lvl>
    <w:lvl w:ilvl="5">
      <w:start w:val="0"/>
      <w:numFmt w:val="bullet"/>
      <w:lvlText w:val="•"/>
      <w:lvlJc w:val="left"/>
      <w:pPr>
        <w:ind w:left="5820" w:hanging="721"/>
      </w:pPr>
      <w:rPr>
        <w:rFonts w:hint="default"/>
        <w:lang w:val="en-US" w:eastAsia="en-US" w:bidi="ar-SA"/>
      </w:rPr>
    </w:lvl>
    <w:lvl w:ilvl="6">
      <w:start w:val="0"/>
      <w:numFmt w:val="bullet"/>
      <w:lvlText w:val="•"/>
      <w:lvlJc w:val="left"/>
      <w:pPr>
        <w:ind w:left="6756" w:hanging="721"/>
      </w:pPr>
      <w:rPr>
        <w:rFonts w:hint="default"/>
        <w:lang w:val="en-US" w:eastAsia="en-US" w:bidi="ar-SA"/>
      </w:rPr>
    </w:lvl>
    <w:lvl w:ilvl="7">
      <w:start w:val="0"/>
      <w:numFmt w:val="bullet"/>
      <w:lvlText w:val="•"/>
      <w:lvlJc w:val="left"/>
      <w:pPr>
        <w:ind w:left="7692" w:hanging="721"/>
      </w:pPr>
      <w:rPr>
        <w:rFonts w:hint="default"/>
        <w:lang w:val="en-US" w:eastAsia="en-US" w:bidi="ar-SA"/>
      </w:rPr>
    </w:lvl>
    <w:lvl w:ilvl="8">
      <w:start w:val="0"/>
      <w:numFmt w:val="bullet"/>
      <w:lvlText w:val="•"/>
      <w:lvlJc w:val="left"/>
      <w:pPr>
        <w:ind w:left="8628" w:hanging="721"/>
      </w:pPr>
      <w:rPr>
        <w:rFonts w:hint="default"/>
        <w:lang w:val="en-US" w:eastAsia="en-US" w:bidi="ar-SA"/>
      </w:rPr>
    </w:lvl>
  </w:abstractNum>
  <w:abstractNum w:abstractNumId="7">
    <w:multiLevelType w:val="hybridMultilevel"/>
    <w:lvl w:ilvl="0">
      <w:start w:val="6"/>
      <w:numFmt w:val="decimal"/>
      <w:lvlText w:val="%1"/>
      <w:lvlJc w:val="left"/>
      <w:pPr>
        <w:ind w:left="1083" w:hanging="663"/>
        <w:jc w:val="left"/>
      </w:pPr>
      <w:rPr>
        <w:rFonts w:hint="default"/>
        <w:lang w:val="en-US" w:eastAsia="en-US" w:bidi="ar-SA"/>
      </w:rPr>
    </w:lvl>
    <w:lvl w:ilvl="1">
      <w:start w:val="0"/>
      <w:numFmt w:val="decimal"/>
      <w:lvlText w:val="%1.%2"/>
      <w:lvlJc w:val="left"/>
      <w:pPr>
        <w:ind w:left="1083" w:hanging="66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64" w:hanging="663"/>
      </w:pPr>
      <w:rPr>
        <w:rFonts w:hint="default"/>
        <w:lang w:val="en-US" w:eastAsia="en-US" w:bidi="ar-SA"/>
      </w:rPr>
    </w:lvl>
    <w:lvl w:ilvl="3">
      <w:start w:val="0"/>
      <w:numFmt w:val="bullet"/>
      <w:lvlText w:val="•"/>
      <w:lvlJc w:val="left"/>
      <w:pPr>
        <w:ind w:left="3906" w:hanging="663"/>
      </w:pPr>
      <w:rPr>
        <w:rFonts w:hint="default"/>
        <w:lang w:val="en-US" w:eastAsia="en-US" w:bidi="ar-SA"/>
      </w:rPr>
    </w:lvl>
    <w:lvl w:ilvl="4">
      <w:start w:val="0"/>
      <w:numFmt w:val="bullet"/>
      <w:lvlText w:val="•"/>
      <w:lvlJc w:val="left"/>
      <w:pPr>
        <w:ind w:left="4848" w:hanging="663"/>
      </w:pPr>
      <w:rPr>
        <w:rFonts w:hint="default"/>
        <w:lang w:val="en-US" w:eastAsia="en-US" w:bidi="ar-SA"/>
      </w:rPr>
    </w:lvl>
    <w:lvl w:ilvl="5">
      <w:start w:val="0"/>
      <w:numFmt w:val="bullet"/>
      <w:lvlText w:val="•"/>
      <w:lvlJc w:val="left"/>
      <w:pPr>
        <w:ind w:left="5790" w:hanging="663"/>
      </w:pPr>
      <w:rPr>
        <w:rFonts w:hint="default"/>
        <w:lang w:val="en-US" w:eastAsia="en-US" w:bidi="ar-SA"/>
      </w:rPr>
    </w:lvl>
    <w:lvl w:ilvl="6">
      <w:start w:val="0"/>
      <w:numFmt w:val="bullet"/>
      <w:lvlText w:val="•"/>
      <w:lvlJc w:val="left"/>
      <w:pPr>
        <w:ind w:left="6732" w:hanging="663"/>
      </w:pPr>
      <w:rPr>
        <w:rFonts w:hint="default"/>
        <w:lang w:val="en-US" w:eastAsia="en-US" w:bidi="ar-SA"/>
      </w:rPr>
    </w:lvl>
    <w:lvl w:ilvl="7">
      <w:start w:val="0"/>
      <w:numFmt w:val="bullet"/>
      <w:lvlText w:val="•"/>
      <w:lvlJc w:val="left"/>
      <w:pPr>
        <w:ind w:left="7674" w:hanging="663"/>
      </w:pPr>
      <w:rPr>
        <w:rFonts w:hint="default"/>
        <w:lang w:val="en-US" w:eastAsia="en-US" w:bidi="ar-SA"/>
      </w:rPr>
    </w:lvl>
    <w:lvl w:ilvl="8">
      <w:start w:val="0"/>
      <w:numFmt w:val="bullet"/>
      <w:lvlText w:val="•"/>
      <w:lvlJc w:val="left"/>
      <w:pPr>
        <w:ind w:left="8616" w:hanging="663"/>
      </w:pPr>
      <w:rPr>
        <w:rFonts w:hint="default"/>
        <w:lang w:val="en-US" w:eastAsia="en-US" w:bidi="ar-SA"/>
      </w:rPr>
    </w:lvl>
  </w:abstractNum>
  <w:abstractNum w:abstractNumId="6">
    <w:multiLevelType w:val="hybridMultilevel"/>
    <w:lvl w:ilvl="0">
      <w:start w:val="5"/>
      <w:numFmt w:val="decimal"/>
      <w:lvlText w:val="%1"/>
      <w:lvlJc w:val="left"/>
      <w:pPr>
        <w:ind w:left="1141" w:hanging="721"/>
        <w:jc w:val="left"/>
      </w:pPr>
      <w:rPr>
        <w:rFonts w:hint="default"/>
        <w:lang w:val="en-US" w:eastAsia="en-US" w:bidi="ar-SA"/>
      </w:rPr>
    </w:lvl>
    <w:lvl w:ilvl="1">
      <w:start w:val="0"/>
      <w:numFmt w:val="decimal"/>
      <w:lvlText w:val="%1.%2"/>
      <w:lvlJc w:val="left"/>
      <w:pPr>
        <w:ind w:left="11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12" w:hanging="721"/>
      </w:pPr>
      <w:rPr>
        <w:rFonts w:hint="default"/>
        <w:lang w:val="en-US" w:eastAsia="en-US" w:bidi="ar-SA"/>
      </w:rPr>
    </w:lvl>
    <w:lvl w:ilvl="3">
      <w:start w:val="0"/>
      <w:numFmt w:val="bullet"/>
      <w:lvlText w:val="•"/>
      <w:lvlJc w:val="left"/>
      <w:pPr>
        <w:ind w:left="3948" w:hanging="721"/>
      </w:pPr>
      <w:rPr>
        <w:rFonts w:hint="default"/>
        <w:lang w:val="en-US" w:eastAsia="en-US" w:bidi="ar-SA"/>
      </w:rPr>
    </w:lvl>
    <w:lvl w:ilvl="4">
      <w:start w:val="0"/>
      <w:numFmt w:val="bullet"/>
      <w:lvlText w:val="•"/>
      <w:lvlJc w:val="left"/>
      <w:pPr>
        <w:ind w:left="4884" w:hanging="721"/>
      </w:pPr>
      <w:rPr>
        <w:rFonts w:hint="default"/>
        <w:lang w:val="en-US" w:eastAsia="en-US" w:bidi="ar-SA"/>
      </w:rPr>
    </w:lvl>
    <w:lvl w:ilvl="5">
      <w:start w:val="0"/>
      <w:numFmt w:val="bullet"/>
      <w:lvlText w:val="•"/>
      <w:lvlJc w:val="left"/>
      <w:pPr>
        <w:ind w:left="5820" w:hanging="721"/>
      </w:pPr>
      <w:rPr>
        <w:rFonts w:hint="default"/>
        <w:lang w:val="en-US" w:eastAsia="en-US" w:bidi="ar-SA"/>
      </w:rPr>
    </w:lvl>
    <w:lvl w:ilvl="6">
      <w:start w:val="0"/>
      <w:numFmt w:val="bullet"/>
      <w:lvlText w:val="•"/>
      <w:lvlJc w:val="left"/>
      <w:pPr>
        <w:ind w:left="6756" w:hanging="721"/>
      </w:pPr>
      <w:rPr>
        <w:rFonts w:hint="default"/>
        <w:lang w:val="en-US" w:eastAsia="en-US" w:bidi="ar-SA"/>
      </w:rPr>
    </w:lvl>
    <w:lvl w:ilvl="7">
      <w:start w:val="0"/>
      <w:numFmt w:val="bullet"/>
      <w:lvlText w:val="•"/>
      <w:lvlJc w:val="left"/>
      <w:pPr>
        <w:ind w:left="7692" w:hanging="721"/>
      </w:pPr>
      <w:rPr>
        <w:rFonts w:hint="default"/>
        <w:lang w:val="en-US" w:eastAsia="en-US" w:bidi="ar-SA"/>
      </w:rPr>
    </w:lvl>
    <w:lvl w:ilvl="8">
      <w:start w:val="0"/>
      <w:numFmt w:val="bullet"/>
      <w:lvlText w:val="•"/>
      <w:lvlJc w:val="left"/>
      <w:pPr>
        <w:ind w:left="8628" w:hanging="721"/>
      </w:pPr>
      <w:rPr>
        <w:rFonts w:hint="default"/>
        <w:lang w:val="en-US" w:eastAsia="en-US" w:bidi="ar-SA"/>
      </w:rPr>
    </w:lvl>
  </w:abstractNum>
  <w:abstractNum w:abstractNumId="5">
    <w:multiLevelType w:val="hybridMultilevel"/>
    <w:lvl w:ilvl="0">
      <w:start w:val="4"/>
      <w:numFmt w:val="decimal"/>
      <w:lvlText w:val="%1"/>
      <w:lvlJc w:val="left"/>
      <w:pPr>
        <w:ind w:left="1141" w:hanging="721"/>
        <w:jc w:val="left"/>
      </w:pPr>
      <w:rPr>
        <w:rFonts w:hint="default"/>
        <w:lang w:val="en-US" w:eastAsia="en-US" w:bidi="ar-SA"/>
      </w:rPr>
    </w:lvl>
    <w:lvl w:ilvl="1">
      <w:start w:val="0"/>
      <w:numFmt w:val="decimal"/>
      <w:lvlText w:val="%1.%2"/>
      <w:lvlJc w:val="left"/>
      <w:pPr>
        <w:ind w:left="11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12" w:hanging="721"/>
      </w:pPr>
      <w:rPr>
        <w:rFonts w:hint="default"/>
        <w:lang w:val="en-US" w:eastAsia="en-US" w:bidi="ar-SA"/>
      </w:rPr>
    </w:lvl>
    <w:lvl w:ilvl="3">
      <w:start w:val="0"/>
      <w:numFmt w:val="bullet"/>
      <w:lvlText w:val="•"/>
      <w:lvlJc w:val="left"/>
      <w:pPr>
        <w:ind w:left="3948" w:hanging="721"/>
      </w:pPr>
      <w:rPr>
        <w:rFonts w:hint="default"/>
        <w:lang w:val="en-US" w:eastAsia="en-US" w:bidi="ar-SA"/>
      </w:rPr>
    </w:lvl>
    <w:lvl w:ilvl="4">
      <w:start w:val="0"/>
      <w:numFmt w:val="bullet"/>
      <w:lvlText w:val="•"/>
      <w:lvlJc w:val="left"/>
      <w:pPr>
        <w:ind w:left="4884" w:hanging="721"/>
      </w:pPr>
      <w:rPr>
        <w:rFonts w:hint="default"/>
        <w:lang w:val="en-US" w:eastAsia="en-US" w:bidi="ar-SA"/>
      </w:rPr>
    </w:lvl>
    <w:lvl w:ilvl="5">
      <w:start w:val="0"/>
      <w:numFmt w:val="bullet"/>
      <w:lvlText w:val="•"/>
      <w:lvlJc w:val="left"/>
      <w:pPr>
        <w:ind w:left="5820" w:hanging="721"/>
      </w:pPr>
      <w:rPr>
        <w:rFonts w:hint="default"/>
        <w:lang w:val="en-US" w:eastAsia="en-US" w:bidi="ar-SA"/>
      </w:rPr>
    </w:lvl>
    <w:lvl w:ilvl="6">
      <w:start w:val="0"/>
      <w:numFmt w:val="bullet"/>
      <w:lvlText w:val="•"/>
      <w:lvlJc w:val="left"/>
      <w:pPr>
        <w:ind w:left="6756" w:hanging="721"/>
      </w:pPr>
      <w:rPr>
        <w:rFonts w:hint="default"/>
        <w:lang w:val="en-US" w:eastAsia="en-US" w:bidi="ar-SA"/>
      </w:rPr>
    </w:lvl>
    <w:lvl w:ilvl="7">
      <w:start w:val="0"/>
      <w:numFmt w:val="bullet"/>
      <w:lvlText w:val="•"/>
      <w:lvlJc w:val="left"/>
      <w:pPr>
        <w:ind w:left="7692" w:hanging="721"/>
      </w:pPr>
      <w:rPr>
        <w:rFonts w:hint="default"/>
        <w:lang w:val="en-US" w:eastAsia="en-US" w:bidi="ar-SA"/>
      </w:rPr>
    </w:lvl>
    <w:lvl w:ilvl="8">
      <w:start w:val="0"/>
      <w:numFmt w:val="bullet"/>
      <w:lvlText w:val="•"/>
      <w:lvlJc w:val="left"/>
      <w:pPr>
        <w:ind w:left="8628" w:hanging="721"/>
      </w:pPr>
      <w:rPr>
        <w:rFonts w:hint="default"/>
        <w:lang w:val="en-US" w:eastAsia="en-US" w:bidi="ar-SA"/>
      </w:rPr>
    </w:lvl>
  </w:abstractNum>
  <w:abstractNum w:abstractNumId="4">
    <w:multiLevelType w:val="hybridMultilevel"/>
    <w:lvl w:ilvl="0">
      <w:start w:val="3"/>
      <w:numFmt w:val="decimal"/>
      <w:lvlText w:val="%1"/>
      <w:lvlJc w:val="left"/>
      <w:pPr>
        <w:ind w:left="1141" w:hanging="721"/>
        <w:jc w:val="left"/>
      </w:pPr>
      <w:rPr>
        <w:rFonts w:hint="default"/>
        <w:lang w:val="en-US" w:eastAsia="en-US" w:bidi="ar-SA"/>
      </w:rPr>
    </w:lvl>
    <w:lvl w:ilvl="1">
      <w:start w:val="4"/>
      <w:numFmt w:val="decimal"/>
      <w:lvlText w:val="%1.%2"/>
      <w:lvlJc w:val="left"/>
      <w:pPr>
        <w:ind w:left="11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48" w:hanging="721"/>
      </w:pPr>
      <w:rPr>
        <w:rFonts w:hint="default"/>
        <w:lang w:val="en-US" w:eastAsia="en-US" w:bidi="ar-SA"/>
      </w:rPr>
    </w:lvl>
    <w:lvl w:ilvl="4">
      <w:start w:val="0"/>
      <w:numFmt w:val="bullet"/>
      <w:lvlText w:val="•"/>
      <w:lvlJc w:val="left"/>
      <w:pPr>
        <w:ind w:left="4884" w:hanging="721"/>
      </w:pPr>
      <w:rPr>
        <w:rFonts w:hint="default"/>
        <w:lang w:val="en-US" w:eastAsia="en-US" w:bidi="ar-SA"/>
      </w:rPr>
    </w:lvl>
    <w:lvl w:ilvl="5">
      <w:start w:val="0"/>
      <w:numFmt w:val="bullet"/>
      <w:lvlText w:val="•"/>
      <w:lvlJc w:val="left"/>
      <w:pPr>
        <w:ind w:left="5820" w:hanging="721"/>
      </w:pPr>
      <w:rPr>
        <w:rFonts w:hint="default"/>
        <w:lang w:val="en-US" w:eastAsia="en-US" w:bidi="ar-SA"/>
      </w:rPr>
    </w:lvl>
    <w:lvl w:ilvl="6">
      <w:start w:val="0"/>
      <w:numFmt w:val="bullet"/>
      <w:lvlText w:val="•"/>
      <w:lvlJc w:val="left"/>
      <w:pPr>
        <w:ind w:left="6756" w:hanging="721"/>
      </w:pPr>
      <w:rPr>
        <w:rFonts w:hint="default"/>
        <w:lang w:val="en-US" w:eastAsia="en-US" w:bidi="ar-SA"/>
      </w:rPr>
    </w:lvl>
    <w:lvl w:ilvl="7">
      <w:start w:val="0"/>
      <w:numFmt w:val="bullet"/>
      <w:lvlText w:val="•"/>
      <w:lvlJc w:val="left"/>
      <w:pPr>
        <w:ind w:left="7692" w:hanging="721"/>
      </w:pPr>
      <w:rPr>
        <w:rFonts w:hint="default"/>
        <w:lang w:val="en-US" w:eastAsia="en-US" w:bidi="ar-SA"/>
      </w:rPr>
    </w:lvl>
    <w:lvl w:ilvl="8">
      <w:start w:val="0"/>
      <w:numFmt w:val="bullet"/>
      <w:lvlText w:val="•"/>
      <w:lvlJc w:val="left"/>
      <w:pPr>
        <w:ind w:left="8628" w:hanging="721"/>
      </w:pPr>
      <w:rPr>
        <w:rFonts w:hint="default"/>
        <w:lang w:val="en-US" w:eastAsia="en-US" w:bidi="ar-SA"/>
      </w:rPr>
    </w:lvl>
  </w:abstractNum>
  <w:abstractNum w:abstractNumId="3">
    <w:multiLevelType w:val="hybridMultilevel"/>
    <w:lvl w:ilvl="0">
      <w:start w:val="3"/>
      <w:numFmt w:val="decimal"/>
      <w:lvlText w:val="%1"/>
      <w:lvlJc w:val="left"/>
      <w:pPr>
        <w:ind w:left="1141" w:hanging="721"/>
        <w:jc w:val="left"/>
      </w:pPr>
      <w:rPr>
        <w:rFonts w:hint="default"/>
        <w:lang w:val="en-US" w:eastAsia="en-US" w:bidi="ar-SA"/>
      </w:rPr>
    </w:lvl>
    <w:lvl w:ilvl="1">
      <w:start w:val="3"/>
      <w:numFmt w:val="decimal"/>
      <w:lvlText w:val="%1.%2."/>
      <w:lvlJc w:val="left"/>
      <w:pPr>
        <w:ind w:left="11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12" w:hanging="721"/>
      </w:pPr>
      <w:rPr>
        <w:rFonts w:hint="default"/>
        <w:lang w:val="en-US" w:eastAsia="en-US" w:bidi="ar-SA"/>
      </w:rPr>
    </w:lvl>
    <w:lvl w:ilvl="3">
      <w:start w:val="0"/>
      <w:numFmt w:val="bullet"/>
      <w:lvlText w:val="•"/>
      <w:lvlJc w:val="left"/>
      <w:pPr>
        <w:ind w:left="3948" w:hanging="721"/>
      </w:pPr>
      <w:rPr>
        <w:rFonts w:hint="default"/>
        <w:lang w:val="en-US" w:eastAsia="en-US" w:bidi="ar-SA"/>
      </w:rPr>
    </w:lvl>
    <w:lvl w:ilvl="4">
      <w:start w:val="0"/>
      <w:numFmt w:val="bullet"/>
      <w:lvlText w:val="•"/>
      <w:lvlJc w:val="left"/>
      <w:pPr>
        <w:ind w:left="4884" w:hanging="721"/>
      </w:pPr>
      <w:rPr>
        <w:rFonts w:hint="default"/>
        <w:lang w:val="en-US" w:eastAsia="en-US" w:bidi="ar-SA"/>
      </w:rPr>
    </w:lvl>
    <w:lvl w:ilvl="5">
      <w:start w:val="0"/>
      <w:numFmt w:val="bullet"/>
      <w:lvlText w:val="•"/>
      <w:lvlJc w:val="left"/>
      <w:pPr>
        <w:ind w:left="5820" w:hanging="721"/>
      </w:pPr>
      <w:rPr>
        <w:rFonts w:hint="default"/>
        <w:lang w:val="en-US" w:eastAsia="en-US" w:bidi="ar-SA"/>
      </w:rPr>
    </w:lvl>
    <w:lvl w:ilvl="6">
      <w:start w:val="0"/>
      <w:numFmt w:val="bullet"/>
      <w:lvlText w:val="•"/>
      <w:lvlJc w:val="left"/>
      <w:pPr>
        <w:ind w:left="6756" w:hanging="721"/>
      </w:pPr>
      <w:rPr>
        <w:rFonts w:hint="default"/>
        <w:lang w:val="en-US" w:eastAsia="en-US" w:bidi="ar-SA"/>
      </w:rPr>
    </w:lvl>
    <w:lvl w:ilvl="7">
      <w:start w:val="0"/>
      <w:numFmt w:val="bullet"/>
      <w:lvlText w:val="•"/>
      <w:lvlJc w:val="left"/>
      <w:pPr>
        <w:ind w:left="7692" w:hanging="721"/>
      </w:pPr>
      <w:rPr>
        <w:rFonts w:hint="default"/>
        <w:lang w:val="en-US" w:eastAsia="en-US" w:bidi="ar-SA"/>
      </w:rPr>
    </w:lvl>
    <w:lvl w:ilvl="8">
      <w:start w:val="0"/>
      <w:numFmt w:val="bullet"/>
      <w:lvlText w:val="•"/>
      <w:lvlJc w:val="left"/>
      <w:pPr>
        <w:ind w:left="8628" w:hanging="721"/>
      </w:pPr>
      <w:rPr>
        <w:rFonts w:hint="default"/>
        <w:lang w:val="en-US" w:eastAsia="en-US" w:bidi="ar-SA"/>
      </w:rPr>
    </w:lvl>
  </w:abstractNum>
  <w:abstractNum w:abstractNumId="2">
    <w:multiLevelType w:val="hybridMultilevel"/>
    <w:lvl w:ilvl="0">
      <w:start w:val="3"/>
      <w:numFmt w:val="decimal"/>
      <w:lvlText w:val="%1"/>
      <w:lvlJc w:val="left"/>
      <w:pPr>
        <w:ind w:left="1141" w:hanging="721"/>
        <w:jc w:val="left"/>
      </w:pPr>
      <w:rPr>
        <w:rFonts w:hint="default"/>
        <w:lang w:val="en-US" w:eastAsia="en-US" w:bidi="ar-SA"/>
      </w:rPr>
    </w:lvl>
    <w:lvl w:ilvl="1">
      <w:start w:val="0"/>
      <w:numFmt w:val="decimal"/>
      <w:lvlText w:val="%1.%2"/>
      <w:lvlJc w:val="left"/>
      <w:pPr>
        <w:ind w:left="11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45" w:hanging="72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66" w:hanging="726"/>
      </w:pPr>
      <w:rPr>
        <w:rFonts w:hint="default"/>
        <w:lang w:val="en-US" w:eastAsia="en-US" w:bidi="ar-SA"/>
      </w:rPr>
    </w:lvl>
    <w:lvl w:ilvl="4">
      <w:start w:val="0"/>
      <w:numFmt w:val="bullet"/>
      <w:lvlText w:val="•"/>
      <w:lvlJc w:val="left"/>
      <w:pPr>
        <w:ind w:left="4300" w:hanging="726"/>
      </w:pPr>
      <w:rPr>
        <w:rFonts w:hint="default"/>
        <w:lang w:val="en-US" w:eastAsia="en-US" w:bidi="ar-SA"/>
      </w:rPr>
    </w:lvl>
    <w:lvl w:ilvl="5">
      <w:start w:val="0"/>
      <w:numFmt w:val="bullet"/>
      <w:lvlText w:val="•"/>
      <w:lvlJc w:val="left"/>
      <w:pPr>
        <w:ind w:left="5333" w:hanging="726"/>
      </w:pPr>
      <w:rPr>
        <w:rFonts w:hint="default"/>
        <w:lang w:val="en-US" w:eastAsia="en-US" w:bidi="ar-SA"/>
      </w:rPr>
    </w:lvl>
    <w:lvl w:ilvl="6">
      <w:start w:val="0"/>
      <w:numFmt w:val="bullet"/>
      <w:lvlText w:val="•"/>
      <w:lvlJc w:val="left"/>
      <w:pPr>
        <w:ind w:left="6366" w:hanging="726"/>
      </w:pPr>
      <w:rPr>
        <w:rFonts w:hint="default"/>
        <w:lang w:val="en-US" w:eastAsia="en-US" w:bidi="ar-SA"/>
      </w:rPr>
    </w:lvl>
    <w:lvl w:ilvl="7">
      <w:start w:val="0"/>
      <w:numFmt w:val="bullet"/>
      <w:lvlText w:val="•"/>
      <w:lvlJc w:val="left"/>
      <w:pPr>
        <w:ind w:left="7400" w:hanging="726"/>
      </w:pPr>
      <w:rPr>
        <w:rFonts w:hint="default"/>
        <w:lang w:val="en-US" w:eastAsia="en-US" w:bidi="ar-SA"/>
      </w:rPr>
    </w:lvl>
    <w:lvl w:ilvl="8">
      <w:start w:val="0"/>
      <w:numFmt w:val="bullet"/>
      <w:lvlText w:val="•"/>
      <w:lvlJc w:val="left"/>
      <w:pPr>
        <w:ind w:left="8433" w:hanging="726"/>
      </w:pPr>
      <w:rPr>
        <w:rFonts w:hint="default"/>
        <w:lang w:val="en-US" w:eastAsia="en-US" w:bidi="ar-SA"/>
      </w:rPr>
    </w:lvl>
  </w:abstractNum>
  <w:abstractNum w:abstractNumId="1">
    <w:multiLevelType w:val="hybridMultilevel"/>
    <w:lvl w:ilvl="0">
      <w:start w:val="2"/>
      <w:numFmt w:val="decimal"/>
      <w:lvlText w:val="%1"/>
      <w:lvlJc w:val="left"/>
      <w:pPr>
        <w:ind w:left="1203" w:hanging="783"/>
        <w:jc w:val="left"/>
      </w:pPr>
      <w:rPr>
        <w:rFonts w:hint="default"/>
        <w:lang w:val="en-US" w:eastAsia="en-US" w:bidi="ar-SA"/>
      </w:rPr>
    </w:lvl>
    <w:lvl w:ilvl="1">
      <w:start w:val="0"/>
      <w:numFmt w:val="decimal"/>
      <w:lvlText w:val="%1.%2"/>
      <w:lvlJc w:val="left"/>
      <w:pPr>
        <w:ind w:left="1203" w:hanging="78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3" w:hanging="78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66" w:hanging="783"/>
      </w:pPr>
      <w:rPr>
        <w:rFonts w:hint="default"/>
        <w:lang w:val="en-US" w:eastAsia="en-US" w:bidi="ar-SA"/>
      </w:rPr>
    </w:lvl>
    <w:lvl w:ilvl="4">
      <w:start w:val="0"/>
      <w:numFmt w:val="bullet"/>
      <w:lvlText w:val="•"/>
      <w:lvlJc w:val="left"/>
      <w:pPr>
        <w:ind w:left="4300" w:hanging="783"/>
      </w:pPr>
      <w:rPr>
        <w:rFonts w:hint="default"/>
        <w:lang w:val="en-US" w:eastAsia="en-US" w:bidi="ar-SA"/>
      </w:rPr>
    </w:lvl>
    <w:lvl w:ilvl="5">
      <w:start w:val="0"/>
      <w:numFmt w:val="bullet"/>
      <w:lvlText w:val="•"/>
      <w:lvlJc w:val="left"/>
      <w:pPr>
        <w:ind w:left="5333" w:hanging="783"/>
      </w:pPr>
      <w:rPr>
        <w:rFonts w:hint="default"/>
        <w:lang w:val="en-US" w:eastAsia="en-US" w:bidi="ar-SA"/>
      </w:rPr>
    </w:lvl>
    <w:lvl w:ilvl="6">
      <w:start w:val="0"/>
      <w:numFmt w:val="bullet"/>
      <w:lvlText w:val="•"/>
      <w:lvlJc w:val="left"/>
      <w:pPr>
        <w:ind w:left="6366" w:hanging="783"/>
      </w:pPr>
      <w:rPr>
        <w:rFonts w:hint="default"/>
        <w:lang w:val="en-US" w:eastAsia="en-US" w:bidi="ar-SA"/>
      </w:rPr>
    </w:lvl>
    <w:lvl w:ilvl="7">
      <w:start w:val="0"/>
      <w:numFmt w:val="bullet"/>
      <w:lvlText w:val="•"/>
      <w:lvlJc w:val="left"/>
      <w:pPr>
        <w:ind w:left="7400" w:hanging="783"/>
      </w:pPr>
      <w:rPr>
        <w:rFonts w:hint="default"/>
        <w:lang w:val="en-US" w:eastAsia="en-US" w:bidi="ar-SA"/>
      </w:rPr>
    </w:lvl>
    <w:lvl w:ilvl="8">
      <w:start w:val="0"/>
      <w:numFmt w:val="bullet"/>
      <w:lvlText w:val="•"/>
      <w:lvlJc w:val="left"/>
      <w:pPr>
        <w:ind w:left="8433" w:hanging="783"/>
      </w:pPr>
      <w:rPr>
        <w:rFonts w:hint="default"/>
        <w:lang w:val="en-US" w:eastAsia="en-US" w:bidi="ar-SA"/>
      </w:rPr>
    </w:lvl>
  </w:abstractNum>
  <w:abstractNum w:abstractNumId="0">
    <w:multiLevelType w:val="hybridMultilevel"/>
    <w:lvl w:ilvl="0">
      <w:start w:val="1"/>
      <w:numFmt w:val="decimal"/>
      <w:lvlText w:val="%1"/>
      <w:lvlJc w:val="left"/>
      <w:pPr>
        <w:ind w:left="1145" w:hanging="726"/>
        <w:jc w:val="left"/>
      </w:pPr>
      <w:rPr>
        <w:rFonts w:hint="default"/>
        <w:lang w:val="en-US" w:eastAsia="en-US" w:bidi="ar-SA"/>
      </w:rPr>
    </w:lvl>
    <w:lvl w:ilvl="1">
      <w:start w:val="0"/>
      <w:numFmt w:val="decimal"/>
      <w:lvlText w:val="%1.%2"/>
      <w:lvlJc w:val="left"/>
      <w:pPr>
        <w:ind w:left="1145" w:hanging="726"/>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12" w:hanging="726"/>
      </w:pPr>
      <w:rPr>
        <w:rFonts w:hint="default"/>
        <w:lang w:val="en-US" w:eastAsia="en-US" w:bidi="ar-SA"/>
      </w:rPr>
    </w:lvl>
    <w:lvl w:ilvl="3">
      <w:start w:val="0"/>
      <w:numFmt w:val="bullet"/>
      <w:lvlText w:val="•"/>
      <w:lvlJc w:val="left"/>
      <w:pPr>
        <w:ind w:left="3948" w:hanging="726"/>
      </w:pPr>
      <w:rPr>
        <w:rFonts w:hint="default"/>
        <w:lang w:val="en-US" w:eastAsia="en-US" w:bidi="ar-SA"/>
      </w:rPr>
    </w:lvl>
    <w:lvl w:ilvl="4">
      <w:start w:val="0"/>
      <w:numFmt w:val="bullet"/>
      <w:lvlText w:val="•"/>
      <w:lvlJc w:val="left"/>
      <w:pPr>
        <w:ind w:left="4884" w:hanging="726"/>
      </w:pPr>
      <w:rPr>
        <w:rFonts w:hint="default"/>
        <w:lang w:val="en-US" w:eastAsia="en-US" w:bidi="ar-SA"/>
      </w:rPr>
    </w:lvl>
    <w:lvl w:ilvl="5">
      <w:start w:val="0"/>
      <w:numFmt w:val="bullet"/>
      <w:lvlText w:val="•"/>
      <w:lvlJc w:val="left"/>
      <w:pPr>
        <w:ind w:left="5820" w:hanging="726"/>
      </w:pPr>
      <w:rPr>
        <w:rFonts w:hint="default"/>
        <w:lang w:val="en-US" w:eastAsia="en-US" w:bidi="ar-SA"/>
      </w:rPr>
    </w:lvl>
    <w:lvl w:ilvl="6">
      <w:start w:val="0"/>
      <w:numFmt w:val="bullet"/>
      <w:lvlText w:val="•"/>
      <w:lvlJc w:val="left"/>
      <w:pPr>
        <w:ind w:left="6756" w:hanging="726"/>
      </w:pPr>
      <w:rPr>
        <w:rFonts w:hint="default"/>
        <w:lang w:val="en-US" w:eastAsia="en-US" w:bidi="ar-SA"/>
      </w:rPr>
    </w:lvl>
    <w:lvl w:ilvl="7">
      <w:start w:val="0"/>
      <w:numFmt w:val="bullet"/>
      <w:lvlText w:val="•"/>
      <w:lvlJc w:val="left"/>
      <w:pPr>
        <w:ind w:left="7692" w:hanging="726"/>
      </w:pPr>
      <w:rPr>
        <w:rFonts w:hint="default"/>
        <w:lang w:val="en-US" w:eastAsia="en-US" w:bidi="ar-SA"/>
      </w:rPr>
    </w:lvl>
    <w:lvl w:ilvl="8">
      <w:start w:val="0"/>
      <w:numFmt w:val="bullet"/>
      <w:lvlText w:val="•"/>
      <w:lvlJc w:val="left"/>
      <w:pPr>
        <w:ind w:left="8628" w:hanging="726"/>
      </w:pPr>
      <w:rPr>
        <w:rFonts w:hint="default"/>
        <w:lang w:val="en-US" w:eastAsia="en-US" w:bidi="ar-SA"/>
      </w:rPr>
    </w:lvl>
  </w:abstractNum>
  <w:num w:numId="21">
    <w:abstractNumId w:val="20"/>
  </w:num>
  <w:num w:numId="20">
    <w:abstractNumId w:val="19"/>
  </w:num>
  <w:num w:numId="14">
    <w:abstractNumId w:val="13"/>
  </w:num>
  <w:num w:numId="25">
    <w:abstractNumId w:val="24"/>
  </w:num>
  <w:num w:numId="24">
    <w:abstractNumId w:val="23"/>
  </w:num>
  <w:num w:numId="23">
    <w:abstractNumId w:val="22"/>
  </w:num>
  <w:num w:numId="22">
    <w:abstractNumId w:val="21"/>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42"/>
      <w:ind w:left="1140" w:hanging="7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1140" w:hanging="72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37"/>
      <w:ind w:left="1140" w:hanging="7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2"/>
      <w:ind w:left="1140" w:hanging="720"/>
    </w:pPr>
    <w:rPr>
      <w:rFonts w:ascii="Times New Roman" w:hAnsi="Times New Roman" w:eastAsia="Times New Roman" w:cs="Times New Roman"/>
      <w:b/>
      <w:bCs/>
      <w:i/>
      <w:iCs/>
      <w:lang w:val="en-US" w:eastAsia="en-US" w:bidi="ar-SA"/>
    </w:rPr>
  </w:style>
  <w:style w:styleId="TOC5" w:type="paragraph">
    <w:name w:val="TOC 5"/>
    <w:basedOn w:val="Normal"/>
    <w:uiPriority w:val="1"/>
    <w:qFormat/>
    <w:pPr>
      <w:spacing w:before="72"/>
      <w:ind w:left="1083"/>
    </w:pPr>
    <w:rPr>
      <w:rFonts w:ascii="Times New Roman" w:hAnsi="Times New Roman" w:eastAsia="Times New Roman" w:cs="Times New Roman"/>
      <w:b/>
      <w:bCs/>
      <w:sz w:val="24"/>
      <w:szCs w:val="24"/>
      <w:lang w:val="en-US" w:eastAsia="en-US" w:bidi="ar-SA"/>
    </w:rPr>
  </w:style>
  <w:style w:styleId="TOC6" w:type="paragraph">
    <w:name w:val="TOC 6"/>
    <w:basedOn w:val="Normal"/>
    <w:uiPriority w:val="1"/>
    <w:qFormat/>
    <w:pPr>
      <w:spacing w:before="549"/>
      <w:ind w:left="1145"/>
    </w:pPr>
    <w:rPr>
      <w:rFonts w:ascii="Times New Roman" w:hAnsi="Times New Roman" w:eastAsia="Times New Roman" w:cs="Times New Roman"/>
      <w:b/>
      <w:bCs/>
      <w:sz w:val="24"/>
      <w:szCs w:val="24"/>
      <w:lang w:val="en-US" w:eastAsia="en-US" w:bidi="ar-SA"/>
    </w:rPr>
  </w:style>
  <w:style w:styleId="TOC7" w:type="paragraph">
    <w:name w:val="TOC 7"/>
    <w:basedOn w:val="Normal"/>
    <w:uiPriority w:val="1"/>
    <w:qFormat/>
    <w:pPr>
      <w:spacing w:before="550"/>
      <w:ind w:left="1203"/>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42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1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33"/>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scialert.net/fulltext/1336_op" TargetMode="External"/><Relationship Id="rId8" Type="http://schemas.openxmlformats.org/officeDocument/2006/relationships/hyperlink" Target="../Documents/Ph%20D%20Thesis%205.htm#562956_ja" TargetMode="External"/><Relationship Id="rId9" Type="http://schemas.openxmlformats.org/officeDocument/2006/relationships/hyperlink" Target="../Documents/Ph%20D%20Thesis%205.htm#38136_b" TargetMode="External"/><Relationship Id="rId10" Type="http://schemas.openxmlformats.org/officeDocument/2006/relationships/hyperlink" Target="http://www.scialert.net/asci/result.php?searchin=Keywords&amp;cat&amp;ascicat=ALL&amp;Submit=Search&amp;keyword=Heavy%2Bmetals" TargetMode="External"/><Relationship Id="rId11" Type="http://schemas.openxmlformats.org/officeDocument/2006/relationships/hyperlink" Target="../Documents/Ph%20D%20Thesis%205.htm#563181_ja" TargetMode="External"/><Relationship Id="rId12" Type="http://schemas.openxmlformats.org/officeDocument/2006/relationships/hyperlink" Target="../Documents/Ph%20D%20Thesis%205.htm#49141_b" TargetMode="External"/><Relationship Id="rId13" Type="http://schemas.openxmlformats.org/officeDocument/2006/relationships/hyperlink" Target="../Documents/Ph%20D%20Thesis%205.htm#563118_ja" TargetMode="External"/><Relationship Id="rId14" Type="http://schemas.openxmlformats.org/officeDocument/2006/relationships/hyperlink" Target="../Documents/Ph%20D%20Thesis%205.htm#562973_ja" TargetMode="External"/><Relationship Id="rId15" Type="http://schemas.openxmlformats.org/officeDocument/2006/relationships/hyperlink" Target="../Documents/Ph%20D%20Thesis%205.htm#563030_ja" TargetMode="External"/><Relationship Id="rId16" Type="http://schemas.openxmlformats.org/officeDocument/2006/relationships/hyperlink" Target="../Documents/Ph%20D%20Thesis%205.htm#563110_ja" TargetMode="External"/><Relationship Id="rId17" Type="http://schemas.openxmlformats.org/officeDocument/2006/relationships/hyperlink" Target="../Documents/Ph%20D%20Thesis%205.htm#562981_ja" TargetMode="External"/><Relationship Id="rId18" Type="http://schemas.openxmlformats.org/officeDocument/2006/relationships/hyperlink" Target="../Documents/Ph%20D%20Thesis%205.htm#208484_ja" TargetMode="External"/><Relationship Id="rId19" Type="http://schemas.openxmlformats.org/officeDocument/2006/relationships/hyperlink" Target="../Documents/Ph%20D%20Thesis%205.htm#563114_ja" TargetMode="External"/><Relationship Id="rId20" Type="http://schemas.openxmlformats.org/officeDocument/2006/relationships/hyperlink" Target="../Documents/Ph%20D%20Thesis%205.htm#563068_ja" TargetMode="External"/><Relationship Id="rId21" Type="http://schemas.openxmlformats.org/officeDocument/2006/relationships/hyperlink" Target="../Documents/Ph%20D%20Thesis%205.htm#563120_ja" TargetMode="External"/><Relationship Id="rId22" Type="http://schemas.openxmlformats.org/officeDocument/2006/relationships/hyperlink" Target="../Documents/Ph%20D%20Thesis%205.htm#563033_ja" TargetMode="External"/><Relationship Id="rId23" Type="http://schemas.openxmlformats.org/officeDocument/2006/relationships/hyperlink" Target="../Documents/Ph%20D%20Thesis%205.htm#563167_ja" TargetMode="External"/><Relationship Id="rId24" Type="http://schemas.openxmlformats.org/officeDocument/2006/relationships/hyperlink" Target="../Documents/Ph%20D%20Thesis%205.htm#563040_ja" TargetMode="External"/><Relationship Id="rId25" Type="http://schemas.openxmlformats.org/officeDocument/2006/relationships/hyperlink" Target="../Documents/Ph%20D%20Thesis%205.htm#562967_ja" TargetMode="External"/><Relationship Id="rId26" Type="http://schemas.openxmlformats.org/officeDocument/2006/relationships/hyperlink" Target="../Documents/Ph%20D%20Thesis%205.htm#563065_ja" TargetMode="External"/><Relationship Id="rId27" Type="http://schemas.openxmlformats.org/officeDocument/2006/relationships/hyperlink" Target="../Documents/Ph%20D%20Thesis%205.htm#563052_ja" TargetMode="External"/><Relationship Id="rId28" Type="http://schemas.openxmlformats.org/officeDocument/2006/relationships/hyperlink" Target="../Documents/Ph%20D%20Thesis%205.htm#563107_ja" TargetMode="External"/><Relationship Id="rId29" Type="http://schemas.openxmlformats.org/officeDocument/2006/relationships/hyperlink" Target="../Documents/Ph%20D%20Thesis%205.htm#563165_ja" TargetMode="External"/><Relationship Id="rId30" Type="http://schemas.openxmlformats.org/officeDocument/2006/relationships/hyperlink" Target="../Documents/Ph%20D%20Thesis%205.htm#563117_ja" TargetMode="External"/><Relationship Id="rId31" Type="http://schemas.openxmlformats.org/officeDocument/2006/relationships/hyperlink" Target="../Documents/Ph%20D%20Thesis%205.htm#563164_ja" TargetMode="External"/><Relationship Id="rId32" Type="http://schemas.openxmlformats.org/officeDocument/2006/relationships/hyperlink" Target="../Documents/Ph%20D%20Thesis%205.htm#563171_ja" TargetMode="External"/><Relationship Id="rId33" Type="http://schemas.openxmlformats.org/officeDocument/2006/relationships/hyperlink" Target="http://www.scialert.net/asci/result.php?searchin=Keywords&amp;cat&amp;ascicat=ALL&amp;Submit=Search&amp;keyword=soil%2BpH" TargetMode="External"/><Relationship Id="rId34" Type="http://schemas.openxmlformats.org/officeDocument/2006/relationships/hyperlink" Target="../Documents/Ph%20D%20Thesis%205.htm#562965_ja" TargetMode="External"/><Relationship Id="rId35" Type="http://schemas.openxmlformats.org/officeDocument/2006/relationships/hyperlink" Target="../Documents/Ph%20D%20Thesis%205.htm#18319_ja" TargetMode="External"/><Relationship Id="rId36" Type="http://schemas.openxmlformats.org/officeDocument/2006/relationships/hyperlink" Target="../Documents/Ph%20D%20Thesis%205.htm#563025_ja" TargetMode="External"/><Relationship Id="rId37" Type="http://schemas.openxmlformats.org/officeDocument/2006/relationships/hyperlink" Target="../Documents/Ph%20D%20Thesis%205.htm#562953_ja" TargetMode="External"/><Relationship Id="rId38" Type="http://schemas.openxmlformats.org/officeDocument/2006/relationships/hyperlink" Target="../Documents/Ph%20D%20Thesis%205.htm#563090_ja" TargetMode="External"/><Relationship Id="rId39" Type="http://schemas.openxmlformats.org/officeDocument/2006/relationships/hyperlink" Target="../Documents/Ph%20D%20Thesis%205.htm#562979_ja" TargetMode="External"/><Relationship Id="rId40" Type="http://schemas.openxmlformats.org/officeDocument/2006/relationships/hyperlink" Target="http://www.scialert.net/asci/result.php?searchin=Keywords&amp;cat&amp;ascicat=ALL&amp;Submit=Search&amp;keyword=dry%2Bmatter" TargetMode="External"/><Relationship Id="rId41" Type="http://schemas.openxmlformats.org/officeDocument/2006/relationships/hyperlink" Target="../Documents/Ph%20D%20Thesis%205.htm#563078_ja" TargetMode="External"/><Relationship Id="rId42" Type="http://schemas.openxmlformats.org/officeDocument/2006/relationships/hyperlink" Target="../Documents/Ph%20D%20Thesis%205.htm#563162_ja" TargetMode="External"/><Relationship Id="rId43" Type="http://schemas.openxmlformats.org/officeDocument/2006/relationships/hyperlink" Target="../Documents/Ph%20D%20Thesis%205.htm#562983_ja" TargetMode="External"/><Relationship Id="rId44" Type="http://schemas.openxmlformats.org/officeDocument/2006/relationships/hyperlink" Target="../Documents/Ph%20D%20Thesis%205.htm#563004_ja" TargetMode="External"/><Relationship Id="rId45" Type="http://schemas.openxmlformats.org/officeDocument/2006/relationships/hyperlink" Target="../Documents/Ph%20D%20Thesis%205.htm#563104_ja" TargetMode="External"/><Relationship Id="rId46" Type="http://schemas.openxmlformats.org/officeDocument/2006/relationships/hyperlink" Target="../Documents/Ph%20D%20Thesis%205.htm#563169_ja" TargetMode="External"/><Relationship Id="rId47" Type="http://schemas.openxmlformats.org/officeDocument/2006/relationships/hyperlink" Target="../Documents/Ph%20D%20Thesis%205.htm#563094_ja" TargetMode="External"/><Relationship Id="rId48" Type="http://schemas.openxmlformats.org/officeDocument/2006/relationships/hyperlink" Target="../Documents/Ph%20D%20Thesis%205.htm#563187_ja" TargetMode="External"/><Relationship Id="rId49" Type="http://schemas.openxmlformats.org/officeDocument/2006/relationships/hyperlink" Target="http://www.scialert.net/asci/result.php?searchin=Keywords&amp;cat&amp;ascicat=ALL&amp;Submit=Search&amp;keyword=wheat%2Bstraw" TargetMode="External"/><Relationship Id="rId50" Type="http://schemas.openxmlformats.org/officeDocument/2006/relationships/hyperlink" Target="../Documents/Ph%20D%20Thesis%205.htm#19589_con" TargetMode="External"/><Relationship Id="rId51" Type="http://schemas.openxmlformats.org/officeDocument/2006/relationships/hyperlink" Target="../Documents/Ph%20D%20Thesis%205.htm#563163_ja" TargetMode="External"/><Relationship Id="rId52" Type="http://schemas.openxmlformats.org/officeDocument/2006/relationships/hyperlink" Target="../Documents/Ph%20D%20Thesis%205.htm#563063_ja" TargetMode="External"/><Relationship Id="rId53" Type="http://schemas.openxmlformats.org/officeDocument/2006/relationships/hyperlink" Target="../Documents/Ph%20D%20Thesis%205.htm#563092_ja" TargetMode="External"/><Relationship Id="rId54" Type="http://schemas.openxmlformats.org/officeDocument/2006/relationships/hyperlink" Target="../Documents/Ph%20D%20Thesis%205.htm#562976_ja" TargetMode="External"/><Relationship Id="rId55" Type="http://schemas.openxmlformats.org/officeDocument/2006/relationships/hyperlink" Target="../Documents/Ph%20D%20Thesis%205.htm#563088_ja" TargetMode="External"/><Relationship Id="rId56" Type="http://schemas.openxmlformats.org/officeDocument/2006/relationships/hyperlink" Target="../Documents/PhD%20Thesis%201.htm#25685_con" TargetMode="External"/><Relationship Id="rId57" Type="http://schemas.openxmlformats.org/officeDocument/2006/relationships/hyperlink" Target="../Documents/PhD%20Thesis%201.htm#40072_an" TargetMode="External"/><Relationship Id="rId58" Type="http://schemas.openxmlformats.org/officeDocument/2006/relationships/hyperlink" Target="../../USER/Documents/PhD%20Thesis%201.htm#40272_an" TargetMode="External"/><Relationship Id="rId59" Type="http://schemas.openxmlformats.org/officeDocument/2006/relationships/hyperlink" Target="../Documents/PhD%20Thesis%201.htm#73309_b" TargetMode="External"/><Relationship Id="rId60" Type="http://schemas.openxmlformats.org/officeDocument/2006/relationships/image" Target="media/image1.png"/><Relationship Id="rId61" Type="http://schemas.openxmlformats.org/officeDocument/2006/relationships/image" Target="media/image2.png"/><Relationship Id="rId62" Type="http://schemas.openxmlformats.org/officeDocument/2006/relationships/image" Target="media/image3.png"/><Relationship Id="rId63" Type="http://schemas.openxmlformats.org/officeDocument/2006/relationships/image" Target="media/image4.jpeg"/><Relationship Id="rId64" Type="http://schemas.openxmlformats.org/officeDocument/2006/relationships/image" Target="media/image5.png"/><Relationship Id="rId65" Type="http://schemas.openxmlformats.org/officeDocument/2006/relationships/image" Target="media/image6.png"/><Relationship Id="rId66" Type="http://schemas.openxmlformats.org/officeDocument/2006/relationships/image" Target="media/image7.png"/><Relationship Id="rId67" Type="http://schemas.openxmlformats.org/officeDocument/2006/relationships/image" Target="media/image8.jpeg"/><Relationship Id="rId68" Type="http://schemas.openxmlformats.org/officeDocument/2006/relationships/image" Target="media/image9.jpeg"/><Relationship Id="rId69" Type="http://schemas.openxmlformats.org/officeDocument/2006/relationships/image" Target="media/image10.jpeg"/><Relationship Id="rId70" Type="http://schemas.openxmlformats.org/officeDocument/2006/relationships/image" Target="media/image11.png"/><Relationship Id="rId71" Type="http://schemas.openxmlformats.org/officeDocument/2006/relationships/image" Target="media/image12.png"/><Relationship Id="rId72" Type="http://schemas.openxmlformats.org/officeDocument/2006/relationships/image" Target="media/image13.png"/><Relationship Id="rId73" Type="http://schemas.openxmlformats.org/officeDocument/2006/relationships/image" Target="media/image14.png"/><Relationship Id="rId74" Type="http://schemas.openxmlformats.org/officeDocument/2006/relationships/image" Target="media/image15.png"/><Relationship Id="rId75" Type="http://schemas.openxmlformats.org/officeDocument/2006/relationships/image" Target="media/image16.png"/><Relationship Id="rId76" Type="http://schemas.openxmlformats.org/officeDocument/2006/relationships/image" Target="media/image17.png"/><Relationship Id="rId77" Type="http://schemas.openxmlformats.org/officeDocument/2006/relationships/image" Target="media/image18.png"/><Relationship Id="rId78" Type="http://schemas.openxmlformats.org/officeDocument/2006/relationships/image" Target="media/image19.png"/><Relationship Id="rId79" Type="http://schemas.openxmlformats.org/officeDocument/2006/relationships/image" Target="media/image20.png"/><Relationship Id="rId80" Type="http://schemas.openxmlformats.org/officeDocument/2006/relationships/image" Target="media/image21.png"/><Relationship Id="rId81" Type="http://schemas.openxmlformats.org/officeDocument/2006/relationships/image" Target="media/image22.png"/><Relationship Id="rId82" Type="http://schemas.openxmlformats.org/officeDocument/2006/relationships/image" Target="media/image23.png"/><Relationship Id="rId83" Type="http://schemas.openxmlformats.org/officeDocument/2006/relationships/image" Target="media/image24.png"/><Relationship Id="rId84" Type="http://schemas.openxmlformats.org/officeDocument/2006/relationships/image" Target="media/image25.png"/><Relationship Id="rId85" Type="http://schemas.openxmlformats.org/officeDocument/2006/relationships/image" Target="media/image26.png"/><Relationship Id="rId86" Type="http://schemas.openxmlformats.org/officeDocument/2006/relationships/image" Target="media/image27.png"/><Relationship Id="rId87" Type="http://schemas.openxmlformats.org/officeDocument/2006/relationships/image" Target="media/image28.png"/><Relationship Id="rId88" Type="http://schemas.openxmlformats.org/officeDocument/2006/relationships/image" Target="media/image29.png"/><Relationship Id="rId89" Type="http://schemas.openxmlformats.org/officeDocument/2006/relationships/image" Target="media/image30.png"/><Relationship Id="rId90" Type="http://schemas.openxmlformats.org/officeDocument/2006/relationships/image" Target="media/image31.png"/><Relationship Id="rId91" Type="http://schemas.openxmlformats.org/officeDocument/2006/relationships/image" Target="media/image32.png"/><Relationship Id="rId92" Type="http://schemas.openxmlformats.org/officeDocument/2006/relationships/image" Target="media/image33.png"/><Relationship Id="rId93" Type="http://schemas.openxmlformats.org/officeDocument/2006/relationships/image" Target="media/image34.png"/><Relationship Id="rId94" Type="http://schemas.openxmlformats.org/officeDocument/2006/relationships/image" Target="media/image35.png"/><Relationship Id="rId95" Type="http://schemas.openxmlformats.org/officeDocument/2006/relationships/image" Target="media/image36.png"/><Relationship Id="rId96" Type="http://schemas.openxmlformats.org/officeDocument/2006/relationships/image" Target="media/image37.png"/><Relationship Id="rId97" Type="http://schemas.openxmlformats.org/officeDocument/2006/relationships/image" Target="media/image38.png"/><Relationship Id="rId98" Type="http://schemas.openxmlformats.org/officeDocument/2006/relationships/image" Target="media/image39.png"/><Relationship Id="rId99" Type="http://schemas.openxmlformats.org/officeDocument/2006/relationships/image" Target="media/image40.png"/><Relationship Id="rId100" Type="http://schemas.openxmlformats.org/officeDocument/2006/relationships/hyperlink" Target="../../USER/Documents/Ph%20D%20Thesis%205.htm#562973_ja" TargetMode="External"/><Relationship Id="rId101" Type="http://schemas.openxmlformats.org/officeDocument/2006/relationships/hyperlink" Target="http://ec.europa.eu/food/fs/sc/scan/out126_bis_en.pdf" TargetMode="External"/><Relationship Id="rId102" Type="http://schemas.openxmlformats.org/officeDocument/2006/relationships/hyperlink" Target="http://www.msf.org/msfinternational/invoke.cfm?component=article&amp;objectid=F8F896F8-C409-4E0E-A6ECE6F5C2034F9B&amp;method=full_html" TargetMode="External"/><Relationship Id="rId103" Type="http://schemas.openxmlformats.org/officeDocument/2006/relationships/hyperlink" Target="http://www.un.org/esa/sustdev/csd/" TargetMode="External"/><Relationship Id="rId104" Type="http://schemas.openxmlformats.org/officeDocument/2006/relationships/hyperlink" Target="http://ca-nvawwa.org/" TargetMode="Externa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2023-11-06T15:24:18Z</dcterms:created>
  <dcterms:modified xsi:type="dcterms:W3CDTF">2023-11-06T15:24:18Z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2019-01-02T00:00:00Z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