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header24.xml" ContentType="application/vnd.openxmlformats-officedocument.wordprocessingml.header+xml"/>
  <Override PartName="/word/footer23.xml" ContentType="application/vnd.openxmlformats-officedocument.wordprocessingml.foot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header26.xml" ContentType="application/vnd.openxmlformats-officedocument.wordprocessingml.header+xml"/>
  <Override PartName="/word/footer25.xml" ContentType="application/vnd.openxmlformats-officedocument.wordprocessingml.footer+xml"/>
  <Default Extension="png" ContentType="image/png"/>
  <Override PartName="/word/header27.xml" ContentType="application/vnd.openxmlformats-officedocument.wordprocessingml.header+xml"/>
  <Override PartName="/word/footer26.xml" ContentType="application/vnd.openxmlformats-officedocument.wordprocessingml.foot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header30.xml" ContentType="application/vnd.openxmlformats-officedocument.wordprocessingml.header+xml"/>
  <Override PartName="/word/footer29.xml" ContentType="application/vnd.openxmlformats-officedocument.wordprocessingml.footer+xml"/>
  <Override PartName="/word/header31.xml" ContentType="application/vnd.openxmlformats-officedocument.wordprocessingml.header+xml"/>
  <Override PartName="/word/footer30.xml" ContentType="application/vnd.openxmlformats-officedocument.wordprocessingml.foot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header33.xml" ContentType="application/vnd.openxmlformats-officedocument.wordprocessingml.header+xml"/>
  <Override PartName="/word/footer32.xml" ContentType="application/vnd.openxmlformats-officedocument.wordprocessingml.foot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header36.xml" ContentType="application/vnd.openxmlformats-officedocument.wordprocessingml.header+xml"/>
  <Override PartName="/word/footer35.xml" ContentType="application/vnd.openxmlformats-officedocument.wordprocessingml.footer+xml"/>
  <Default Extension="jpeg" ContentType="image/jpeg"/>
  <Override PartName="/word/header37.xml" ContentType="application/vnd.openxmlformats-officedocument.wordprocessingml.header+xml"/>
  <Override PartName="/word/footer36.xml" ContentType="application/vnd.openxmlformats-officedocument.wordprocessingml.foot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header39.xml" ContentType="application/vnd.openxmlformats-officedocument.wordprocessingml.header+xml"/>
  <Override PartName="/word/footer38.xml" ContentType="application/vnd.openxmlformats-officedocument.wordprocessingml.footer+xml"/>
  <Override PartName="/word/header40.xml" ContentType="application/vnd.openxmlformats-officedocument.wordprocessingml.header+xml"/>
  <Override PartName="/word/footer39.xml" ContentType="application/vnd.openxmlformats-officedocument.wordprocessingml.foot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header42.xml" ContentType="application/vnd.openxmlformats-officedocument.wordprocessingml.header+xml"/>
  <Override PartName="/word/footer41.xml" ContentType="application/vnd.openxmlformats-officedocument.wordprocessingml.footer+xml"/>
  <Override PartName="/word/header43.xml" ContentType="application/vnd.openxmlformats-officedocument.wordprocessingml.header+xml"/>
  <Override PartName="/word/footer42.xml" ContentType="application/vnd.openxmlformats-officedocument.wordprocessingml.foot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header45.xml" ContentType="application/vnd.openxmlformats-officedocument.wordprocessingml.header+xml"/>
  <Override PartName="/word/footer44.xml" ContentType="application/vnd.openxmlformats-officedocument.wordprocessingml.footer+xml"/>
  <Override PartName="/word/header46.xml" ContentType="application/vnd.openxmlformats-officedocument.wordprocessingml.header+xml"/>
  <Override PartName="/word/footer45.xml" ContentType="application/vnd.openxmlformats-officedocument.wordprocessingml.foot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header48.xml" ContentType="application/vnd.openxmlformats-officedocument.wordprocessingml.header+xml"/>
  <Override PartName="/word/footer47.xml" ContentType="application/vnd.openxmlformats-officedocument.wordprocessingml.footer+xml"/>
  <Override PartName="/word/header49.xml" ContentType="application/vnd.openxmlformats-officedocument.wordprocessingml.header+xml"/>
  <Override PartName="/word/footer48.xml" ContentType="application/vnd.openxmlformats-officedocument.wordprocessingml.foot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header51.xml" ContentType="application/vnd.openxmlformats-officedocument.wordprocessingml.header+xml"/>
  <Override PartName="/word/footer50.xml" ContentType="application/vnd.openxmlformats-officedocument.wordprocessingml.footer+xml"/>
  <Override PartName="/word/header52.xml" ContentType="application/vnd.openxmlformats-officedocument.wordprocessingml.header+xml"/>
  <Override PartName="/word/footer51.xml" ContentType="application/vnd.openxmlformats-officedocument.wordprocessingml.foot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header54.xml" ContentType="application/vnd.openxmlformats-officedocument.wordprocessingml.header+xml"/>
  <Override PartName="/word/footer53.xml" ContentType="application/vnd.openxmlformats-officedocument.wordprocessingml.footer+xml"/>
  <Override PartName="/word/header55.xml" ContentType="application/vnd.openxmlformats-officedocument.wordprocessingml.header+xml"/>
  <Override PartName="/word/footer54.xml" ContentType="application/vnd.openxmlformats-officedocument.wordprocessingml.foot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header57.xml" ContentType="application/vnd.openxmlformats-officedocument.wordprocessingml.header+xml"/>
  <Override PartName="/word/footer56.xml" ContentType="application/vnd.openxmlformats-officedocument.wordprocessingml.footer+xml"/>
  <Override PartName="/word/header58.xml" ContentType="application/vnd.openxmlformats-officedocument.wordprocessingml.header+xml"/>
  <Override PartName="/word/footer57.xml" ContentType="application/vnd.openxmlformats-officedocument.wordprocessingml.foot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header60.xml" ContentType="application/vnd.openxmlformats-officedocument.wordprocessingml.header+xml"/>
  <Override PartName="/word/footer59.xml" ContentType="application/vnd.openxmlformats-officedocument.wordprocessingml.footer+xml"/>
  <Override PartName="/word/header61.xml" ContentType="application/vnd.openxmlformats-officedocument.wordprocessingml.header+xml"/>
  <Override PartName="/word/footer60.xml" ContentType="application/vnd.openxmlformats-officedocument.wordprocessingml.foot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header63.xml" ContentType="application/vnd.openxmlformats-officedocument.wordprocessingml.header+xml"/>
  <Override PartName="/word/footer62.xml" ContentType="application/vnd.openxmlformats-officedocument.wordprocessingml.footer+xml"/>
  <Override PartName="/word/header64.xml" ContentType="application/vnd.openxmlformats-officedocument.wordprocessingml.header+xml"/>
  <Override PartName="/word/footer63.xml" ContentType="application/vnd.openxmlformats-officedocument.wordprocessingml.footer+xml"/>
  <Override PartName="/word/header65.xml" ContentType="application/vnd.openxmlformats-officedocument.wordprocessingml.header+xml"/>
  <Override PartName="/word/footer64.xml" ContentType="application/vnd.openxmlformats-officedocument.wordprocessingml.footer+xml"/>
  <Override PartName="/word/header66.xml" ContentType="application/vnd.openxmlformats-officedocument.wordprocessingml.header+xml"/>
  <Override PartName="/word/footer65.xml" ContentType="application/vnd.openxmlformats-officedocument.wordprocessingml.footer+xml"/>
  <Override PartName="/word/header67.xml" ContentType="application/vnd.openxmlformats-officedocument.wordprocessingml.header+xml"/>
  <Override PartName="/word/footer66.xml" ContentType="application/vnd.openxmlformats-officedocument.wordprocessingml.footer+xml"/>
  <Override PartName="/word/header68.xml" ContentType="application/vnd.openxmlformats-officedocument.wordprocessingml.header+xml"/>
  <Override PartName="/word/footer67.xml" ContentType="application/vnd.openxmlformats-officedocument.wordprocessingml.footer+xml"/>
  <Override PartName="/word/header69.xml" ContentType="application/vnd.openxmlformats-officedocument.wordprocessingml.header+xml"/>
  <Override PartName="/word/footer68.xml" ContentType="application/vnd.openxmlformats-officedocument.wordprocessingml.footer+xml"/>
  <Override PartName="/word/header70.xml" ContentType="application/vnd.openxmlformats-officedocument.wordprocessingml.header+xml"/>
  <Override PartName="/word/footer69.xml" ContentType="application/vnd.openxmlformats-officedocument.wordprocessingml.footer+xml"/>
  <Override PartName="/word/header71.xml" ContentType="application/vnd.openxmlformats-officedocument.wordprocessingml.header+xml"/>
  <Override PartName="/word/footer70.xml" ContentType="application/vnd.openxmlformats-officedocument.wordprocessingml.footer+xml"/>
  <Override PartName="/word/header72.xml" ContentType="application/vnd.openxmlformats-officedocument.wordprocessingml.header+xml"/>
  <Override PartName="/word/footer71.xml" ContentType="application/vnd.openxmlformats-officedocument.wordprocessingml.footer+xml"/>
  <Override PartName="/word/header73.xml" ContentType="application/vnd.openxmlformats-officedocument.wordprocessingml.header+xml"/>
  <Override PartName="/word/footer72.xml" ContentType="application/vnd.openxmlformats-officedocument.wordprocessingml.footer+xml"/>
  <Override PartName="/word/header74.xml" ContentType="application/vnd.openxmlformats-officedocument.wordprocessingml.header+xml"/>
  <Override PartName="/word/footer73.xml" ContentType="application/vnd.openxmlformats-officedocument.wordprocessingml.footer+xml"/>
  <Override PartName="/word/header75.xml" ContentType="application/vnd.openxmlformats-officedocument.wordprocessingml.header+xml"/>
  <Override PartName="/word/footer74.xml" ContentType="application/vnd.openxmlformats-officedocument.wordprocessingml.footer+xml"/>
  <Override PartName="/word/header76.xml" ContentType="application/vnd.openxmlformats-officedocument.wordprocessingml.header+xml"/>
  <Override PartName="/word/footer75.xml" ContentType="application/vnd.openxmlformats-officedocument.wordprocessingml.footer+xml"/>
  <Override PartName="/word/header77.xml" ContentType="application/vnd.openxmlformats-officedocument.wordprocessingml.header+xml"/>
  <Override PartName="/word/footer76.xml" ContentType="application/vnd.openxmlformats-officedocument.wordprocessingml.footer+xml"/>
  <Override PartName="/word/header78.xml" ContentType="application/vnd.openxmlformats-officedocument.wordprocessingml.header+xml"/>
  <Override PartName="/word/footer77.xml" ContentType="application/vnd.openxmlformats-officedocument.wordprocessingml.footer+xml"/>
  <Override PartName="/word/header79.xml" ContentType="application/vnd.openxmlformats-officedocument.wordprocessingml.header+xml"/>
  <Override PartName="/word/footer78.xml" ContentType="application/vnd.openxmlformats-officedocument.wordprocessingml.footer+xml"/>
  <Override PartName="/word/header80.xml" ContentType="application/vnd.openxmlformats-officedocument.wordprocessingml.header+xml"/>
  <Override PartName="/word/footer79.xml" ContentType="application/vnd.openxmlformats-officedocument.wordprocessingml.footer+xml"/>
  <Override PartName="/word/header81.xml" ContentType="application/vnd.openxmlformats-officedocument.wordprocessingml.header+xml"/>
  <Override PartName="/word/footer80.xml" ContentType="application/vnd.openxmlformats-officedocument.wordprocessingml.footer+xml"/>
  <Override PartName="/word/header82.xml" ContentType="application/vnd.openxmlformats-officedocument.wordprocessingml.header+xml"/>
  <Override PartName="/word/footer81.xml" ContentType="application/vnd.openxmlformats-officedocument.wordprocessingml.footer+xml"/>
  <Override PartName="/word/header83.xml" ContentType="application/vnd.openxmlformats-officedocument.wordprocessingml.header+xml"/>
  <Override PartName="/word/footer82.xml" ContentType="application/vnd.openxmlformats-officedocument.wordprocessingml.footer+xml"/>
  <Override PartName="/word/header84.xml" ContentType="application/vnd.openxmlformats-officedocument.wordprocessingml.header+xml"/>
  <Override PartName="/word/footer83.xml" ContentType="application/vnd.openxmlformats-officedocument.wordprocessingml.footer+xml"/>
  <Override PartName="/word/header85.xml" ContentType="application/vnd.openxmlformats-officedocument.wordprocessingml.header+xml"/>
  <Override PartName="/word/footer84.xml" ContentType="application/vnd.openxmlformats-officedocument.wordprocessingml.footer+xml"/>
  <Override PartName="/word/header86.xml" ContentType="application/vnd.openxmlformats-officedocument.wordprocessingml.header+xml"/>
  <Override PartName="/word/footer85.xml" ContentType="application/vnd.openxmlformats-officedocument.wordprocessingml.footer+xml"/>
  <Override PartName="/word/header87.xml" ContentType="application/vnd.openxmlformats-officedocument.wordprocessingml.header+xml"/>
  <Override PartName="/word/footer86.xml" ContentType="application/vnd.openxmlformats-officedocument.wordprocessingml.footer+xml"/>
  <Override PartName="/word/header88.xml" ContentType="application/vnd.openxmlformats-officedocument.wordprocessingml.header+xml"/>
  <Override PartName="/word/footer87.xml" ContentType="application/vnd.openxmlformats-officedocument.wordprocessingml.footer+xml"/>
  <Override PartName="/word/header89.xml" ContentType="application/vnd.openxmlformats-officedocument.wordprocessingml.header+xml"/>
  <Override PartName="/word/footer88.xml" ContentType="application/vnd.openxmlformats-officedocument.wordprocessingml.footer+xml"/>
  <Override PartName="/word/header90.xml" ContentType="application/vnd.openxmlformats-officedocument.wordprocessingml.header+xml"/>
  <Override PartName="/word/footer89.xml" ContentType="application/vnd.openxmlformats-officedocument.wordprocessingml.footer+xml"/>
  <Override PartName="/word/header91.xml" ContentType="application/vnd.openxmlformats-officedocument.wordprocessingml.header+xml"/>
  <Override PartName="/word/footer90.xml" ContentType="application/vnd.openxmlformats-officedocument.wordprocessingml.footer+xml"/>
  <Override PartName="/word/header92.xml" ContentType="application/vnd.openxmlformats-officedocument.wordprocessingml.header+xml"/>
  <Override PartName="/word/footer91.xml" ContentType="application/vnd.openxmlformats-officedocument.wordprocessingml.footer+xml"/>
  <Override PartName="/word/header93.xml" ContentType="application/vnd.openxmlformats-officedocument.wordprocessingml.header+xml"/>
  <Override PartName="/word/footer92.xml" ContentType="application/vnd.openxmlformats-officedocument.wordprocessingml.footer+xml"/>
  <Override PartName="/word/header94.xml" ContentType="application/vnd.openxmlformats-officedocument.wordprocessingml.header+xml"/>
  <Override PartName="/word/footer93.xml" ContentType="application/vnd.openxmlformats-officedocument.wordprocessingml.footer+xml"/>
  <Override PartName="/word/header95.xml" ContentType="application/vnd.openxmlformats-officedocument.wordprocessingml.header+xml"/>
  <Override PartName="/word/footer94.xml" ContentType="application/vnd.openxmlformats-officedocument.wordprocessingml.footer+xml"/>
  <Override PartName="/word/header96.xml" ContentType="application/vnd.openxmlformats-officedocument.wordprocessingml.header+xml"/>
  <Override PartName="/word/footer95.xml" ContentType="application/vnd.openxmlformats-officedocument.wordprocessingml.footer+xml"/>
  <Override PartName="/word/header97.xml" ContentType="application/vnd.openxmlformats-officedocument.wordprocessingml.header+xml"/>
  <Override PartName="/word/footer96.xml" ContentType="application/vnd.openxmlformats-officedocument.wordprocessingml.footer+xml"/>
  <Override PartName="/word/header98.xml" ContentType="application/vnd.openxmlformats-officedocument.wordprocessingml.header+xml"/>
  <Override PartName="/word/footer97.xml" ContentType="application/vnd.openxmlformats-officedocument.wordprocessingml.footer+xml"/>
  <Override PartName="/word/header99.xml" ContentType="application/vnd.openxmlformats-officedocument.wordprocessingml.header+xml"/>
  <Override PartName="/word/footer98.xml" ContentType="application/vnd.openxmlformats-officedocument.wordprocessingml.footer+xml"/>
  <Override PartName="/word/header100.xml" ContentType="application/vnd.openxmlformats-officedocument.wordprocessingml.header+xml"/>
  <Override PartName="/word/footer99.xml" ContentType="application/vnd.openxmlformats-officedocument.wordprocessingml.footer+xml"/>
  <Override PartName="/word/header101.xml" ContentType="application/vnd.openxmlformats-officedocument.wordprocessingml.header+xml"/>
  <Override PartName="/word/footer100.xml" ContentType="application/vnd.openxmlformats-officedocument.wordprocessingml.footer+xml"/>
  <Override PartName="/word/header102.xml" ContentType="application/vnd.openxmlformats-officedocument.wordprocessingml.header+xml"/>
  <Override PartName="/word/footer101.xml" ContentType="application/vnd.openxmlformats-officedocument.wordprocessingml.footer+xml"/>
  <Override PartName="/word/header103.xml" ContentType="application/vnd.openxmlformats-officedocument.wordprocessingml.header+xml"/>
  <Override PartName="/word/footer102.xml" ContentType="application/vnd.openxmlformats-officedocument.wordprocessingml.footer+xml"/>
  <Override PartName="/word/header104.xml" ContentType="application/vnd.openxmlformats-officedocument.wordprocessingml.header+xml"/>
  <Override PartName="/word/footer103.xml" ContentType="application/vnd.openxmlformats-officedocument.wordprocessingml.footer+xml"/>
  <Override PartName="/word/header105.xml" ContentType="application/vnd.openxmlformats-officedocument.wordprocessingml.header+xml"/>
  <Override PartName="/word/footer104.xml" ContentType="application/vnd.openxmlformats-officedocument.wordprocessingml.footer+xml"/>
  <Override PartName="/word/header106.xml" ContentType="application/vnd.openxmlformats-officedocument.wordprocessingml.header+xml"/>
  <Override PartName="/word/footer105.xml" ContentType="application/vnd.openxmlformats-officedocument.wordprocessingml.footer+xml"/>
  <Override PartName="/word/header107.xml" ContentType="application/vnd.openxmlformats-officedocument.wordprocessingml.header+xml"/>
  <Override PartName="/word/footer106.xml" ContentType="application/vnd.openxmlformats-officedocument.wordprocessingml.footer+xml"/>
  <Override PartName="/word/header108.xml" ContentType="application/vnd.openxmlformats-officedocument.wordprocessingml.header+xml"/>
  <Override PartName="/word/footer107.xml" ContentType="application/vnd.openxmlformats-officedocument.wordprocessingml.footer+xml"/>
  <Override PartName="/word/header109.xml" ContentType="application/vnd.openxmlformats-officedocument.wordprocessingml.header+xml"/>
  <Override PartName="/word/footer108.xml" ContentType="application/vnd.openxmlformats-officedocument.wordprocessingml.footer+xml"/>
  <Override PartName="/word/header110.xml" ContentType="application/vnd.openxmlformats-officedocument.wordprocessingml.header+xml"/>
  <Override PartName="/word/footer109.xml" ContentType="application/vnd.openxmlformats-officedocument.wordprocessingml.footer+xml"/>
  <Override PartName="/word/header111.xml" ContentType="application/vnd.openxmlformats-officedocument.wordprocessingml.header+xml"/>
  <Override PartName="/word/footer110.xml" ContentType="application/vnd.openxmlformats-officedocument.wordprocessingml.footer+xml"/>
  <Override PartName="/word/header112.xml" ContentType="application/vnd.openxmlformats-officedocument.wordprocessingml.header+xml"/>
  <Override PartName="/word/footer111.xml" ContentType="application/vnd.openxmlformats-officedocument.wordprocessingml.footer+xml"/>
  <Override PartName="/word/header113.xml" ContentType="application/vnd.openxmlformats-officedocument.wordprocessingml.header+xml"/>
  <Override PartName="/word/footer112.xml" ContentType="application/vnd.openxmlformats-officedocument.wordprocessingml.footer+xml"/>
  <Override PartName="/word/header114.xml" ContentType="application/vnd.openxmlformats-officedocument.wordprocessingml.header+xml"/>
  <Override PartName="/word/footer113.xml" ContentType="application/vnd.openxmlformats-officedocument.wordprocessingml.footer+xml"/>
  <Override PartName="/word/header115.xml" ContentType="application/vnd.openxmlformats-officedocument.wordprocessingml.header+xml"/>
  <Override PartName="/word/footer114.xml" ContentType="application/vnd.openxmlformats-officedocument.wordprocessingml.footer+xml"/>
  <Override PartName="/word/header116.xml" ContentType="application/vnd.openxmlformats-officedocument.wordprocessingml.header+xml"/>
  <Override PartName="/word/footer115.xml" ContentType="application/vnd.openxmlformats-officedocument.wordprocessingml.footer+xml"/>
  <Override PartName="/word/header117.xml" ContentType="application/vnd.openxmlformats-officedocument.wordprocessingml.header+xml"/>
  <Override PartName="/word/footer116.xml" ContentType="application/vnd.openxmlformats-officedocument.wordprocessingml.footer+xml"/>
  <Override PartName="/word/header118.xml" ContentType="application/vnd.openxmlformats-officedocument.wordprocessingml.header+xml"/>
  <Override PartName="/word/footer117.xml" ContentType="application/vnd.openxmlformats-officedocument.wordprocessingml.footer+xml"/>
  <Override PartName="/word/header119.xml" ContentType="application/vnd.openxmlformats-officedocument.wordprocessingml.header+xml"/>
  <Override PartName="/word/footer118.xml" ContentType="application/vnd.openxmlformats-officedocument.wordprocessingml.footer+xml"/>
  <Override PartName="/word/header120.xml" ContentType="application/vnd.openxmlformats-officedocument.wordprocessingml.header+xml"/>
  <Override PartName="/word/footer119.xml" ContentType="application/vnd.openxmlformats-officedocument.wordprocessingml.footer+xml"/>
  <Override PartName="/word/header121.xml" ContentType="application/vnd.openxmlformats-officedocument.wordprocessingml.header+xml"/>
  <Override PartName="/word/footer120.xml" ContentType="application/vnd.openxmlformats-officedocument.wordprocessingml.footer+xml"/>
  <Override PartName="/word/header122.xml" ContentType="application/vnd.openxmlformats-officedocument.wordprocessingml.header+xml"/>
  <Override PartName="/word/footer121.xml" ContentType="application/vnd.openxmlformats-officedocument.wordprocessingml.footer+xml"/>
  <Override PartName="/word/header123.xml" ContentType="application/vnd.openxmlformats-officedocument.wordprocessingml.header+xml"/>
  <Override PartName="/word/footer122.xml" ContentType="application/vnd.openxmlformats-officedocument.wordprocessingml.footer+xml"/>
  <Override PartName="/word/header124.xml" ContentType="application/vnd.openxmlformats-officedocument.wordprocessingml.header+xml"/>
  <Override PartName="/word/footer123.xml" ContentType="application/vnd.openxmlformats-officedocument.wordprocessingml.footer+xml"/>
  <Override PartName="/word/header125.xml" ContentType="application/vnd.openxmlformats-officedocument.wordprocessingml.header+xml"/>
  <Override PartName="/word/footer124.xml" ContentType="application/vnd.openxmlformats-officedocument.wordprocessingml.footer+xml"/>
  <Override PartName="/word/header126.xml" ContentType="application/vnd.openxmlformats-officedocument.wordprocessingml.header+xml"/>
  <Override PartName="/word/footer125.xml" ContentType="application/vnd.openxmlformats-officedocument.wordprocessingml.footer+xml"/>
  <Override PartName="/word/header127.xml" ContentType="application/vnd.openxmlformats-officedocument.wordprocessingml.header+xml"/>
  <Override PartName="/word/footer126.xml" ContentType="application/vnd.openxmlformats-officedocument.wordprocessingml.footer+xml"/>
  <Override PartName="/word/header128.xml" ContentType="application/vnd.openxmlformats-officedocument.wordprocessingml.header+xml"/>
  <Override PartName="/word/footer127.xml" ContentType="application/vnd.openxmlformats-officedocument.wordprocessingml.footer+xml"/>
  <Override PartName="/word/header129.xml" ContentType="application/vnd.openxmlformats-officedocument.wordprocessingml.header+xml"/>
  <Override PartName="/word/footer128.xml" ContentType="application/vnd.openxmlformats-officedocument.wordprocessingml.footer+xml"/>
  <Override PartName="/word/header130.xml" ContentType="application/vnd.openxmlformats-officedocument.wordprocessingml.header+xml"/>
  <Override PartName="/word/footer129.xml" ContentType="application/vnd.openxmlformats-officedocument.wordprocessingml.footer+xml"/>
  <Override PartName="/word/header131.xml" ContentType="application/vnd.openxmlformats-officedocument.wordprocessingml.header+xml"/>
  <Override PartName="/word/footer130.xml" ContentType="application/vnd.openxmlformats-officedocument.wordprocessingml.footer+xml"/>
  <Override PartName="/word/header132.xml" ContentType="application/vnd.openxmlformats-officedocument.wordprocessingml.header+xml"/>
  <Override PartName="/word/footer131.xml" ContentType="application/vnd.openxmlformats-officedocument.wordprocessingml.footer+xml"/>
  <Override PartName="/word/header133.xml" ContentType="application/vnd.openxmlformats-officedocument.wordprocessingml.header+xml"/>
  <Override PartName="/word/footer132.xml" ContentType="application/vnd.openxmlformats-officedocument.wordprocessingml.footer+xml"/>
  <Override PartName="/word/header134.xml" ContentType="application/vnd.openxmlformats-officedocument.wordprocessingml.header+xml"/>
  <Override PartName="/word/footer133.xml" ContentType="application/vnd.openxmlformats-officedocument.wordprocessingml.footer+xml"/>
  <Override PartName="/word/header135.xml" ContentType="application/vnd.openxmlformats-officedocument.wordprocessingml.header+xml"/>
  <Override PartName="/word/footer134.xml" ContentType="application/vnd.openxmlformats-officedocument.wordprocessingml.footer+xml"/>
  <Override PartName="/word/header136.xml" ContentType="application/vnd.openxmlformats-officedocument.wordprocessingml.header+xml"/>
  <Override PartName="/word/footer135.xml" ContentType="application/vnd.openxmlformats-officedocument.wordprocessingml.footer+xml"/>
  <Override PartName="/word/header137.xml" ContentType="application/vnd.openxmlformats-officedocument.wordprocessingml.header+xml"/>
  <Override PartName="/word/footer136.xml" ContentType="application/vnd.openxmlformats-officedocument.wordprocessingml.footer+xml"/>
  <Override PartName="/word/header138.xml" ContentType="application/vnd.openxmlformats-officedocument.wordprocessingml.header+xml"/>
  <Override PartName="/word/footer137.xml" ContentType="application/vnd.openxmlformats-officedocument.wordprocessingml.footer+xml"/>
  <Override PartName="/word/header139.xml" ContentType="application/vnd.openxmlformats-officedocument.wordprocessingml.header+xml"/>
  <Override PartName="/word/footer138.xml" ContentType="application/vnd.openxmlformats-officedocument.wordprocessingml.footer+xml"/>
  <Override PartName="/word/header140.xml" ContentType="application/vnd.openxmlformats-officedocument.wordprocessingml.header+xml"/>
  <Override PartName="/word/footer139.xml" ContentType="application/vnd.openxmlformats-officedocument.wordprocessingml.footer+xml"/>
  <Override PartName="/word/header141.xml" ContentType="application/vnd.openxmlformats-officedocument.wordprocessingml.header+xml"/>
  <Override PartName="/word/footer140.xml" ContentType="application/vnd.openxmlformats-officedocument.wordprocessingml.footer+xml"/>
  <Override PartName="/word/header142.xml" ContentType="application/vnd.openxmlformats-officedocument.wordprocessingml.header+xml"/>
  <Override PartName="/word/footer141.xml" ContentType="application/vnd.openxmlformats-officedocument.wordprocessingml.footer+xml"/>
  <Override PartName="/word/header143.xml" ContentType="application/vnd.openxmlformats-officedocument.wordprocessingml.header+xml"/>
  <Override PartName="/word/footer142.xml" ContentType="application/vnd.openxmlformats-officedocument.wordprocessingml.footer+xml"/>
  <Override PartName="/word/header144.xml" ContentType="application/vnd.openxmlformats-officedocument.wordprocessingml.header+xml"/>
  <Override PartName="/word/footer143.xml" ContentType="application/vnd.openxmlformats-officedocument.wordprocessingml.footer+xml"/>
  <Override PartName="/word/header145.xml" ContentType="application/vnd.openxmlformats-officedocument.wordprocessingml.header+xml"/>
  <Override PartName="/word/footer144.xml" ContentType="application/vnd.openxmlformats-officedocument.wordprocessingml.footer+xml"/>
  <Override PartName="/word/header146.xml" ContentType="application/vnd.openxmlformats-officedocument.wordprocessingml.header+xml"/>
  <Override PartName="/word/footer145.xml" ContentType="application/vnd.openxmlformats-officedocument.wordprocessingml.footer+xml"/>
  <Override PartName="/word/header147.xml" ContentType="application/vnd.openxmlformats-officedocument.wordprocessingml.header+xml"/>
  <Override PartName="/word/footer146.xml" ContentType="application/vnd.openxmlformats-officedocument.wordprocessingml.footer+xml"/>
  <Override PartName="/word/header148.xml" ContentType="application/vnd.openxmlformats-officedocument.wordprocessingml.header+xml"/>
  <Override PartName="/word/footer147.xml" ContentType="application/vnd.openxmlformats-officedocument.wordprocessingml.footer+xml"/>
  <Override PartName="/word/header149.xml" ContentType="application/vnd.openxmlformats-officedocument.wordprocessingml.header+xml"/>
  <Override PartName="/word/footer148.xml" ContentType="application/vnd.openxmlformats-officedocument.wordprocessingml.footer+xml"/>
  <Override PartName="/word/header150.xml" ContentType="application/vnd.openxmlformats-officedocument.wordprocessingml.header+xml"/>
  <Override PartName="/word/footer149.xml" ContentType="application/vnd.openxmlformats-officedocument.wordprocessingml.footer+xml"/>
  <Override PartName="/word/header151.xml" ContentType="application/vnd.openxmlformats-officedocument.wordprocessingml.header+xml"/>
  <Override PartName="/word/footer150.xml" ContentType="application/vnd.openxmlformats-officedocument.wordprocessingml.footer+xml"/>
  <Override PartName="/word/header152.xml" ContentType="application/vnd.openxmlformats-officedocument.wordprocessingml.header+xml"/>
  <Override PartName="/word/footer151.xml" ContentType="application/vnd.openxmlformats-officedocument.wordprocessingml.footer+xml"/>
  <Override PartName="/word/header153.xml" ContentType="application/vnd.openxmlformats-officedocument.wordprocessingml.header+xml"/>
  <Override PartName="/word/footer152.xml" ContentType="application/vnd.openxmlformats-officedocument.wordprocessingml.footer+xml"/>
  <Override PartName="/word/header154.xml" ContentType="application/vnd.openxmlformats-officedocument.wordprocessingml.header+xml"/>
  <Override PartName="/word/footer153.xml" ContentType="application/vnd.openxmlformats-officedocument.wordprocessingml.footer+xml"/>
  <Override PartName="/word/header155.xml" ContentType="application/vnd.openxmlformats-officedocument.wordprocessingml.header+xml"/>
  <Override PartName="/word/footer154.xml" ContentType="application/vnd.openxmlformats-officedocument.wordprocessingml.footer+xml"/>
  <Override PartName="/word/header156.xml" ContentType="application/vnd.openxmlformats-officedocument.wordprocessingml.header+xml"/>
  <Override PartName="/word/footer155.xml" ContentType="application/vnd.openxmlformats-officedocument.wordprocessingml.footer+xml"/>
  <Override PartName="/word/header157.xml" ContentType="application/vnd.openxmlformats-officedocument.wordprocessingml.header+xml"/>
  <Override PartName="/word/footer156.xml" ContentType="application/vnd.openxmlformats-officedocument.wordprocessingml.footer+xml"/>
  <Override PartName="/word/header158.xml" ContentType="application/vnd.openxmlformats-officedocument.wordprocessingml.header+xml"/>
  <Override PartName="/word/footer157.xml" ContentType="application/vnd.openxmlformats-officedocument.wordprocessingml.footer+xml"/>
  <Override PartName="/word/header159.xml" ContentType="application/vnd.openxmlformats-officedocument.wordprocessingml.header+xml"/>
  <Override PartName="/word/footer158.xml" ContentType="application/vnd.openxmlformats-officedocument.wordprocessingml.footer+xml"/>
  <Override PartName="/word/header160.xml" ContentType="application/vnd.openxmlformats-officedocument.wordprocessingml.header+xml"/>
  <Override PartName="/word/footer159.xml" ContentType="application/vnd.openxmlformats-officedocument.wordprocessingml.footer+xml"/>
  <Override PartName="/word/header161.xml" ContentType="application/vnd.openxmlformats-officedocument.wordprocessingml.header+xml"/>
  <Override PartName="/word/footer160.xml" ContentType="application/vnd.openxmlformats-officedocument.wordprocessingml.footer+xml"/>
  <Override PartName="/word/header162.xml" ContentType="application/vnd.openxmlformats-officedocument.wordprocessingml.header+xml"/>
  <Override PartName="/word/footer161.xml" ContentType="application/vnd.openxmlformats-officedocument.wordprocessingml.footer+xml"/>
  <Override PartName="/word/header163.xml" ContentType="application/vnd.openxmlformats-officedocument.wordprocessingml.header+xml"/>
  <Override PartName="/word/footer162.xml" ContentType="application/vnd.openxmlformats-officedocument.wordprocessingml.footer+xml"/>
  <Override PartName="/word/header164.xml" ContentType="application/vnd.openxmlformats-officedocument.wordprocessingml.header+xml"/>
  <Override PartName="/word/footer163.xml" ContentType="application/vnd.openxmlformats-officedocument.wordprocessingml.footer+xml"/>
  <Override PartName="/word/header165.xml" ContentType="application/vnd.openxmlformats-officedocument.wordprocessingml.header+xml"/>
  <Override PartName="/word/footer164.xml" ContentType="application/vnd.openxmlformats-officedocument.wordprocessingml.footer+xml"/>
  <Override PartName="/word/header166.xml" ContentType="application/vnd.openxmlformats-officedocument.wordprocessingml.header+xml"/>
  <Override PartName="/word/footer165.xml" ContentType="application/vnd.openxmlformats-officedocument.wordprocessingml.footer+xml"/>
  <Override PartName="/word/header167.xml" ContentType="application/vnd.openxmlformats-officedocument.wordprocessingml.header+xml"/>
  <Override PartName="/word/footer166.xml" ContentType="application/vnd.openxmlformats-officedocument.wordprocessingml.footer+xml"/>
  <Override PartName="/word/header168.xml" ContentType="application/vnd.openxmlformats-officedocument.wordprocessingml.header+xml"/>
  <Override PartName="/word/footer167.xml" ContentType="application/vnd.openxmlformats-officedocument.wordprocessingml.footer+xml"/>
  <Override PartName="/word/header169.xml" ContentType="application/vnd.openxmlformats-officedocument.wordprocessingml.header+xml"/>
  <Override PartName="/word/footer168.xml" ContentType="application/vnd.openxmlformats-officedocument.wordprocessingml.footer+xml"/>
  <Override PartName="/word/header170.xml" ContentType="application/vnd.openxmlformats-officedocument.wordprocessingml.header+xml"/>
  <Override PartName="/word/footer169.xml" ContentType="application/vnd.openxmlformats-officedocument.wordprocessingml.footer+xml"/>
  <Override PartName="/word/header171.xml" ContentType="application/vnd.openxmlformats-officedocument.wordprocessingml.header+xml"/>
  <Override PartName="/word/footer170.xml" ContentType="application/vnd.openxmlformats-officedocument.wordprocessingml.footer+xml"/>
  <Override PartName="/word/header172.xml" ContentType="application/vnd.openxmlformats-officedocument.wordprocessingml.header+xml"/>
  <Override PartName="/word/footer171.xml" ContentType="application/vnd.openxmlformats-officedocument.wordprocessingml.footer+xml"/>
  <Override PartName="/word/header173.xml" ContentType="application/vnd.openxmlformats-officedocument.wordprocessingml.header+xml"/>
  <Override PartName="/word/footer172.xml" ContentType="application/vnd.openxmlformats-officedocument.wordprocessingml.footer+xml"/>
  <Override PartName="/word/header174.xml" ContentType="application/vnd.openxmlformats-officedocument.wordprocessingml.header+xml"/>
  <Override PartName="/word/footer173.xml" ContentType="application/vnd.openxmlformats-officedocument.wordprocessingml.footer+xml"/>
  <Override PartName="/word/header175.xml" ContentType="application/vnd.openxmlformats-officedocument.wordprocessingml.header+xml"/>
  <Override PartName="/word/footer174.xml" ContentType="application/vnd.openxmlformats-officedocument.wordprocessingml.footer+xml"/>
  <Override PartName="/word/header176.xml" ContentType="application/vnd.openxmlformats-officedocument.wordprocessingml.header+xml"/>
  <Override PartName="/word/footer175.xml" ContentType="application/vnd.openxmlformats-officedocument.wordprocessingml.footer+xml"/>
  <Override PartName="/word/header177.xml" ContentType="application/vnd.openxmlformats-officedocument.wordprocessingml.header+xml"/>
  <Override PartName="/word/footer176.xml" ContentType="application/vnd.openxmlformats-officedocument.wordprocessingml.footer+xml"/>
  <Override PartName="/word/header178.xml" ContentType="application/vnd.openxmlformats-officedocument.wordprocessingml.header+xml"/>
  <Override PartName="/word/footer177.xml" ContentType="application/vnd.openxmlformats-officedocument.wordprocessingml.footer+xml"/>
  <Override PartName="/word/header179.xml" ContentType="application/vnd.openxmlformats-officedocument.wordprocessingml.header+xml"/>
  <Override PartName="/word/footer178.xml" ContentType="application/vnd.openxmlformats-officedocument.wordprocessingml.footer+xml"/>
  <Override PartName="/word/header180.xml" ContentType="application/vnd.openxmlformats-officedocument.wordprocessingml.header+xml"/>
  <Override PartName="/word/footer179.xml" ContentType="application/vnd.openxmlformats-officedocument.wordprocessingml.footer+xml"/>
  <Override PartName="/word/header181.xml" ContentType="application/vnd.openxmlformats-officedocument.wordprocessingml.header+xml"/>
  <Override PartName="/word/footer180.xml" ContentType="application/vnd.openxmlformats-officedocument.wordprocessingml.footer+xml"/>
  <Override PartName="/word/header182.xml" ContentType="application/vnd.openxmlformats-officedocument.wordprocessingml.header+xml"/>
  <Override PartName="/word/footer181.xml" ContentType="application/vnd.openxmlformats-officedocument.wordprocessingml.footer+xml"/>
  <Override PartName="/word/header183.xml" ContentType="application/vnd.openxmlformats-officedocument.wordprocessingml.header+xml"/>
  <Override PartName="/word/footer182.xml" ContentType="application/vnd.openxmlformats-officedocument.wordprocessingml.footer+xml"/>
  <Override PartName="/word/header184.xml" ContentType="application/vnd.openxmlformats-officedocument.wordprocessingml.header+xml"/>
  <Override PartName="/word/footer183.xml" ContentType="application/vnd.openxmlformats-officedocument.wordprocessingml.footer+xml"/>
  <Override PartName="/word/header185.xml" ContentType="application/vnd.openxmlformats-officedocument.wordprocessingml.header+xml"/>
  <Override PartName="/word/footer184.xml" ContentType="application/vnd.openxmlformats-officedocument.wordprocessingml.footer+xml"/>
  <Override PartName="/word/header186.xml" ContentType="application/vnd.openxmlformats-officedocument.wordprocessingml.header+xml"/>
  <Override PartName="/word/footer185.xml" ContentType="application/vnd.openxmlformats-officedocument.wordprocessingml.footer+xml"/>
  <Override PartName="/word/header187.xml" ContentType="application/vnd.openxmlformats-officedocument.wordprocessingml.header+xml"/>
  <Override PartName="/word/footer186.xml" ContentType="application/vnd.openxmlformats-officedocument.wordprocessingml.footer+xml"/>
  <Override PartName="/word/header188.xml" ContentType="application/vnd.openxmlformats-officedocument.wordprocessingml.header+xml"/>
  <Override PartName="/word/footer187.xml" ContentType="application/vnd.openxmlformats-officedocument.wordprocessingml.footer+xml"/>
  <Override PartName="/word/header189.xml" ContentType="application/vnd.openxmlformats-officedocument.wordprocessingml.header+xml"/>
  <Override PartName="/word/footer188.xml" ContentType="application/vnd.openxmlformats-officedocument.wordprocessingml.footer+xml"/>
  <Override PartName="/word/header190.xml" ContentType="application/vnd.openxmlformats-officedocument.wordprocessingml.header+xml"/>
  <Override PartName="/word/footer189.xml" ContentType="application/vnd.openxmlformats-officedocument.wordprocessingml.footer+xml"/>
  <Override PartName="/word/header191.xml" ContentType="application/vnd.openxmlformats-officedocument.wordprocessingml.header+xml"/>
  <Override PartName="/word/footer190.xml" ContentType="application/vnd.openxmlformats-officedocument.wordprocessingml.footer+xml"/>
  <Override PartName="/word/header192.xml" ContentType="application/vnd.openxmlformats-officedocument.wordprocessingml.header+xml"/>
  <Override PartName="/word/footer191.xml" ContentType="application/vnd.openxmlformats-officedocument.wordprocessingml.footer+xml"/>
  <Override PartName="/word/header193.xml" ContentType="application/vnd.openxmlformats-officedocument.wordprocessingml.header+xml"/>
  <Override PartName="/word/footer192.xml" ContentType="application/vnd.openxmlformats-officedocument.wordprocessingml.footer+xml"/>
  <Override PartName="/word/header194.xml" ContentType="application/vnd.openxmlformats-officedocument.wordprocessingml.header+xml"/>
  <Override PartName="/word/footer193.xml" ContentType="application/vnd.openxmlformats-officedocument.wordprocessingml.footer+xml"/>
  <Override PartName="/word/header195.xml" ContentType="application/vnd.openxmlformats-officedocument.wordprocessingml.header+xml"/>
  <Override PartName="/word/footer194.xml" ContentType="application/vnd.openxmlformats-officedocument.wordprocessingml.footer+xml"/>
  <Override PartName="/word/header196.xml" ContentType="application/vnd.openxmlformats-officedocument.wordprocessingml.header+xml"/>
  <Override PartName="/word/footer195.xml" ContentType="application/vnd.openxmlformats-officedocument.wordprocessingml.footer+xml"/>
  <Override PartName="/word/header197.xml" ContentType="application/vnd.openxmlformats-officedocument.wordprocessingml.header+xml"/>
  <Override PartName="/word/footer196.xml" ContentType="application/vnd.openxmlformats-officedocument.wordprocessingml.footer+xml"/>
  <Override PartName="/word/header198.xml" ContentType="application/vnd.openxmlformats-officedocument.wordprocessingml.header+xml"/>
  <Override PartName="/word/footer197.xml" ContentType="application/vnd.openxmlformats-officedocument.wordprocessingml.footer+xml"/>
  <Override PartName="/word/header199.xml" ContentType="application/vnd.openxmlformats-officedocument.wordprocessingml.header+xml"/>
  <Override PartName="/word/footer198.xml" ContentType="application/vnd.openxmlformats-officedocument.wordprocessingml.footer+xml"/>
  <Override PartName="/word/header200.xml" ContentType="application/vnd.openxmlformats-officedocument.wordprocessingml.header+xml"/>
  <Override PartName="/word/footer199.xml" ContentType="application/vnd.openxmlformats-officedocument.wordprocessingml.footer+xml"/>
  <Override PartName="/word/header201.xml" ContentType="application/vnd.openxmlformats-officedocument.wordprocessingml.header+xml"/>
  <Override PartName="/word/footer200.xml" ContentType="application/vnd.openxmlformats-officedocument.wordprocessingml.footer+xml"/>
  <Override PartName="/word/header202.xml" ContentType="application/vnd.openxmlformats-officedocument.wordprocessingml.header+xml"/>
  <Override PartName="/word/footer201.xml" ContentType="application/vnd.openxmlformats-officedocument.wordprocessingml.footer+xml"/>
  <Override PartName="/word/header203.xml" ContentType="application/vnd.openxmlformats-officedocument.wordprocessingml.header+xml"/>
  <Override PartName="/word/footer202.xml" ContentType="application/vnd.openxmlformats-officedocument.wordprocessingml.footer+xml"/>
  <Override PartName="/word/header204.xml" ContentType="application/vnd.openxmlformats-officedocument.wordprocessingml.header+xml"/>
  <Override PartName="/word/footer203.xml" ContentType="application/vnd.openxmlformats-officedocument.wordprocessingml.footer+xml"/>
  <Override PartName="/word/header205.xml" ContentType="application/vnd.openxmlformats-officedocument.wordprocessingml.header+xml"/>
  <Override PartName="/word/footer204.xml" ContentType="application/vnd.openxmlformats-officedocument.wordprocessingml.footer+xml"/>
  <Override PartName="/word/header206.xml" ContentType="application/vnd.openxmlformats-officedocument.wordprocessingml.header+xml"/>
  <Override PartName="/word/footer205.xml" ContentType="application/vnd.openxmlformats-officedocument.wordprocessingml.footer+xml"/>
  <Override PartName="/word/header207.xml" ContentType="application/vnd.openxmlformats-officedocument.wordprocessingml.header+xml"/>
  <Override PartName="/word/footer206.xml" ContentType="application/vnd.openxmlformats-officedocument.wordprocessingml.footer+xml"/>
  <Override PartName="/word/header208.xml" ContentType="application/vnd.openxmlformats-officedocument.wordprocessingml.header+xml"/>
  <Override PartName="/word/footer207.xml" ContentType="application/vnd.openxmlformats-officedocument.wordprocessingml.footer+xml"/>
  <Override PartName="/word/header209.xml" ContentType="application/vnd.openxmlformats-officedocument.wordprocessingml.header+xml"/>
  <Override PartName="/word/footer208.xml" ContentType="application/vnd.openxmlformats-officedocument.wordprocessingml.footer+xml"/>
  <Override PartName="/word/header210.xml" ContentType="application/vnd.openxmlformats-officedocument.wordprocessingml.header+xml"/>
  <Override PartName="/word/footer209.xml" ContentType="application/vnd.openxmlformats-officedocument.wordprocessingml.footer+xml"/>
  <Override PartName="/word/header211.xml" ContentType="application/vnd.openxmlformats-officedocument.wordprocessingml.header+xml"/>
  <Override PartName="/word/footer210.xml" ContentType="application/vnd.openxmlformats-officedocument.wordprocessingml.footer+xml"/>
  <Override PartName="/word/header212.xml" ContentType="application/vnd.openxmlformats-officedocument.wordprocessingml.header+xml"/>
  <Override PartName="/word/footer211.xml" ContentType="application/vnd.openxmlformats-officedocument.wordprocessingml.footer+xml"/>
  <Override PartName="/word/header213.xml" ContentType="application/vnd.openxmlformats-officedocument.wordprocessingml.header+xml"/>
  <Override PartName="/word/footer212.xml" ContentType="application/vnd.openxmlformats-officedocument.wordprocessingml.footer+xml"/>
  <Override PartName="/word/header214.xml" ContentType="application/vnd.openxmlformats-officedocument.wordprocessingml.header+xml"/>
  <Override PartName="/word/footer213.xml" ContentType="application/vnd.openxmlformats-officedocument.wordprocessingml.footer+xml"/>
  <Override PartName="/word/header215.xml" ContentType="application/vnd.openxmlformats-officedocument.wordprocessingml.header+xml"/>
  <Override PartName="/word/footer214.xml" ContentType="application/vnd.openxmlformats-officedocument.wordprocessingml.footer+xml"/>
  <Override PartName="/word/header216.xml" ContentType="application/vnd.openxmlformats-officedocument.wordprocessingml.header+xml"/>
  <Override PartName="/word/footer215.xml" ContentType="application/vnd.openxmlformats-officedocument.wordprocessingml.footer+xml"/>
  <Override PartName="/word/header217.xml" ContentType="application/vnd.openxmlformats-officedocument.wordprocessingml.header+xml"/>
  <Override PartName="/word/footer216.xml" ContentType="application/vnd.openxmlformats-officedocument.wordprocessingml.footer+xml"/>
  <Override PartName="/word/header218.xml" ContentType="application/vnd.openxmlformats-officedocument.wordprocessingml.header+xml"/>
  <Override PartName="/word/footer217.xml" ContentType="application/vnd.openxmlformats-officedocument.wordprocessingml.footer+xml"/>
  <Override PartName="/word/header219.xml" ContentType="application/vnd.openxmlformats-officedocument.wordprocessingml.header+xml"/>
  <Override PartName="/word/footer218.xml" ContentType="application/vnd.openxmlformats-officedocument.wordprocessingml.footer+xml"/>
  <Override PartName="/word/header220.xml" ContentType="application/vnd.openxmlformats-officedocument.wordprocessingml.header+xml"/>
  <Override PartName="/word/footer219.xml" ContentType="application/vnd.openxmlformats-officedocument.wordprocessingml.footer+xml"/>
  <Override PartName="/word/header221.xml" ContentType="application/vnd.openxmlformats-officedocument.wordprocessingml.header+xml"/>
  <Override PartName="/word/footer220.xml" ContentType="application/vnd.openxmlformats-officedocument.wordprocessingml.footer+xml"/>
  <Override PartName="/word/header222.xml" ContentType="application/vnd.openxmlformats-officedocument.wordprocessingml.header+xml"/>
  <Override PartName="/word/footer221.xml" ContentType="application/vnd.openxmlformats-officedocument.wordprocessingml.footer+xml"/>
  <Override PartName="/word/header223.xml" ContentType="application/vnd.openxmlformats-officedocument.wordprocessingml.header+xml"/>
  <Override PartName="/word/footer222.xml" ContentType="application/vnd.openxmlformats-officedocument.wordprocessingml.footer+xml"/>
  <Override PartName="/word/header224.xml" ContentType="application/vnd.openxmlformats-officedocument.wordprocessingml.header+xml"/>
  <Override PartName="/word/footer223.xml" ContentType="application/vnd.openxmlformats-officedocument.wordprocessingml.footer+xml"/>
  <Override PartName="/word/header225.xml" ContentType="application/vnd.openxmlformats-officedocument.wordprocessingml.header+xml"/>
  <Override PartName="/word/footer224.xml" ContentType="application/vnd.openxmlformats-officedocument.wordprocessingml.footer+xml"/>
  <Override PartName="/word/header226.xml" ContentType="application/vnd.openxmlformats-officedocument.wordprocessingml.header+xml"/>
  <Override PartName="/word/footer225.xml" ContentType="application/vnd.openxmlformats-officedocument.wordprocessingml.footer+xml"/>
  <Override PartName="/word/header227.xml" ContentType="application/vnd.openxmlformats-officedocument.wordprocessingml.header+xml"/>
  <Override PartName="/word/footer226.xml" ContentType="application/vnd.openxmlformats-officedocument.wordprocessingml.footer+xml"/>
  <Override PartName="/word/header228.xml" ContentType="application/vnd.openxmlformats-officedocument.wordprocessingml.header+xml"/>
  <Override PartName="/word/footer227.xml" ContentType="application/vnd.openxmlformats-officedocument.wordprocessingml.footer+xml"/>
  <Override PartName="/word/header229.xml" ContentType="application/vnd.openxmlformats-officedocument.wordprocessingml.header+xml"/>
  <Override PartName="/word/footer228.xml" ContentType="application/vnd.openxmlformats-officedocument.wordprocessingml.footer+xml"/>
  <Override PartName="/word/header230.xml" ContentType="application/vnd.openxmlformats-officedocument.wordprocessingml.header+xml"/>
  <Override PartName="/word/footer229.xml" ContentType="application/vnd.openxmlformats-officedocument.wordprocessingml.footer+xml"/>
  <Override PartName="/word/header231.xml" ContentType="application/vnd.openxmlformats-officedocument.wordprocessingml.header+xml"/>
  <Override PartName="/word/footer230.xml" ContentType="application/vnd.openxmlformats-officedocument.wordprocessingml.footer+xml"/>
  <Override PartName="/word/header232.xml" ContentType="application/vnd.openxmlformats-officedocument.wordprocessingml.header+xml"/>
  <Override PartName="/word/footer231.xml" ContentType="application/vnd.openxmlformats-officedocument.wordprocessingml.footer+xml"/>
  <Override PartName="/word/header233.xml" ContentType="application/vnd.openxmlformats-officedocument.wordprocessingml.header+xml"/>
  <Override PartName="/word/footer232.xml" ContentType="application/vnd.openxmlformats-officedocument.wordprocessingml.footer+xml"/>
  <Override PartName="/word/header234.xml" ContentType="application/vnd.openxmlformats-officedocument.wordprocessingml.header+xml"/>
  <Override PartName="/word/footer233.xml" ContentType="application/vnd.openxmlformats-officedocument.wordprocessingml.footer+xml"/>
  <Override PartName="/word/header235.xml" ContentType="application/vnd.openxmlformats-officedocument.wordprocessingml.header+xml"/>
  <Override PartName="/word/footer234.xml" ContentType="application/vnd.openxmlformats-officedocument.wordprocessingml.footer+xml"/>
  <Override PartName="/word/header236.xml" ContentType="application/vnd.openxmlformats-officedocument.wordprocessingml.header+xml"/>
  <Override PartName="/word/footer235.xml" ContentType="application/vnd.openxmlformats-officedocument.wordprocessingml.footer+xml"/>
  <Override PartName="/word/header237.xml" ContentType="application/vnd.openxmlformats-officedocument.wordprocessingml.header+xml"/>
  <Override PartName="/word/footer236.xml" ContentType="application/vnd.openxmlformats-officedocument.wordprocessingml.footer+xml"/>
  <Override PartName="/word/header238.xml" ContentType="application/vnd.openxmlformats-officedocument.wordprocessingml.header+xml"/>
  <Override PartName="/word/footer237.xml" ContentType="application/vnd.openxmlformats-officedocument.wordprocessingml.footer+xml"/>
  <Override PartName="/word/header239.xml" ContentType="application/vnd.openxmlformats-officedocument.wordprocessingml.header+xml"/>
  <Override PartName="/word/footer238.xml" ContentType="application/vnd.openxmlformats-officedocument.wordprocessingml.footer+xml"/>
  <Override PartName="/word/header240.xml" ContentType="application/vnd.openxmlformats-officedocument.wordprocessingml.header+xml"/>
  <Override PartName="/word/footer239.xml" ContentType="application/vnd.openxmlformats-officedocument.wordprocessingml.footer+xml"/>
  <Override PartName="/word/header241.xml" ContentType="application/vnd.openxmlformats-officedocument.wordprocessingml.header+xml"/>
  <Override PartName="/word/footer240.xml" ContentType="application/vnd.openxmlformats-officedocument.wordprocessingml.footer+xml"/>
  <Override PartName="/word/header242.xml" ContentType="application/vnd.openxmlformats-officedocument.wordprocessingml.header+xml"/>
  <Override PartName="/word/footer241.xml" ContentType="application/vnd.openxmlformats-officedocument.wordprocessingml.footer+xml"/>
  <Override PartName="/word/header243.xml" ContentType="application/vnd.openxmlformats-officedocument.wordprocessingml.header+xml"/>
  <Override PartName="/word/footer242.xml" ContentType="application/vnd.openxmlformats-officedocument.wordprocessingml.footer+xml"/>
  <Override PartName="/word/header244.xml" ContentType="application/vnd.openxmlformats-officedocument.wordprocessingml.header+xml"/>
  <Override PartName="/word/footer243.xml" ContentType="application/vnd.openxmlformats-officedocument.wordprocessingml.footer+xml"/>
  <Override PartName="/word/header245.xml" ContentType="application/vnd.openxmlformats-officedocument.wordprocessingml.header+xml"/>
  <Override PartName="/word/footer244.xml" ContentType="application/vnd.openxmlformats-officedocument.wordprocessingml.footer+xml"/>
  <Override PartName="/word/header246.xml" ContentType="application/vnd.openxmlformats-officedocument.wordprocessingml.header+xml"/>
  <Override PartName="/word/footer245.xml" ContentType="application/vnd.openxmlformats-officedocument.wordprocessingml.footer+xml"/>
  <Override PartName="/word/header247.xml" ContentType="application/vnd.openxmlformats-officedocument.wordprocessingml.header+xml"/>
  <Override PartName="/word/footer246.xml" ContentType="application/vnd.openxmlformats-officedocument.wordprocessingml.footer+xml"/>
  <Override PartName="/word/header248.xml" ContentType="application/vnd.openxmlformats-officedocument.wordprocessingml.header+xml"/>
  <Override PartName="/word/footer247.xml" ContentType="application/vnd.openxmlformats-officedocument.wordprocessingml.footer+xml"/>
  <Override PartName="/word/header249.xml" ContentType="application/vnd.openxmlformats-officedocument.wordprocessingml.header+xml"/>
  <Override PartName="/word/footer248.xml" ContentType="application/vnd.openxmlformats-officedocument.wordprocessingml.footer+xml"/>
  <Override PartName="/word/header250.xml" ContentType="application/vnd.openxmlformats-officedocument.wordprocessingml.header+xml"/>
  <Override PartName="/word/footer249.xml" ContentType="application/vnd.openxmlformats-officedocument.wordprocessingml.footer+xml"/>
  <Override PartName="/word/header251.xml" ContentType="application/vnd.openxmlformats-officedocument.wordprocessingml.header+xml"/>
  <Override PartName="/word/footer250.xml" ContentType="application/vnd.openxmlformats-officedocument.wordprocessingml.footer+xml"/>
  <Override PartName="/word/header252.xml" ContentType="application/vnd.openxmlformats-officedocument.wordprocessingml.header+xml"/>
  <Override PartName="/word/footer251.xml" ContentType="application/vnd.openxmlformats-officedocument.wordprocessingml.footer+xml"/>
  <Override PartName="/word/header253.xml" ContentType="application/vnd.openxmlformats-officedocument.wordprocessingml.header+xml"/>
  <Override PartName="/word/footer252.xml" ContentType="application/vnd.openxmlformats-officedocument.wordprocessingml.footer+xml"/>
  <Override PartName="/word/header254.xml" ContentType="application/vnd.openxmlformats-officedocument.wordprocessingml.header+xml"/>
  <Override PartName="/word/footer253.xml" ContentType="application/vnd.openxmlformats-officedocument.wordprocessingml.footer+xml"/>
  <Override PartName="/word/header255.xml" ContentType="application/vnd.openxmlformats-officedocument.wordprocessingml.header+xml"/>
  <Override PartName="/word/footer254.xml" ContentType="application/vnd.openxmlformats-officedocument.wordprocessingml.footer+xml"/>
  <Override PartName="/word/header256.xml" ContentType="application/vnd.openxmlformats-officedocument.wordprocessingml.header+xml"/>
  <Override PartName="/word/footer255.xml" ContentType="application/vnd.openxmlformats-officedocument.wordprocessingml.footer+xml"/>
  <Override PartName="/word/header257.xml" ContentType="application/vnd.openxmlformats-officedocument.wordprocessingml.header+xml"/>
  <Override PartName="/word/footer256.xml" ContentType="application/vnd.openxmlformats-officedocument.wordprocessingml.footer+xml"/>
  <Override PartName="/word/header258.xml" ContentType="application/vnd.openxmlformats-officedocument.wordprocessingml.header+xml"/>
  <Override PartName="/word/footer257.xml" ContentType="application/vnd.openxmlformats-officedocument.wordprocessingml.footer+xml"/>
  <Override PartName="/word/header259.xml" ContentType="application/vnd.openxmlformats-officedocument.wordprocessingml.header+xml"/>
  <Override PartName="/word/footer258.xml" ContentType="application/vnd.openxmlformats-officedocument.wordprocessingml.footer+xml"/>
  <Override PartName="/word/header260.xml" ContentType="application/vnd.openxmlformats-officedocument.wordprocessingml.header+xml"/>
  <Override PartName="/word/footer259.xml" ContentType="application/vnd.openxmlformats-officedocument.wordprocessingml.footer+xml"/>
  <Override PartName="/word/header261.xml" ContentType="application/vnd.openxmlformats-officedocument.wordprocessingml.header+xml"/>
  <Override PartName="/word/footer260.xml" ContentType="application/vnd.openxmlformats-officedocument.wordprocessingml.footer+xml"/>
  <Override PartName="/word/header262.xml" ContentType="application/vnd.openxmlformats-officedocument.wordprocessingml.header+xml"/>
  <Override PartName="/word/footer261.xml" ContentType="application/vnd.openxmlformats-officedocument.wordprocessingml.footer+xml"/>
  <Override PartName="/word/header263.xml" ContentType="application/vnd.openxmlformats-officedocument.wordprocessingml.header+xml"/>
  <Override PartName="/word/footer262.xml" ContentType="application/vnd.openxmlformats-officedocument.wordprocessingml.footer+xml"/>
  <Override PartName="/word/header264.xml" ContentType="application/vnd.openxmlformats-officedocument.wordprocessingml.header+xml"/>
  <Override PartName="/word/footer263.xml" ContentType="application/vnd.openxmlformats-officedocument.wordprocessingml.footer+xml"/>
  <Override PartName="/word/header265.xml" ContentType="application/vnd.openxmlformats-officedocument.wordprocessingml.header+xml"/>
  <Override PartName="/word/footer264.xml" ContentType="application/vnd.openxmlformats-officedocument.wordprocessingml.footer+xml"/>
  <Override PartName="/word/header266.xml" ContentType="application/vnd.openxmlformats-officedocument.wordprocessingml.header+xml"/>
  <Override PartName="/word/footer265.xml" ContentType="application/vnd.openxmlformats-officedocument.wordprocessingml.footer+xml"/>
  <Override PartName="/word/header267.xml" ContentType="application/vnd.openxmlformats-officedocument.wordprocessingml.header+xml"/>
  <Override PartName="/word/footer266.xml" ContentType="application/vnd.openxmlformats-officedocument.wordprocessingml.footer+xml"/>
  <Override PartName="/word/header268.xml" ContentType="application/vnd.openxmlformats-officedocument.wordprocessingml.header+xml"/>
  <Override PartName="/word/footer267.xml" ContentType="application/vnd.openxmlformats-officedocument.wordprocessingml.footer+xml"/>
  <Override PartName="/word/header269.xml" ContentType="application/vnd.openxmlformats-officedocument.wordprocessingml.header+xml"/>
  <Override PartName="/word/footer268.xml" ContentType="application/vnd.openxmlformats-officedocument.wordprocessingml.footer+xml"/>
  <Override PartName="/word/header270.xml" ContentType="application/vnd.openxmlformats-officedocument.wordprocessingml.header+xml"/>
  <Override PartName="/word/footer269.xml" ContentType="application/vnd.openxmlformats-officedocument.wordprocessingml.footer+xml"/>
  <Override PartName="/word/header271.xml" ContentType="application/vnd.openxmlformats-officedocument.wordprocessingml.header+xml"/>
  <Override PartName="/word/footer270.xml" ContentType="application/vnd.openxmlformats-officedocument.wordprocessingml.footer+xml"/>
  <Override PartName="/word/header272.xml" ContentType="application/vnd.openxmlformats-officedocument.wordprocessingml.header+xml"/>
  <Override PartName="/word/footer27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Heading1"/>
        <w:spacing w:before="90"/>
        <w:ind w:left="509" w:right="103"/>
        <w:jc w:val="center"/>
      </w:pPr>
      <w:r>
        <w:rPr/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before="162"/>
        <w:ind w:left="505" w:right="111" w:firstLine="0"/>
        <w:jc w:val="center"/>
        <w:rPr>
          <w:b/>
          <w:sz w:val="24"/>
        </w:rPr>
      </w:pPr>
      <w:r>
        <w:rPr>
          <w:b/>
          <w:sz w:val="24"/>
        </w:rPr>
        <w:t>Asmau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Nasiru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HAMZA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line="237" w:lineRule="auto" w:before="167"/>
        <w:ind w:left="509" w:right="111"/>
        <w:jc w:val="center"/>
      </w:pPr>
      <w:r>
        <w:rPr/>
        <w:t>DEPARTMENT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PHARMACEUTICAL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MEDICINAL</w:t>
      </w:r>
      <w:r>
        <w:rPr>
          <w:spacing w:val="-4"/>
        </w:rPr>
        <w:t> </w:t>
      </w:r>
      <w:r>
        <w:rPr/>
        <w:t>CHEMISTRY</w:t>
      </w:r>
      <w:r>
        <w:rPr>
          <w:spacing w:val="-57"/>
        </w:rPr>
        <w:t> </w:t>
      </w:r>
      <w:r>
        <w:rPr/>
        <w:t>FACULTY OF PHARMACEUTICAL SCIENCES</w:t>
      </w:r>
    </w:p>
    <w:p>
      <w:pPr>
        <w:spacing w:line="237" w:lineRule="auto" w:before="6"/>
        <w:ind w:left="2752" w:right="2358" w:firstLine="0"/>
        <w:jc w:val="center"/>
        <w:rPr>
          <w:b/>
          <w:sz w:val="24"/>
        </w:rPr>
      </w:pPr>
      <w:r>
        <w:rPr>
          <w:b/>
          <w:sz w:val="24"/>
        </w:rPr>
        <w:t>AHMADU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BELLO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UNIVERSITY,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ZARIA 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8"/>
        </w:rPr>
      </w:pPr>
    </w:p>
    <w:p>
      <w:pPr>
        <w:pStyle w:val="Heading1"/>
        <w:spacing w:line="451" w:lineRule="auto" w:before="0"/>
        <w:ind w:left="2738" w:right="2328" w:firstLine="1210"/>
      </w:pPr>
      <w:r>
        <w:rPr/>
        <w:t>JUNE,</w:t>
      </w:r>
      <w:r>
        <w:rPr>
          <w:spacing w:val="3"/>
        </w:rPr>
        <w:t> </w:t>
      </w:r>
      <w:r>
        <w:rPr/>
        <w:t>2018</w:t>
      </w:r>
      <w:r>
        <w:rPr>
          <w:spacing w:val="1"/>
        </w:rPr>
        <w:t> </w:t>
      </w:r>
      <w:r>
        <w:rPr/>
        <w:t>SUPPORTED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TETFUND,</w:t>
      </w:r>
      <w:r>
        <w:rPr>
          <w:spacing w:val="-2"/>
        </w:rPr>
        <w:t> </w:t>
      </w:r>
      <w:r>
        <w:rPr/>
        <w:t>2015</w:t>
      </w:r>
    </w:p>
    <w:p>
      <w:pPr>
        <w:spacing w:after="0" w:line="451" w:lineRule="auto"/>
        <w:sectPr>
          <w:headerReference w:type="default" r:id="rId5"/>
          <w:type w:val="continuous"/>
          <w:pgSz w:w="11910" w:h="16840"/>
          <w:pgMar w:header="1447" w:top="2020" w:bottom="280" w:left="1680" w:right="1500"/>
          <w:pgNumType w:start="1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spacing w:before="89"/>
        <w:ind w:left="305" w:right="676" w:firstLine="0"/>
        <w:jc w:val="center"/>
        <w:rPr>
          <w:b/>
          <w:sz w:val="24"/>
        </w:rPr>
      </w:pPr>
      <w:r>
        <w:rPr>
          <w:b/>
          <w:sz w:val="24"/>
        </w:rPr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line="237" w:lineRule="auto" w:before="171"/>
        <w:ind w:left="1978" w:right="2353" w:firstLine="321"/>
      </w:pPr>
      <w:r>
        <w:rPr/>
        <w:t>Asmau Nasiru HAMZA,</w:t>
      </w:r>
      <w:r>
        <w:rPr>
          <w:spacing w:val="1"/>
        </w:rPr>
        <w:t> </w:t>
      </w:r>
      <w:r>
        <w:rPr/>
        <w:t>B.Pharm</w:t>
      </w:r>
      <w:r>
        <w:rPr>
          <w:spacing w:val="-2"/>
        </w:rPr>
        <w:t> </w:t>
      </w:r>
      <w:r>
        <w:rPr/>
        <w:t>(ABU)</w:t>
      </w:r>
      <w:r>
        <w:rPr>
          <w:spacing w:val="1"/>
        </w:rPr>
        <w:t> </w:t>
      </w:r>
      <w:r>
        <w:rPr/>
        <w:t>2004</w:t>
      </w:r>
      <w:r>
        <w:rPr>
          <w:spacing w:val="1"/>
        </w:rPr>
        <w:t> </w:t>
      </w:r>
      <w:r>
        <w:rPr/>
        <w:t>MSc</w:t>
      </w:r>
      <w:r>
        <w:rPr>
          <w:spacing w:val="-3"/>
        </w:rPr>
        <w:t> </w:t>
      </w:r>
      <w:r>
        <w:rPr/>
        <w:t>Pharmaceutical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Medicinal</w:t>
      </w:r>
      <w:r>
        <w:rPr>
          <w:spacing w:val="-5"/>
        </w:rPr>
        <w:t> </w:t>
      </w:r>
      <w:r>
        <w:rPr/>
        <w:t>Chemistry,</w:t>
      </w:r>
      <w:r>
        <w:rPr>
          <w:spacing w:val="5"/>
        </w:rPr>
        <w:t> </w:t>
      </w:r>
      <w:r>
        <w:rPr/>
        <w:t>2011</w:t>
      </w:r>
    </w:p>
    <w:p>
      <w:pPr>
        <w:spacing w:before="3"/>
        <w:ind w:left="3002" w:right="0" w:firstLine="0"/>
        <w:jc w:val="left"/>
        <w:rPr>
          <w:b/>
          <w:sz w:val="24"/>
        </w:rPr>
      </w:pPr>
      <w:r>
        <w:rPr>
          <w:b/>
          <w:sz w:val="24"/>
        </w:rPr>
        <w:t>PhD/Pharm.Sci/10320/2011-2012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pStyle w:val="Heading1"/>
        <w:spacing w:line="242" w:lineRule="auto" w:before="0"/>
        <w:ind w:left="305" w:right="690"/>
        <w:jc w:val="center"/>
      </w:pPr>
      <w:r>
        <w:rPr/>
        <w:t>A</w:t>
      </w:r>
      <w:r>
        <w:rPr>
          <w:spacing w:val="-4"/>
        </w:rPr>
        <w:t> </w:t>
      </w:r>
      <w:r>
        <w:rPr/>
        <w:t>DISSERTATION</w:t>
      </w:r>
      <w:r>
        <w:rPr>
          <w:spacing w:val="-2"/>
        </w:rPr>
        <w:t> </w:t>
      </w:r>
      <w:r>
        <w:rPr/>
        <w:t>SUBMITTED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SCHOOL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POSTGRADUATE</w:t>
      </w:r>
      <w:r>
        <w:rPr>
          <w:spacing w:val="-57"/>
        </w:rPr>
        <w:t> </w:t>
      </w:r>
      <w:r>
        <w:rPr/>
        <w:t>STUDIES,</w:t>
      </w:r>
      <w:r>
        <w:rPr>
          <w:spacing w:val="4"/>
        </w:rPr>
        <w:t> </w:t>
      </w:r>
      <w:r>
        <w:rPr/>
        <w:t>AHMADU</w:t>
      </w:r>
      <w:r>
        <w:rPr>
          <w:spacing w:val="-4"/>
        </w:rPr>
        <w:t> </w:t>
      </w:r>
      <w:r>
        <w:rPr/>
        <w:t>BELLO</w:t>
      </w:r>
      <w:r>
        <w:rPr>
          <w:spacing w:val="2"/>
        </w:rPr>
        <w:t> </w:t>
      </w:r>
      <w:r>
        <w:rPr/>
        <w:t>UNIVERSITY,</w:t>
      </w:r>
      <w:r>
        <w:rPr>
          <w:spacing w:val="2"/>
        </w:rPr>
        <w:t> </w:t>
      </w:r>
      <w:r>
        <w:rPr/>
        <w:t>ZARIA</w:t>
      </w:r>
    </w:p>
    <w:p>
      <w:pPr>
        <w:pStyle w:val="BodyText"/>
        <w:spacing w:before="8"/>
        <w:rPr>
          <w:b/>
          <w:sz w:val="23"/>
        </w:rPr>
      </w:pPr>
    </w:p>
    <w:p>
      <w:pPr>
        <w:spacing w:line="240" w:lineRule="auto" w:before="0"/>
        <w:ind w:left="312" w:right="699" w:firstLine="0"/>
        <w:jc w:val="center"/>
        <w:rPr>
          <w:b/>
          <w:sz w:val="24"/>
        </w:rPr>
      </w:pPr>
      <w:r>
        <w:rPr>
          <w:b/>
          <w:sz w:val="24"/>
        </w:rPr>
        <w:t>IN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PARTIAL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FULFILLMENT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REQUIREMENTS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AWARD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DOCTOR OF PHILOSOPHY IN PHARMACEUTICAL AND MEDICINAL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CHEMISTRY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line="237" w:lineRule="auto" w:before="200"/>
        <w:ind w:left="305" w:right="687"/>
        <w:jc w:val="center"/>
      </w:pPr>
      <w:r>
        <w:rPr/>
        <w:t>DEPARTMENT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PHARMACEUTICAL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MEDICINAL</w:t>
      </w:r>
      <w:r>
        <w:rPr>
          <w:spacing w:val="-4"/>
        </w:rPr>
        <w:t> </w:t>
      </w:r>
      <w:r>
        <w:rPr/>
        <w:t>CHEMISTRY</w:t>
      </w:r>
      <w:r>
        <w:rPr>
          <w:spacing w:val="-57"/>
        </w:rPr>
        <w:t> </w:t>
      </w:r>
      <w:r>
        <w:rPr/>
        <w:t>FACULTY OF PHARMACEUTICAL SCIENCES</w:t>
      </w:r>
    </w:p>
    <w:p>
      <w:pPr>
        <w:spacing w:before="3"/>
        <w:ind w:left="2872" w:right="3258" w:firstLine="0"/>
        <w:jc w:val="center"/>
        <w:rPr>
          <w:b/>
          <w:sz w:val="24"/>
        </w:rPr>
      </w:pPr>
      <w:r>
        <w:rPr>
          <w:b/>
          <w:sz w:val="24"/>
        </w:rPr>
        <w:t>AHMADU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BELLO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UNIVERSITY,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ZARIA 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30"/>
        </w:rPr>
      </w:pPr>
    </w:p>
    <w:p>
      <w:pPr>
        <w:pStyle w:val="Heading1"/>
        <w:spacing w:before="1"/>
        <w:ind w:left="305" w:right="687"/>
        <w:jc w:val="center"/>
      </w:pPr>
      <w:r>
        <w:rPr/>
        <w:t>JUNE,</w:t>
      </w:r>
      <w:r>
        <w:rPr>
          <w:spacing w:val="2"/>
        </w:rPr>
        <w:t> </w:t>
      </w:r>
      <w:r>
        <w:rPr/>
        <w:t>2018</w:t>
      </w:r>
    </w:p>
    <w:p>
      <w:pPr>
        <w:spacing w:after="0"/>
        <w:jc w:val="center"/>
        <w:sectPr>
          <w:headerReference w:type="default" r:id="rId6"/>
          <w:footerReference w:type="default" r:id="rId7"/>
          <w:pgSz w:w="11910" w:h="16840"/>
          <w:pgMar w:header="1303" w:footer="2486" w:top="1840" w:bottom="2680" w:left="1560" w:right="600"/>
          <w:pgNumType w:start="2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ind w:left="312" w:right="692"/>
        <w:jc w:val="both"/>
      </w:pPr>
      <w:r>
        <w:rPr>
          <w:spacing w:val="1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10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1"/>
          <w:w w:val="99"/>
        </w:rPr>
        <w:t>w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3"/>
        </w:rPr>
        <w:t>e</w:t>
      </w:r>
      <w:r>
        <w:rPr>
          <w:spacing w:val="2"/>
          <w:w w:val="99"/>
        </w:rPr>
        <w:t>s</w:t>
      </w:r>
      <w:r>
        <w:rPr>
          <w:spacing w:val="-5"/>
        </w:rPr>
        <w:t>i</w:t>
      </w:r>
      <w:r>
        <w:rPr>
          <w:spacing w:val="-1"/>
          <w:w w:val="99"/>
        </w:rPr>
        <w:t>s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9"/>
        </w:rPr>
        <w:t>t</w:t>
      </w:r>
      <w:r>
        <w:rPr>
          <w:spacing w:val="-10"/>
        </w:rPr>
        <w:t>i</w:t>
      </w:r>
      <w:r>
        <w:rPr>
          <w:spacing w:val="9"/>
        </w:rPr>
        <w:t>t</w:t>
      </w:r>
      <w:r>
        <w:rPr>
          <w:spacing w:val="-9"/>
        </w:rPr>
        <w:t>l</w:t>
      </w:r>
      <w:r>
        <w:rPr>
          <w:spacing w:val="-1"/>
        </w:rPr>
        <w:t>e</w:t>
      </w:r>
      <w:r>
        <w:rPr/>
        <w:t>d </w:t>
      </w:r>
      <w:r>
        <w:rPr>
          <w:spacing w:val="14"/>
        </w:rPr>
        <w:t> </w:t>
      </w:r>
      <w:r>
        <w:rPr>
          <w:spacing w:val="3"/>
          <w:w w:val="44"/>
        </w:rPr>
        <w:t>―</w:t>
      </w:r>
      <w:r>
        <w:rPr>
          <w:spacing w:val="8"/>
          <w:w w:val="99"/>
        </w:rPr>
        <w:t>D</w:t>
      </w:r>
      <w:r>
        <w:rPr>
          <w:spacing w:val="13"/>
        </w:rPr>
        <w:t>e</w:t>
      </w:r>
      <w:r>
        <w:rPr>
          <w:spacing w:val="12"/>
          <w:w w:val="99"/>
        </w:rPr>
        <w:t>s</w:t>
      </w:r>
      <w:r>
        <w:rPr>
          <w:spacing w:val="5"/>
        </w:rPr>
        <w:t>i</w:t>
      </w:r>
      <w:r>
        <w:rPr>
          <w:spacing w:val="14"/>
        </w:rPr>
        <w:t>g</w:t>
      </w:r>
      <w:r>
        <w:rPr>
          <w:spacing w:val="9"/>
        </w:rPr>
        <w:t>n</w:t>
      </w:r>
      <w:r>
        <w:rPr/>
        <w:t>, </w:t>
      </w:r>
      <w:r>
        <w:rPr>
          <w:spacing w:val="21"/>
        </w:rPr>
        <w:t> </w:t>
      </w:r>
      <w:r>
        <w:rPr>
          <w:spacing w:val="15"/>
          <w:w w:val="99"/>
        </w:rPr>
        <w:t>S</w:t>
      </w:r>
      <w:r>
        <w:rPr>
          <w:spacing w:val="4"/>
        </w:rPr>
        <w:t>yn</w:t>
      </w:r>
      <w:r>
        <w:rPr>
          <w:spacing w:val="19"/>
        </w:rPr>
        <w:t>t</w:t>
      </w:r>
      <w:r>
        <w:rPr>
          <w:spacing w:val="9"/>
        </w:rPr>
        <w:t>h</w:t>
      </w:r>
      <w:r>
        <w:rPr>
          <w:spacing w:val="8"/>
        </w:rPr>
        <w:t>e</w:t>
      </w:r>
      <w:r>
        <w:rPr>
          <w:spacing w:val="16"/>
          <w:w w:val="99"/>
        </w:rPr>
        <w:t>s</w:t>
      </w:r>
      <w:r>
        <w:rPr>
          <w:spacing w:val="5"/>
        </w:rPr>
        <w:t>i</w:t>
      </w:r>
      <w:r>
        <w:rPr>
          <w:spacing w:val="7"/>
          <w:w w:val="99"/>
        </w:rPr>
        <w:t>s</w:t>
      </w:r>
      <w:r>
        <w:rPr/>
        <w:t>, </w:t>
      </w:r>
      <w:r>
        <w:rPr>
          <w:spacing w:val="25"/>
        </w:rPr>
        <w:t> </w:t>
      </w:r>
      <w:r>
        <w:rPr>
          <w:spacing w:val="8"/>
          <w:w w:val="99"/>
        </w:rPr>
        <w:t>A</w:t>
      </w:r>
      <w:r>
        <w:rPr>
          <w:spacing w:val="4"/>
        </w:rPr>
        <w:t>n</w:t>
      </w:r>
      <w:r>
        <w:rPr>
          <w:spacing w:val="19"/>
        </w:rPr>
        <w:t>t</w:t>
      </w:r>
      <w:r>
        <w:rPr>
          <w:spacing w:val="9"/>
        </w:rPr>
        <w:t>i</w:t>
      </w:r>
      <w:r>
        <w:rPr>
          <w:spacing w:val="5"/>
        </w:rPr>
        <w:t>m</w:t>
      </w:r>
      <w:r>
        <w:rPr>
          <w:spacing w:val="13"/>
        </w:rPr>
        <w:t>a</w:t>
      </w:r>
      <w:r>
        <w:rPr>
          <w:spacing w:val="5"/>
        </w:rPr>
        <w:t>l</w:t>
      </w:r>
      <w:r>
        <w:rPr>
          <w:spacing w:val="13"/>
        </w:rPr>
        <w:t>a</w:t>
      </w:r>
      <w:r>
        <w:rPr>
          <w:spacing w:val="15"/>
        </w:rPr>
        <w:t>r</w:t>
      </w:r>
      <w:r>
        <w:rPr>
          <w:spacing w:val="5"/>
        </w:rPr>
        <w:t>i</w:t>
      </w:r>
      <w:r>
        <w:rPr>
          <w:spacing w:val="18"/>
        </w:rPr>
        <w:t>a</w:t>
      </w:r>
      <w:r>
        <w:rPr/>
        <w:t>l </w:t>
      </w:r>
      <w:r>
        <w:rPr>
          <w:spacing w:val="9"/>
        </w:rPr>
        <w:t> </w:t>
      </w:r>
      <w:r>
        <w:rPr>
          <w:spacing w:val="16"/>
        </w:rPr>
        <w:t>E</w:t>
      </w:r>
      <w:r>
        <w:rPr>
          <w:spacing w:val="9"/>
        </w:rPr>
        <w:t>v</w:t>
      </w:r>
      <w:r>
        <w:rPr>
          <w:spacing w:val="13"/>
        </w:rPr>
        <w:t>a</w:t>
      </w:r>
      <w:r>
        <w:rPr>
          <w:spacing w:val="5"/>
        </w:rPr>
        <w:t>l</w:t>
      </w:r>
      <w:r>
        <w:rPr>
          <w:spacing w:val="14"/>
        </w:rPr>
        <w:t>u</w:t>
      </w:r>
      <w:r>
        <w:rPr>
          <w:spacing w:val="8"/>
        </w:rPr>
        <w:t>a</w:t>
      </w:r>
      <w:r>
        <w:rPr>
          <w:spacing w:val="19"/>
        </w:rPr>
        <w:t>t</w:t>
      </w:r>
      <w:r>
        <w:rPr/>
        <w:t>i</w:t>
      </w:r>
      <w:r>
        <w:rPr>
          <w:spacing w:val="19"/>
        </w:rPr>
        <w:t>o</w:t>
      </w:r>
      <w:r>
        <w:rPr/>
        <w:t>n </w:t>
      </w:r>
      <w:r>
        <w:rPr/>
        <w:t>and</w:t>
      </w:r>
      <w:r>
        <w:rPr>
          <w:spacing w:val="60"/>
        </w:rPr>
        <w:t> </w:t>
      </w:r>
      <w:r>
        <w:rPr>
          <w:spacing w:val="10"/>
        </w:rPr>
        <w:t>Computational </w:t>
      </w:r>
      <w:r>
        <w:rPr>
          <w:spacing w:val="9"/>
        </w:rPr>
        <w:t>Studies of </w:t>
      </w:r>
      <w:r>
        <w:rPr/>
        <w:t>Some</w:t>
      </w:r>
      <w:r>
        <w:rPr>
          <w:spacing w:val="60"/>
        </w:rPr>
        <w:t> </w:t>
      </w:r>
      <w:r>
        <w:rPr>
          <w:spacing w:val="9"/>
        </w:rPr>
        <w:t>Chalcone Derivatives‖ </w:t>
      </w:r>
      <w:r>
        <w:rPr/>
        <w:t>has been performed by</w:t>
      </w:r>
      <w:r>
        <w:rPr>
          <w:spacing w:val="1"/>
        </w:rPr>
        <w:t> </w:t>
      </w:r>
      <w:r>
        <w:rPr/>
        <w:t>me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Pharmaceutical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Chemistry,</w:t>
      </w:r>
      <w:r>
        <w:rPr>
          <w:spacing w:val="1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1"/>
        </w:rPr>
        <w:t> </w:t>
      </w:r>
      <w:r>
        <w:rPr/>
        <w:t>University, Zaria. The information derived from the literature has been duly acknowledged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text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list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references</w:t>
      </w:r>
      <w:r>
        <w:rPr>
          <w:spacing w:val="1"/>
        </w:rPr>
        <w:t> </w:t>
      </w:r>
      <w:r>
        <w:rPr/>
        <w:t>provided.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dissertation</w:t>
      </w:r>
      <w:r>
        <w:rPr>
          <w:spacing w:val="1"/>
        </w:rPr>
        <w:t> </w:t>
      </w:r>
      <w:r>
        <w:rPr/>
        <w:t>has</w:t>
      </w:r>
      <w:r>
        <w:rPr>
          <w:spacing w:val="60"/>
        </w:rPr>
        <w:t> </w:t>
      </w:r>
      <w:r>
        <w:rPr/>
        <w:t>been</w:t>
      </w:r>
      <w:r>
        <w:rPr>
          <w:spacing w:val="1"/>
        </w:rPr>
        <w:t> </w:t>
      </w:r>
      <w:r>
        <w:rPr/>
        <w:t>previously</w:t>
      </w:r>
      <w:r>
        <w:rPr>
          <w:spacing w:val="-5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another</w:t>
      </w:r>
      <w:r>
        <w:rPr>
          <w:spacing w:val="2"/>
        </w:rPr>
        <w:t> </w:t>
      </w:r>
      <w:r>
        <w:rPr/>
        <w:t>degree</w:t>
      </w:r>
      <w:r>
        <w:rPr>
          <w:spacing w:val="-5"/>
        </w:rPr>
        <w:t> </w:t>
      </w:r>
      <w:r>
        <w:rPr/>
        <w:t>or</w:t>
      </w:r>
      <w:r>
        <w:rPr>
          <w:spacing w:val="1"/>
        </w:rPr>
        <w:t> </w:t>
      </w:r>
      <w:r>
        <w:rPr/>
        <w:t>diploma at</w:t>
      </w:r>
      <w:r>
        <w:rPr>
          <w:spacing w:val="-4"/>
        </w:rPr>
        <w:t> </w:t>
      </w:r>
      <w:r>
        <w:rPr/>
        <w:t>this</w:t>
      </w:r>
      <w:r>
        <w:rPr>
          <w:spacing w:val="-1"/>
        </w:rPr>
        <w:t> </w:t>
      </w:r>
      <w:r>
        <w:rPr/>
        <w:t>or</w:t>
      </w:r>
      <w:r>
        <w:rPr>
          <w:spacing w:val="2"/>
        </w:rPr>
        <w:t> </w:t>
      </w:r>
      <w:r>
        <w:rPr/>
        <w:t>any</w:t>
      </w:r>
      <w:r>
        <w:rPr>
          <w:spacing w:val="-10"/>
        </w:rPr>
        <w:t> </w:t>
      </w:r>
      <w:r>
        <w:rPr/>
        <w:t>otherInstitution.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shape style="position:absolute;margin-left:93.599998pt;margin-top:16.98126pt;width:150pt;height:.1pt;mso-position-horizontal-relative:page;mso-position-vertical-relative:paragraph;z-index:-15728640;mso-wrap-distance-left:0;mso-wrap-distance-right:0" coordorigin="1872,340" coordsize="3000,0" path="m1872,340l4872,340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35.700012pt;margin-top:16.98126pt;width:78pt;height:.1pt;mso-position-horizontal-relative:page;mso-position-vertical-relative:paragraph;z-index:-15728128;mso-wrap-distance-left:0;mso-wrap-distance-right:0" coordorigin="8714,340" coordsize="1560,0" path="m8714,340l10274,340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606" w:val="left" w:leader="none"/>
        </w:tabs>
        <w:ind w:left="312"/>
        <w:jc w:val="both"/>
      </w:pPr>
      <w:r>
        <w:rPr/>
        <w:t>AsmauNasiruHAMZA</w:t>
        <w:tab/>
        <w:t>Date</w:t>
      </w:r>
    </w:p>
    <w:p>
      <w:pPr>
        <w:spacing w:after="0"/>
        <w:jc w:val="both"/>
        <w:sectPr>
          <w:headerReference w:type="default" r:id="rId8"/>
          <w:footerReference w:type="default" r:id="rId9"/>
          <w:pgSz w:w="11910" w:h="16840"/>
          <w:pgMar w:header="1303" w:footer="2486" w:top="1560" w:bottom="2680" w:left="1560" w:right="600"/>
        </w:sectPr>
      </w:pPr>
    </w:p>
    <w:p>
      <w:pPr>
        <w:pStyle w:val="BodyText"/>
        <w:spacing w:before="10"/>
        <w:rPr>
          <w:sz w:val="14"/>
        </w:rPr>
      </w:pPr>
    </w:p>
    <w:p>
      <w:pPr>
        <w:pStyle w:val="BodyText"/>
        <w:spacing w:line="237" w:lineRule="auto" w:before="93"/>
        <w:ind w:left="312"/>
      </w:pPr>
      <w:r>
        <w:rPr/>
        <w:t>This</w:t>
      </w:r>
      <w:r>
        <w:rPr>
          <w:spacing w:val="36"/>
        </w:rPr>
        <w:t> </w:t>
      </w:r>
      <w:r>
        <w:rPr/>
        <w:t>thesis</w:t>
      </w:r>
      <w:r>
        <w:rPr>
          <w:spacing w:val="35"/>
        </w:rPr>
        <w:t> </w:t>
      </w:r>
      <w:r>
        <w:rPr/>
        <w:t>entitled</w:t>
      </w:r>
      <w:r>
        <w:rPr>
          <w:spacing w:val="39"/>
        </w:rPr>
        <w:t> </w:t>
      </w:r>
      <w:r>
        <w:rPr/>
        <w:t>‗DESIGN,</w:t>
      </w:r>
      <w:r>
        <w:rPr>
          <w:spacing w:val="40"/>
        </w:rPr>
        <w:t> </w:t>
      </w:r>
      <w:r>
        <w:rPr/>
        <w:t>SYNTHESIS,</w:t>
      </w:r>
      <w:r>
        <w:rPr>
          <w:spacing w:val="43"/>
        </w:rPr>
        <w:t> </w:t>
      </w:r>
      <w:r>
        <w:rPr/>
        <w:t>ANTIMALARIAL</w:t>
      </w:r>
      <w:r>
        <w:rPr>
          <w:spacing w:val="36"/>
        </w:rPr>
        <w:t> </w:t>
      </w:r>
      <w:r>
        <w:rPr/>
        <w:t>EVALUATION</w:t>
      </w:r>
      <w:r>
        <w:rPr>
          <w:spacing w:val="37"/>
        </w:rPr>
        <w:t> </w:t>
      </w:r>
      <w:r>
        <w:rPr/>
        <w:t>AND</w:t>
      </w:r>
      <w:r>
        <w:rPr>
          <w:spacing w:val="-57"/>
        </w:rPr>
        <w:t> </w:t>
      </w:r>
      <w:r>
        <w:rPr/>
        <w:t>COMPUTATIONAL</w:t>
      </w:r>
      <w:r>
        <w:rPr>
          <w:spacing w:val="54"/>
        </w:rPr>
        <w:t> </w:t>
      </w:r>
      <w:r>
        <w:rPr/>
        <w:t>STUDIES</w:t>
      </w:r>
      <w:r>
        <w:rPr>
          <w:spacing w:val="54"/>
        </w:rPr>
        <w:t> </w:t>
      </w:r>
      <w:r>
        <w:rPr/>
        <w:t>OF</w:t>
      </w:r>
      <w:r>
        <w:rPr>
          <w:spacing w:val="49"/>
        </w:rPr>
        <w:t> </w:t>
      </w:r>
      <w:r>
        <w:rPr/>
        <w:t>SOME</w:t>
      </w:r>
      <w:r>
        <w:rPr>
          <w:spacing w:val="55"/>
        </w:rPr>
        <w:t> </w:t>
      </w:r>
      <w:r>
        <w:rPr/>
        <w:t>CHALCONE</w:t>
      </w:r>
      <w:r>
        <w:rPr>
          <w:spacing w:val="55"/>
        </w:rPr>
        <w:t> </w:t>
      </w:r>
      <w:r>
        <w:rPr/>
        <w:t>DERIVATIVES‘</w:t>
      </w:r>
      <w:r>
        <w:rPr>
          <w:spacing w:val="55"/>
        </w:rPr>
        <w:t> </w:t>
      </w:r>
      <w:r>
        <w:rPr/>
        <w:t>by</w:t>
      </w:r>
      <w:r>
        <w:rPr>
          <w:spacing w:val="54"/>
        </w:rPr>
        <w:t> </w:t>
      </w:r>
      <w:r>
        <w:rPr/>
        <w:t>Asmau</w:t>
      </w:r>
    </w:p>
    <w:p>
      <w:pPr>
        <w:pStyle w:val="BodyText"/>
        <w:spacing w:before="4"/>
        <w:ind w:left="312" w:right="699"/>
        <w:jc w:val="both"/>
      </w:pPr>
      <w:r>
        <w:rPr/>
        <w:t>Nasiru HAMZA meets the regulations governing the award of the degree of Doctor of</w:t>
      </w:r>
      <w:r>
        <w:rPr>
          <w:spacing w:val="1"/>
        </w:rPr>
        <w:t> </w:t>
      </w:r>
      <w:r>
        <w:rPr/>
        <w:t>Philosophy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1"/>
        </w:rPr>
        <w:t> </w:t>
      </w:r>
      <w:r>
        <w:rPr/>
        <w:t>University,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approved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contribution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knowledge and</w:t>
      </w:r>
      <w:r>
        <w:rPr>
          <w:spacing w:val="6"/>
        </w:rPr>
        <w:t> </w:t>
      </w:r>
      <w:r>
        <w:rPr/>
        <w:t>literarypresentation.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  <w:r>
        <w:rPr/>
        <w:pict>
          <v:shape style="position:absolute;margin-left:93.599998pt;margin-top:16.133652pt;width:174pt;height:.1pt;mso-position-horizontal-relative:page;mso-position-vertical-relative:paragraph;z-index:-15727616;mso-wrap-distance-left:0;mso-wrap-distance-right:0" coordorigin="1872,323" coordsize="3480,0" path="m1872,323l5352,323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1.649994pt;margin-top:16.133652pt;width:102pt;height:.1pt;mso-position-horizontal-relative:page;mso-position-vertical-relative:paragraph;z-index:-15727104;mso-wrap-distance-left:0;mso-wrap-distance-right:0" coordorigin="7633,323" coordsize="2040,0" path="m7633,323l9673,323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6588" w:val="left" w:leader="none"/>
        </w:tabs>
        <w:spacing w:line="223" w:lineRule="exact"/>
        <w:ind w:left="312"/>
      </w:pPr>
      <w:r>
        <w:rPr/>
        <w:t>Prof.A.YIdris</w:t>
        <w:tab/>
        <w:t>Date</w:t>
      </w:r>
    </w:p>
    <w:p>
      <w:pPr>
        <w:pStyle w:val="BodyText"/>
        <w:spacing w:line="272" w:lineRule="exact"/>
        <w:ind w:left="312"/>
      </w:pPr>
      <w:r>
        <w:rPr/>
        <w:t>Chairman, Supervisory</w:t>
      </w:r>
      <w:r>
        <w:rPr>
          <w:spacing w:val="-11"/>
        </w:rPr>
        <w:t> </w:t>
      </w:r>
      <w:r>
        <w:rPr/>
        <w:t>Committee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pict>
          <v:shape style="position:absolute;margin-left:93.599998pt;margin-top:9.1982pt;width:162.050pt;height:.1pt;mso-position-horizontal-relative:page;mso-position-vertical-relative:paragraph;z-index:-15726592;mso-wrap-distance-left:0;mso-wrap-distance-right:0" coordorigin="1872,184" coordsize="3241,0" path="m1872,184l5113,184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1.649994pt;margin-top:9.1982pt;width:102pt;height:.1pt;mso-position-horizontal-relative:page;mso-position-vertical-relative:paragraph;z-index:-15726080;mso-wrap-distance-left:0;mso-wrap-distance-right:0" coordorigin="7633,184" coordsize="2040,0" path="m7633,184l9673,184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169" w:val="left" w:leader="none"/>
        </w:tabs>
        <w:spacing w:line="226" w:lineRule="exact"/>
        <w:ind w:left="312"/>
      </w:pPr>
      <w:r>
        <w:rPr/>
        <w:t>Prof.A.MMusa</w:t>
        <w:tab/>
        <w:t>Date</w:t>
      </w:r>
    </w:p>
    <w:p>
      <w:pPr>
        <w:pStyle w:val="BodyText"/>
        <w:spacing w:line="272" w:lineRule="exact"/>
        <w:ind w:left="312"/>
      </w:pPr>
      <w:r>
        <w:rPr/>
        <w:t>Member, Supervisory</w:t>
      </w:r>
      <w:r>
        <w:rPr>
          <w:spacing w:val="-12"/>
        </w:rPr>
        <w:t> </w:t>
      </w:r>
      <w:r>
        <w:rPr/>
        <w:t>Committee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93.599998pt;margin-top:9.278206pt;width:162pt;height:.1pt;mso-position-horizontal-relative:page;mso-position-vertical-relative:paragraph;z-index:-15725568;mso-wrap-distance-left:0;mso-wrap-distance-right:0" coordorigin="1872,186" coordsize="3240,0" path="m1872,186l5112,186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1.649994pt;margin-top:9.278206pt;width:102pt;height:.1pt;mso-position-horizontal-relative:page;mso-position-vertical-relative:paragraph;z-index:-15725056;mso-wrap-distance-left:0;mso-wrap-distance-right:0" coordorigin="7633,186" coordsize="2040,0" path="m7633,186l9673,186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309" w:val="left" w:leader="none"/>
        </w:tabs>
        <w:spacing w:line="227" w:lineRule="exact"/>
        <w:ind w:left="312"/>
      </w:pPr>
      <w:r>
        <w:rPr/>
        <w:t>Prof.A.KHaruna</w:t>
        <w:tab/>
        <w:t>Date</w:t>
      </w:r>
    </w:p>
    <w:p>
      <w:pPr>
        <w:pStyle w:val="BodyText"/>
        <w:spacing w:line="270" w:lineRule="exact"/>
        <w:ind w:left="312"/>
      </w:pPr>
      <w:r>
        <w:rPr/>
        <w:t>Member, Supervisory</w:t>
      </w:r>
      <w:r>
        <w:rPr>
          <w:spacing w:val="-12"/>
        </w:rPr>
        <w:t> </w:t>
      </w:r>
      <w:r>
        <w:rPr/>
        <w:t>Committee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93.599998pt;margin-top:9.268189pt;width:162pt;height:.1pt;mso-position-horizontal-relative:page;mso-position-vertical-relative:paragraph;z-index:-15724544;mso-wrap-distance-left:0;mso-wrap-distance-right:0" coordorigin="1872,185" coordsize="3240,0" path="m1872,185l5112,185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1.649994pt;margin-top:9.268189pt;width:102pt;height:.1pt;mso-position-horizontal-relative:page;mso-position-vertical-relative:paragraph;z-index:-15724032;mso-wrap-distance-left:0;mso-wrap-distance-right:0" coordorigin="7633,185" coordsize="2040,0" path="m7633,185l9673,185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309" w:val="left" w:leader="none"/>
        </w:tabs>
        <w:spacing w:line="227" w:lineRule="exact"/>
        <w:ind w:left="312"/>
      </w:pPr>
      <w:r>
        <w:rPr/>
        <w:t>Prof.A.MMusa</w:t>
        <w:tab/>
        <w:t>Date</w:t>
      </w:r>
    </w:p>
    <w:p>
      <w:pPr>
        <w:pStyle w:val="BodyText"/>
        <w:spacing w:line="270" w:lineRule="exact"/>
        <w:ind w:left="312"/>
      </w:pPr>
      <w:r>
        <w:rPr/>
        <w:t>Head</w:t>
      </w:r>
      <w:r>
        <w:rPr>
          <w:spacing w:val="-1"/>
        </w:rPr>
        <w:t> </w:t>
      </w:r>
      <w:r>
        <w:rPr/>
        <w:t>of</w:t>
      </w:r>
      <w:r>
        <w:rPr>
          <w:spacing w:val="-8"/>
        </w:rPr>
        <w:t> </w:t>
      </w:r>
      <w:r>
        <w:rPr/>
        <w:t>Department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pict>
          <v:shape style="position:absolute;margin-left:93.599998pt;margin-top:9.358204pt;width:162pt;height:.1pt;mso-position-horizontal-relative:page;mso-position-vertical-relative:paragraph;z-index:-15723520;mso-wrap-distance-left:0;mso-wrap-distance-right:0" coordorigin="1872,187" coordsize="3240,0" path="m1872,187l5112,187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1.649994pt;margin-top:9.358204pt;width:102pt;height:.1pt;mso-position-horizontal-relative:page;mso-position-vertical-relative:paragraph;z-index:-15723008;mso-wrap-distance-left:0;mso-wrap-distance-right:0" coordorigin="7633,187" coordsize="2040,0" path="m7633,187l9673,187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309" w:val="left" w:leader="none"/>
        </w:tabs>
        <w:spacing w:line="228" w:lineRule="exact"/>
        <w:ind w:left="312"/>
      </w:pPr>
      <w:r>
        <w:rPr/>
        <w:t>Prof.</w:t>
      </w:r>
      <w:r>
        <w:rPr>
          <w:spacing w:val="-2"/>
        </w:rPr>
        <w:t> </w:t>
      </w:r>
      <w:r>
        <w:rPr/>
        <w:t>A.Z.Abubakar</w:t>
        <w:tab/>
        <w:t>Date</w:t>
      </w:r>
    </w:p>
    <w:p>
      <w:pPr>
        <w:pStyle w:val="BodyText"/>
        <w:spacing w:line="272" w:lineRule="exact"/>
        <w:ind w:left="312"/>
      </w:pPr>
      <w:r>
        <w:rPr/>
        <w:t>Dean,</w:t>
      </w:r>
      <w:r>
        <w:rPr>
          <w:spacing w:val="2"/>
        </w:rPr>
        <w:t> </w:t>
      </w:r>
      <w:r>
        <w:rPr/>
        <w:t>School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Postgraduate</w:t>
      </w:r>
      <w:r>
        <w:rPr>
          <w:spacing w:val="-1"/>
        </w:rPr>
        <w:t> </w:t>
      </w:r>
      <w:r>
        <w:rPr/>
        <w:t>Studies</w:t>
      </w:r>
    </w:p>
    <w:p>
      <w:pPr>
        <w:spacing w:after="0" w:line="272" w:lineRule="exact"/>
        <w:sectPr>
          <w:headerReference w:type="default" r:id="rId10"/>
          <w:footerReference w:type="default" r:id="rId11"/>
          <w:pgSz w:w="11910" w:h="16840"/>
          <w:pgMar w:header="1303" w:footer="2486" w:top="1560" w:bottom="2680" w:left="1560" w:right="600"/>
        </w:sectPr>
      </w:pPr>
    </w:p>
    <w:p>
      <w:pPr>
        <w:pStyle w:val="Heading1"/>
        <w:spacing w:before="74"/>
        <w:ind w:left="305" w:right="687"/>
        <w:jc w:val="center"/>
      </w:pPr>
      <w:bookmarkStart w:name="_TOC_250092" w:id="1"/>
      <w:bookmarkEnd w:id="1"/>
      <w:r>
        <w:rPr/>
        <w:t>DEDICATION</w:t>
      </w:r>
    </w:p>
    <w:p>
      <w:pPr>
        <w:pStyle w:val="BodyText"/>
        <w:spacing w:before="10"/>
        <w:rPr>
          <w:b/>
          <w:sz w:val="25"/>
        </w:rPr>
      </w:pPr>
    </w:p>
    <w:p>
      <w:pPr>
        <w:pStyle w:val="BodyText"/>
        <w:spacing w:line="237" w:lineRule="auto"/>
        <w:ind w:left="312"/>
      </w:pPr>
      <w:r>
        <w:rPr/>
        <w:t>This</w:t>
      </w:r>
      <w:r>
        <w:rPr>
          <w:spacing w:val="-4"/>
        </w:rPr>
        <w:t> </w:t>
      </w:r>
      <w:r>
        <w:rPr/>
        <w:t>work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dedicated</w:t>
      </w:r>
      <w:r>
        <w:rPr>
          <w:spacing w:val="-6"/>
        </w:rPr>
        <w:t> </w:t>
      </w:r>
      <w:r>
        <w:rPr/>
        <w:t>to</w:t>
      </w:r>
      <w:r>
        <w:rPr>
          <w:spacing w:val="4"/>
        </w:rPr>
        <w:t> </w:t>
      </w:r>
      <w:r>
        <w:rPr/>
        <w:t>my</w:t>
      </w:r>
      <w:r>
        <w:rPr>
          <w:spacing w:val="-11"/>
        </w:rPr>
        <w:t> </w:t>
      </w:r>
      <w:r>
        <w:rPr/>
        <w:t>department:</w:t>
      </w:r>
      <w:r>
        <w:rPr>
          <w:spacing w:val="-1"/>
        </w:rPr>
        <w:t> </w:t>
      </w:r>
      <w:r>
        <w:rPr/>
        <w:t>Department</w:t>
      </w:r>
      <w:r>
        <w:rPr>
          <w:spacing w:val="3"/>
        </w:rPr>
        <w:t> </w:t>
      </w:r>
      <w:r>
        <w:rPr/>
        <w:t>of</w:t>
      </w:r>
      <w:r>
        <w:rPr>
          <w:spacing w:val="-1"/>
        </w:rPr>
        <w:t> </w:t>
      </w:r>
      <w:r>
        <w:rPr/>
        <w:t>Pharmaceutical</w:t>
      </w:r>
      <w:r>
        <w:rPr>
          <w:spacing w:val="-6"/>
        </w:rPr>
        <w:t> </w:t>
      </w:r>
      <w:r>
        <w:rPr/>
        <w:t>and</w:t>
      </w:r>
      <w:r>
        <w:rPr>
          <w:spacing w:val="-1"/>
        </w:rPr>
        <w:t> </w:t>
      </w:r>
      <w:r>
        <w:rPr/>
        <w:t>Medicinal</w:t>
      </w:r>
      <w:r>
        <w:rPr>
          <w:spacing w:val="-57"/>
        </w:rPr>
        <w:t> </w:t>
      </w:r>
      <w:r>
        <w:rPr/>
        <w:t>Chemistry,</w:t>
      </w:r>
      <w:r>
        <w:rPr>
          <w:spacing w:val="3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6"/>
        </w:rPr>
        <w:t> </w:t>
      </w:r>
      <w:r>
        <w:rPr/>
        <w:t>University,</w:t>
      </w:r>
      <w:r>
        <w:rPr>
          <w:spacing w:val="3"/>
        </w:rPr>
        <w:t> </w:t>
      </w:r>
      <w:r>
        <w:rPr/>
        <w:t>Zaria.</w:t>
      </w:r>
    </w:p>
    <w:p>
      <w:pPr>
        <w:spacing w:after="0" w:line="237" w:lineRule="auto"/>
        <w:sectPr>
          <w:headerReference w:type="default" r:id="rId12"/>
          <w:footerReference w:type="default" r:id="rId13"/>
          <w:pgSz w:w="11910" w:h="16840"/>
          <w:pgMar w:header="0" w:footer="2486" w:top="1200" w:bottom="268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90"/>
        <w:ind w:left="312" w:right="690"/>
        <w:jc w:val="both"/>
      </w:pPr>
      <w:r>
        <w:rPr/>
        <w:t>All praise</w:t>
      </w:r>
      <w:r>
        <w:rPr>
          <w:spacing w:val="1"/>
        </w:rPr>
        <w:t> </w:t>
      </w:r>
      <w:r>
        <w:rPr/>
        <w:t>and thanks is due to</w:t>
      </w:r>
      <w:r>
        <w:rPr>
          <w:spacing w:val="1"/>
        </w:rPr>
        <w:t> </w:t>
      </w:r>
      <w:r>
        <w:rPr/>
        <w:t>Almighty Allah 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Beneficent, the</w:t>
      </w:r>
      <w:r>
        <w:rPr>
          <w:spacing w:val="1"/>
        </w:rPr>
        <w:t> </w:t>
      </w:r>
      <w:r>
        <w:rPr/>
        <w:t>most</w:t>
      </w:r>
      <w:r>
        <w:rPr>
          <w:spacing w:val="60"/>
        </w:rPr>
        <w:t> </w:t>
      </w:r>
      <w:r>
        <w:rPr/>
        <w:t>Merciful</w:t>
      </w:r>
      <w:r>
        <w:rPr>
          <w:spacing w:val="1"/>
        </w:rPr>
        <w:t> </w:t>
      </w:r>
      <w:r>
        <w:rPr/>
        <w:t>and, the Exalted. May the peace and blessings of Almighty Allah be upon our Nobel</w:t>
      </w:r>
      <w:r>
        <w:rPr>
          <w:spacing w:val="1"/>
        </w:rPr>
        <w:t> </w:t>
      </w:r>
      <w:r>
        <w:rPr/>
        <w:t>Prophet</w:t>
      </w:r>
      <w:r>
        <w:rPr>
          <w:spacing w:val="5"/>
        </w:rPr>
        <w:t> </w:t>
      </w:r>
      <w:r>
        <w:rPr/>
        <w:t>Muhammad</w:t>
      </w:r>
      <w:r>
        <w:rPr>
          <w:spacing w:val="1"/>
        </w:rPr>
        <w:t> </w:t>
      </w:r>
      <w:r>
        <w:rPr/>
        <w:t>(SAW),</w:t>
      </w:r>
      <w:r>
        <w:rPr>
          <w:spacing w:val="3"/>
        </w:rPr>
        <w:t> </w:t>
      </w:r>
      <w:r>
        <w:rPr/>
        <w:t>his</w:t>
      </w:r>
      <w:r>
        <w:rPr>
          <w:spacing w:val="3"/>
        </w:rPr>
        <w:t> </w:t>
      </w:r>
      <w:r>
        <w:rPr/>
        <w:t>family</w:t>
      </w:r>
      <w:r>
        <w:rPr>
          <w:spacing w:val="-3"/>
        </w:rPr>
        <w:t> </w:t>
      </w:r>
      <w:r>
        <w:rPr/>
        <w:t>andhis</w:t>
      </w:r>
      <w:r>
        <w:rPr>
          <w:spacing w:val="-11"/>
        </w:rPr>
        <w:t> </w:t>
      </w:r>
      <w:r>
        <w:rPr/>
        <w:t>companions.</w:t>
      </w:r>
    </w:p>
    <w:p>
      <w:pPr>
        <w:pStyle w:val="BodyText"/>
      </w:pPr>
    </w:p>
    <w:p>
      <w:pPr>
        <w:pStyle w:val="BodyText"/>
        <w:spacing w:line="275" w:lineRule="exact"/>
        <w:ind w:left="312"/>
        <w:jc w:val="both"/>
      </w:pPr>
      <w:r>
        <w:rPr>
          <w:spacing w:val="-1"/>
        </w:rPr>
        <w:t>I</w:t>
      </w:r>
      <w:r>
        <w:rPr>
          <w:spacing w:val="3"/>
        </w:rPr>
        <w:t> </w:t>
      </w:r>
      <w:r>
        <w:rPr>
          <w:spacing w:val="-1"/>
        </w:rPr>
        <w:t>wish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2"/>
        </w:rPr>
        <w:t> </w:t>
      </w:r>
      <w:r>
        <w:rPr>
          <w:spacing w:val="-1"/>
        </w:rPr>
        <w:t>express</w:t>
      </w:r>
      <w:r>
        <w:rPr>
          <w:spacing w:val="6"/>
        </w:rPr>
        <w:t> </w:t>
      </w:r>
      <w:r>
        <w:rPr/>
        <w:t>my</w:t>
      </w:r>
      <w:r>
        <w:rPr>
          <w:spacing w:val="-2"/>
        </w:rPr>
        <w:t> </w:t>
      </w:r>
      <w:r>
        <w:rPr/>
        <w:t>sincere</w:t>
      </w:r>
      <w:r>
        <w:rPr>
          <w:spacing w:val="1"/>
        </w:rPr>
        <w:t> </w:t>
      </w:r>
      <w:r>
        <w:rPr/>
        <w:t>gratitudeand</w:t>
      </w:r>
      <w:r>
        <w:rPr>
          <w:spacing w:val="3"/>
        </w:rPr>
        <w:t> </w:t>
      </w:r>
      <w:r>
        <w:rPr/>
        <w:t>appreciation</w:t>
      </w:r>
      <w:r>
        <w:rPr>
          <w:spacing w:val="2"/>
        </w:rPr>
        <w:t> </w:t>
      </w:r>
      <w:r>
        <w:rPr/>
        <w:t>to</w:t>
      </w:r>
      <w:r>
        <w:rPr>
          <w:spacing w:val="7"/>
        </w:rPr>
        <w:t> </w:t>
      </w:r>
      <w:r>
        <w:rPr/>
        <w:t>my</w:t>
      </w:r>
      <w:r>
        <w:rPr>
          <w:spacing w:val="-1"/>
        </w:rPr>
        <w:t> </w:t>
      </w:r>
      <w:r>
        <w:rPr/>
        <w:t>diligent</w:t>
      </w:r>
      <w:r>
        <w:rPr>
          <w:spacing w:val="7"/>
        </w:rPr>
        <w:t> </w:t>
      </w:r>
      <w:r>
        <w:rPr/>
        <w:t>supervisors,</w:t>
      </w:r>
      <w:r>
        <w:rPr>
          <w:spacing w:val="4"/>
        </w:rPr>
        <w:t> </w:t>
      </w:r>
      <w:r>
        <w:rPr/>
        <w:t>Pr</w:t>
      </w:r>
      <w:r>
        <w:rPr>
          <w:spacing w:val="-30"/>
        </w:rPr>
        <w:t> </w:t>
      </w:r>
      <w:r>
        <w:rPr/>
        <w:t>o</w:t>
      </w:r>
      <w:r>
        <w:rPr>
          <w:spacing w:val="-26"/>
        </w:rPr>
        <w:t> </w:t>
      </w:r>
      <w:r>
        <w:rPr/>
        <w:t>f</w:t>
      </w:r>
      <w:r>
        <w:rPr>
          <w:spacing w:val="-38"/>
        </w:rPr>
        <w:t> </w:t>
      </w:r>
      <w:r>
        <w:rPr/>
        <w:t>.</w:t>
      </w:r>
    </w:p>
    <w:p>
      <w:pPr>
        <w:pStyle w:val="BodyText"/>
        <w:ind w:left="312" w:right="700"/>
        <w:jc w:val="both"/>
      </w:pPr>
      <w:r>
        <w:rPr/>
        <w:t>A.Y.</w:t>
      </w:r>
      <w:r>
        <w:rPr>
          <w:spacing w:val="1"/>
        </w:rPr>
        <w:t> </w:t>
      </w:r>
      <w:r>
        <w:rPr/>
        <w:t>Idris,</w:t>
      </w:r>
      <w:r>
        <w:rPr>
          <w:spacing w:val="1"/>
        </w:rPr>
        <w:t> </w:t>
      </w:r>
      <w:r>
        <w:rPr/>
        <w:t>Prof.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Musa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Prof</w:t>
      </w:r>
      <w:r>
        <w:rPr>
          <w:spacing w:val="1"/>
        </w:rPr>
        <w:t> </w:t>
      </w:r>
      <w:r>
        <w:rPr/>
        <w:t>A.K.</w:t>
      </w:r>
      <w:r>
        <w:rPr>
          <w:spacing w:val="1"/>
        </w:rPr>
        <w:t> </w:t>
      </w:r>
      <w:r>
        <w:rPr/>
        <w:t>Haruna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support,</w:t>
      </w:r>
      <w:r>
        <w:rPr>
          <w:spacing w:val="1"/>
        </w:rPr>
        <w:t> </w:t>
      </w:r>
      <w:r>
        <w:rPr/>
        <w:t>encouragement and guidance academically,</w:t>
      </w:r>
      <w:r>
        <w:rPr>
          <w:spacing w:val="1"/>
        </w:rPr>
        <w:t> </w:t>
      </w:r>
      <w:r>
        <w:rPr/>
        <w:t>morally and financially. I pray that Allah</w:t>
      </w:r>
      <w:r>
        <w:rPr>
          <w:spacing w:val="1"/>
        </w:rPr>
        <w:t> </w:t>
      </w:r>
      <w:r>
        <w:rPr/>
        <w:t>rewardthemabundantly.IwouldalsoliketosincerelyappreciateProf.M.I.Sule,Prof.</w:t>
      </w:r>
    </w:p>
    <w:p>
      <w:pPr>
        <w:pStyle w:val="BodyText"/>
        <w:spacing w:line="237" w:lineRule="auto" w:before="4"/>
        <w:ind w:left="312" w:right="704"/>
        <w:jc w:val="both"/>
      </w:pPr>
      <w:r>
        <w:rPr/>
        <w:t>U.U. Pateh and Mal I. M. Iliyasu for their assistance towards the realization of this project;</w:t>
      </w:r>
      <w:r>
        <w:rPr>
          <w:spacing w:val="-57"/>
        </w:rPr>
        <w:t> </w:t>
      </w:r>
      <w:r>
        <w:rPr/>
        <w:t>thank</w:t>
      </w:r>
      <w:r>
        <w:rPr>
          <w:spacing w:val="5"/>
        </w:rPr>
        <w:t> </w:t>
      </w:r>
      <w:r>
        <w:rPr/>
        <w:t>you</w:t>
      </w:r>
      <w:r>
        <w:rPr>
          <w:spacing w:val="1"/>
        </w:rPr>
        <w:t> </w:t>
      </w:r>
      <w:r>
        <w:rPr/>
        <w:t>all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May</w:t>
      </w:r>
      <w:r>
        <w:rPr>
          <w:spacing w:val="-3"/>
        </w:rPr>
        <w:t> </w:t>
      </w:r>
      <w:r>
        <w:rPr/>
        <w:t>Allah</w:t>
      </w:r>
      <w:r>
        <w:rPr>
          <w:spacing w:val="-4"/>
        </w:rPr>
        <w:t> </w:t>
      </w:r>
      <w:r>
        <w:rPr/>
        <w:t>reward</w:t>
      </w:r>
      <w:r>
        <w:rPr>
          <w:spacing w:val="5"/>
        </w:rPr>
        <w:t> </w:t>
      </w:r>
      <w:r>
        <w:rPr/>
        <w:t>you</w:t>
      </w:r>
      <w:r>
        <w:rPr>
          <w:spacing w:val="2"/>
        </w:rPr>
        <w:t> </w:t>
      </w:r>
      <w:r>
        <w:rPr/>
        <w:t>abundantly.</w:t>
      </w:r>
    </w:p>
    <w:p>
      <w:pPr>
        <w:pStyle w:val="BodyText"/>
        <w:spacing w:before="1"/>
      </w:pPr>
    </w:p>
    <w:p>
      <w:pPr>
        <w:pStyle w:val="BodyText"/>
        <w:ind w:left="312" w:right="697"/>
        <w:jc w:val="both"/>
      </w:pPr>
      <w:r>
        <w:rPr/>
        <w:t>I am also grateful to Prof. Mahmoud Soliman of Kwa-Zulu Natal University, Durban and</w:t>
      </w:r>
      <w:r>
        <w:rPr>
          <w:spacing w:val="1"/>
        </w:rPr>
        <w:t> </w:t>
      </w:r>
      <w:r>
        <w:rPr/>
        <w:t>his team, especially Mal Umar Ndagi for giving</w:t>
      </w:r>
      <w:r>
        <w:rPr>
          <w:spacing w:val="1"/>
        </w:rPr>
        <w:t> </w:t>
      </w:r>
      <w:r>
        <w:rPr/>
        <w:t>me the opportunity to</w:t>
      </w:r>
      <w:r>
        <w:rPr>
          <w:spacing w:val="1"/>
        </w:rPr>
        <w:t> </w:t>
      </w:r>
      <w:r>
        <w:rPr/>
        <w:t>actualize</w:t>
      </w:r>
      <w:r>
        <w:rPr>
          <w:spacing w:val="1"/>
        </w:rPr>
        <w:t> </w:t>
      </w:r>
      <w:r>
        <w:rPr/>
        <w:t>my</w:t>
      </w:r>
      <w:r>
        <w:rPr>
          <w:spacing w:val="1"/>
        </w:rPr>
        <w:t> </w:t>
      </w:r>
      <w:r>
        <w:rPr/>
        <w:t>dreams, thank you for the training on computational chemistry. I am also highly indebted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Prof</w:t>
      </w:r>
      <w:r>
        <w:rPr>
          <w:spacing w:val="1"/>
        </w:rPr>
        <w:t> </w:t>
      </w:r>
      <w:r>
        <w:rPr/>
        <w:t>Uzairu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Department,</w:t>
      </w:r>
      <w:r>
        <w:rPr>
          <w:spacing w:val="1"/>
        </w:rPr>
        <w:t> </w:t>
      </w:r>
      <w:r>
        <w:rPr/>
        <w:t>A.B.U,</w:t>
      </w:r>
      <w:r>
        <w:rPr>
          <w:spacing w:val="1"/>
        </w:rPr>
        <w:t> </w:t>
      </w:r>
      <w:r>
        <w:rPr/>
        <w:t>Zaria,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guidance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encouragement</w:t>
      </w:r>
      <w:r>
        <w:rPr>
          <w:spacing w:val="6"/>
        </w:rPr>
        <w:t> </w:t>
      </w:r>
      <w:r>
        <w:rPr/>
        <w:t>on</w:t>
      </w:r>
      <w:r>
        <w:rPr>
          <w:spacing w:val="-3"/>
        </w:rPr>
        <w:t> </w:t>
      </w:r>
      <w:r>
        <w:rPr/>
        <w:t>computational</w:t>
      </w:r>
      <w:r>
        <w:rPr>
          <w:spacing w:val="-3"/>
        </w:rPr>
        <w:t> </w:t>
      </w:r>
      <w:r>
        <w:rPr/>
        <w:t>aspect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work.</w:t>
      </w:r>
    </w:p>
    <w:p>
      <w:pPr>
        <w:pStyle w:val="BodyText"/>
        <w:spacing w:before="1"/>
      </w:pPr>
    </w:p>
    <w:p>
      <w:pPr>
        <w:pStyle w:val="BodyText"/>
        <w:ind w:left="312" w:right="687"/>
        <w:jc w:val="both"/>
      </w:pPr>
      <w:r>
        <w:rPr/>
        <w:t>To the staff of Phamaceutical and Medicinal Chemistry, A.B.U, Zaria, you were all there</w:t>
      </w:r>
      <w:r>
        <w:rPr>
          <w:spacing w:val="1"/>
        </w:rPr>
        <w:t> </w:t>
      </w:r>
      <w:r>
        <w:rPr/>
        <w:t>for me throughout the struggle, I really appreciate it all. I am also grateful to Dr. (Mrs)</w:t>
      </w:r>
      <w:r>
        <w:rPr>
          <w:spacing w:val="1"/>
        </w:rPr>
        <w:t> </w:t>
      </w:r>
      <w:r>
        <w:rPr/>
        <w:t>Amina</w:t>
      </w:r>
      <w:r>
        <w:rPr>
          <w:spacing w:val="1"/>
        </w:rPr>
        <w:t> </w:t>
      </w:r>
      <w:r>
        <w:rPr/>
        <w:t>Busola</w:t>
      </w:r>
      <w:r>
        <w:rPr>
          <w:spacing w:val="1"/>
        </w:rPr>
        <w:t> </w:t>
      </w:r>
      <w:r>
        <w:rPr/>
        <w:t>Olorukooba,</w:t>
      </w:r>
      <w:r>
        <w:rPr>
          <w:spacing w:val="1"/>
        </w:rPr>
        <w:t> </w:t>
      </w:r>
      <w:r>
        <w:rPr/>
        <w:t>Mrs</w:t>
      </w:r>
      <w:r>
        <w:rPr>
          <w:spacing w:val="1"/>
        </w:rPr>
        <w:t> </w:t>
      </w:r>
      <w:r>
        <w:rPr/>
        <w:t>Aisha</w:t>
      </w:r>
      <w:r>
        <w:rPr>
          <w:spacing w:val="1"/>
        </w:rPr>
        <w:t> </w:t>
      </w:r>
      <w:r>
        <w:rPr/>
        <w:t>Shehu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Mal</w:t>
      </w:r>
      <w:r>
        <w:rPr>
          <w:spacing w:val="1"/>
        </w:rPr>
        <w:t> </w:t>
      </w:r>
      <w:r>
        <w:rPr/>
        <w:t>Aliyu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assisting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pharmacological screening, Mr Dilip, Mal Buhari and Anita of Chemistry Department,</w:t>
      </w:r>
      <w:r>
        <w:rPr>
          <w:spacing w:val="1"/>
        </w:rPr>
        <w:t> </w:t>
      </w:r>
      <w:r>
        <w:rPr/>
        <w:t>Kwa-Zulu</w:t>
      </w:r>
      <w:r>
        <w:rPr>
          <w:spacing w:val="1"/>
        </w:rPr>
        <w:t> </w:t>
      </w:r>
      <w:r>
        <w:rPr/>
        <w:t>Natal</w:t>
      </w:r>
      <w:r>
        <w:rPr>
          <w:spacing w:val="-8"/>
        </w:rPr>
        <w:t> </w:t>
      </w:r>
      <w:r>
        <w:rPr/>
        <w:t>University,</w:t>
      </w:r>
      <w:r>
        <w:rPr>
          <w:spacing w:val="3"/>
        </w:rPr>
        <w:t> </w:t>
      </w:r>
      <w:r>
        <w:rPr/>
        <w:t>Durban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the spectroscopic analysis.</w:t>
      </w:r>
    </w:p>
    <w:p>
      <w:pPr>
        <w:pStyle w:val="BodyText"/>
        <w:spacing w:before="3"/>
        <w:ind w:left="312" w:right="701"/>
        <w:jc w:val="both"/>
      </w:pPr>
      <w:r>
        <w:rPr/>
        <w:t>My special appreciation goes to the</w:t>
      </w:r>
      <w:r>
        <w:rPr>
          <w:spacing w:val="1"/>
        </w:rPr>
        <w:t> </w:t>
      </w:r>
      <w:r>
        <w:rPr/>
        <w:t>family of</w:t>
      </w:r>
      <w:r>
        <w:rPr>
          <w:spacing w:val="1"/>
        </w:rPr>
        <w:t> </w:t>
      </w:r>
      <w:r>
        <w:rPr/>
        <w:t>Late Alkali Hamza</w:t>
      </w:r>
      <w:r>
        <w:rPr>
          <w:spacing w:val="1"/>
        </w:rPr>
        <w:t> </w:t>
      </w:r>
      <w:r>
        <w:rPr/>
        <w:t>Muh‗d Bichi,</w:t>
      </w:r>
      <w:r>
        <w:rPr>
          <w:spacing w:val="1"/>
        </w:rPr>
        <w:t> </w:t>
      </w:r>
      <w:r>
        <w:rPr/>
        <w:t>my</w:t>
      </w:r>
      <w:r>
        <w:rPr>
          <w:spacing w:val="1"/>
        </w:rPr>
        <w:t> </w:t>
      </w:r>
      <w:r>
        <w:rPr/>
        <w:t>husband: Muh‗d Nasiru Nasarawa, my children and</w:t>
      </w:r>
      <w:r>
        <w:rPr>
          <w:spacing w:val="1"/>
        </w:rPr>
        <w:t> </w:t>
      </w:r>
      <w:r>
        <w:rPr/>
        <w:t>my friends, far too numerous to</w:t>
      </w:r>
      <w:r>
        <w:rPr>
          <w:spacing w:val="1"/>
        </w:rPr>
        <w:t> </w:t>
      </w:r>
      <w:r>
        <w:rPr/>
        <w:t>mention.</w:t>
      </w:r>
    </w:p>
    <w:p>
      <w:pPr>
        <w:pStyle w:val="BodyText"/>
        <w:spacing w:line="242" w:lineRule="auto"/>
        <w:ind w:left="312" w:right="692"/>
        <w:jc w:val="both"/>
      </w:pPr>
      <w:r>
        <w:rPr/>
        <w:t>I also thank the Tertiary Education Trust Fund (TETFund) for the financial sponsorship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computational</w:t>
      </w:r>
      <w:r>
        <w:rPr>
          <w:spacing w:val="-8"/>
        </w:rPr>
        <w:t> </w:t>
      </w:r>
      <w:r>
        <w:rPr/>
        <w:t>work.</w:t>
      </w:r>
    </w:p>
    <w:p>
      <w:pPr>
        <w:spacing w:after="0" w:line="242" w:lineRule="auto"/>
        <w:jc w:val="both"/>
        <w:sectPr>
          <w:headerReference w:type="default" r:id="rId14"/>
          <w:footerReference w:type="default" r:id="rId1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6"/>
          <w:footerReference w:type="default" r:id="rId17"/>
          <w:pgSz w:w="11910" w:h="16840"/>
          <w:pgMar w:header="1303" w:footer="2318" w:top="1560" w:bottom="2277" w:left="1560" w:right="60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047" w:val="right" w:leader="dot"/>
            </w:tabs>
            <w:spacing w:before="247"/>
            <w:ind w:left="312" w:firstLine="0"/>
          </w:pPr>
          <w:r>
            <w:rPr/>
            <w:t>TITLE</w:t>
          </w:r>
          <w:r>
            <w:rPr>
              <w:spacing w:val="-1"/>
            </w:rPr>
            <w:t> </w:t>
          </w:r>
          <w:r>
            <w:rPr/>
            <w:t>PAGE</w:t>
            <w:tab/>
            <w:t>ii</w:t>
          </w:r>
        </w:p>
        <w:p>
          <w:pPr>
            <w:pStyle w:val="TOC1"/>
            <w:tabs>
              <w:tab w:pos="9047" w:val="right" w:leader="dot"/>
            </w:tabs>
            <w:spacing w:before="277"/>
            <w:ind w:left="312" w:firstLine="0"/>
          </w:pPr>
          <w:r>
            <w:rPr/>
            <w:t>DECLARATION</w:t>
            <w:tab/>
            <w:t>iii</w:t>
          </w:r>
        </w:p>
        <w:p>
          <w:pPr>
            <w:pStyle w:val="TOC1"/>
            <w:tabs>
              <w:tab w:pos="9047" w:val="right" w:leader="dot"/>
            </w:tabs>
            <w:ind w:left="312" w:firstLine="0"/>
          </w:pPr>
          <w:r>
            <w:rPr/>
            <w:t>CERTIFICATION</w:t>
            <w:tab/>
            <w:t>iv</w:t>
          </w:r>
        </w:p>
        <w:p>
          <w:pPr>
            <w:pStyle w:val="TOC1"/>
            <w:tabs>
              <w:tab w:pos="9047" w:val="right" w:leader="dot"/>
            </w:tabs>
            <w:ind w:left="312" w:firstLine="0"/>
          </w:pPr>
          <w:hyperlink w:history="true" w:anchor="_TOC_250092">
            <w:r>
              <w:rPr/>
              <w:t>DEDICATION</w:t>
              <w:tab/>
              <w:t>v</w:t>
            </w:r>
          </w:hyperlink>
        </w:p>
        <w:p>
          <w:pPr>
            <w:pStyle w:val="TOC1"/>
            <w:tabs>
              <w:tab w:pos="9046" w:val="right" w:leader="dot"/>
            </w:tabs>
            <w:ind w:left="312" w:firstLine="0"/>
          </w:pPr>
          <w:r>
            <w:rPr/>
            <w:t>ACKNOWLEDGEMENT</w:t>
            <w:tab/>
            <w:t>vi</w:t>
          </w:r>
        </w:p>
        <w:p>
          <w:pPr>
            <w:pStyle w:val="TOC1"/>
            <w:tabs>
              <w:tab w:pos="9046" w:val="right" w:leader="dot"/>
            </w:tabs>
            <w:ind w:left="312" w:firstLine="0"/>
          </w:pPr>
          <w:r>
            <w:rPr/>
            <w:t>TABLE</w:t>
          </w:r>
          <w:r>
            <w:rPr>
              <w:spacing w:val="-1"/>
            </w:rPr>
            <w:t> </w:t>
          </w:r>
          <w:r>
            <w:rPr/>
            <w:t>OF CONTENTS</w:t>
            <w:tab/>
            <w:t>vii</w:t>
          </w:r>
        </w:p>
        <w:p>
          <w:pPr>
            <w:pStyle w:val="TOC1"/>
            <w:tabs>
              <w:tab w:pos="9041" w:val="right" w:leader="dot"/>
            </w:tabs>
            <w:ind w:left="312" w:firstLine="0"/>
          </w:pPr>
          <w:hyperlink w:history="true" w:anchor="_TOC_250091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 TABLES</w:t>
              <w:tab/>
              <w:t>xiii</w:t>
            </w:r>
          </w:hyperlink>
        </w:p>
        <w:p>
          <w:pPr>
            <w:pStyle w:val="TOC1"/>
            <w:tabs>
              <w:tab w:pos="9042" w:val="right" w:leader="dot"/>
            </w:tabs>
            <w:spacing w:before="277"/>
            <w:ind w:left="312" w:firstLine="0"/>
          </w:pPr>
          <w:hyperlink w:history="true" w:anchor="_TOC_250090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 FIGURES</w:t>
              <w:tab/>
              <w:t>xiv</w:t>
            </w:r>
          </w:hyperlink>
        </w:p>
        <w:p>
          <w:pPr>
            <w:pStyle w:val="TOC1"/>
            <w:tabs>
              <w:tab w:pos="9041" w:val="right" w:leader="dot"/>
            </w:tabs>
            <w:ind w:left="312" w:firstLine="0"/>
          </w:pPr>
          <w:r>
            <w:rPr/>
            <w:t>LIST</w:t>
          </w:r>
          <w:r>
            <w:rPr>
              <w:spacing w:val="-1"/>
            </w:rPr>
            <w:t> </w:t>
          </w:r>
          <w:r>
            <w:rPr/>
            <w:t>OF APPENDICES</w:t>
            <w:tab/>
            <w:t>xvii</w:t>
          </w:r>
        </w:p>
        <w:p>
          <w:pPr>
            <w:pStyle w:val="TOC1"/>
            <w:tabs>
              <w:tab w:pos="9041" w:val="right" w:leader="dot"/>
            </w:tabs>
            <w:ind w:left="312" w:firstLine="0"/>
          </w:pPr>
          <w:hyperlink w:history="true" w:anchor="_TOC_250089">
            <w:r>
              <w:rPr/>
              <w:t>ABBREVIATION</w:t>
              <w:tab/>
              <w:t>xxii</w:t>
            </w:r>
          </w:hyperlink>
        </w:p>
        <w:p>
          <w:pPr>
            <w:pStyle w:val="TOC1"/>
            <w:tabs>
              <w:tab w:pos="9042" w:val="right" w:leader="dot"/>
            </w:tabs>
            <w:spacing w:before="277"/>
            <w:ind w:left="312" w:firstLine="0"/>
          </w:pPr>
          <w:hyperlink w:history="true" w:anchor="_TOC_250088">
            <w:r>
              <w:rPr/>
              <w:t>ABSTRACT</w:t>
              <w:tab/>
              <w:t>xxv</w:t>
            </w:r>
          </w:hyperlink>
        </w:p>
        <w:p>
          <w:pPr>
            <w:pStyle w:val="TOC1"/>
            <w:tabs>
              <w:tab w:pos="9047" w:val="right" w:leader="dot"/>
            </w:tabs>
            <w:ind w:left="312" w:firstLine="0"/>
          </w:pPr>
          <w:hyperlink w:history="true" w:anchor="_TOC_250087">
            <w:r>
              <w:rPr/>
              <w:t>CHAPTER ONE</w:t>
              <w:tab/>
              <w:t>1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975" w:val="left" w:leader="none"/>
              <w:tab w:pos="976" w:val="left" w:leader="none"/>
              <w:tab w:pos="9047" w:val="right" w:leader="dot"/>
            </w:tabs>
            <w:spacing w:line="240" w:lineRule="auto" w:before="276" w:after="0"/>
            <w:ind w:left="975" w:right="0" w:hanging="664"/>
            <w:jc w:val="left"/>
          </w:pPr>
          <w:hyperlink w:history="true" w:anchor="_TOC_250086">
            <w:r>
              <w:rPr/>
              <w:t>INTRODUCTION</w:t>
              <w:tab/>
              <w:t>1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678" w:val="left" w:leader="none"/>
              <w:tab w:pos="9047" w:val="righ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85">
            <w:r>
              <w:rPr/>
              <w:t>Statement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Research</w:t>
            </w:r>
            <w:r>
              <w:rPr>
                <w:spacing w:val="2"/>
              </w:rPr>
              <w:t> </w:t>
            </w:r>
            <w:r>
              <w:rPr/>
              <w:t>Problem</w:t>
              <w:tab/>
              <w:t>6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678" w:val="left" w:leader="none"/>
              <w:tab w:pos="9047" w:val="righ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84">
            <w:r>
              <w:rPr/>
              <w:t>Justification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4"/>
              </w:rPr>
              <w:t> </w:t>
            </w:r>
            <w:r>
              <w:rPr/>
              <w:t>Study</w:t>
              <w:tab/>
              <w:t>7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678" w:val="left" w:leader="none"/>
              <w:tab w:pos="9047" w:val="righ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83">
            <w:r>
              <w:rPr/>
              <w:t>Aim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Objectives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Study</w:t>
              <w:tab/>
              <w:t>8</w:t>
            </w:r>
          </w:hyperlink>
        </w:p>
        <w:p>
          <w:pPr>
            <w:pStyle w:val="TOC1"/>
            <w:numPr>
              <w:ilvl w:val="1"/>
              <w:numId w:val="1"/>
            </w:numPr>
            <w:tabs>
              <w:tab w:pos="678" w:val="left" w:leader="none"/>
              <w:tab w:pos="9047" w:val="right" w:leader="dot"/>
            </w:tabs>
            <w:spacing w:line="240" w:lineRule="auto" w:before="277" w:after="0"/>
            <w:ind w:left="677" w:right="0" w:hanging="366"/>
            <w:jc w:val="left"/>
          </w:pPr>
          <w:hyperlink w:history="true" w:anchor="_TOC_250082">
            <w:r>
              <w:rPr/>
              <w:t>Research</w:t>
            </w:r>
            <w:r>
              <w:rPr>
                <w:spacing w:val="1"/>
              </w:rPr>
              <w:t> </w:t>
            </w:r>
            <w:r>
              <w:rPr/>
              <w:t>Hypothesis</w:t>
              <w:tab/>
              <w:t>9</w:t>
            </w:r>
          </w:hyperlink>
        </w:p>
        <w:p>
          <w:pPr>
            <w:pStyle w:val="TOC1"/>
            <w:tabs>
              <w:tab w:pos="9047" w:val="right" w:leader="dot"/>
            </w:tabs>
            <w:spacing w:before="271"/>
            <w:ind w:left="312" w:firstLine="0"/>
          </w:pPr>
          <w:hyperlink w:history="true" w:anchor="_TOC_250081">
            <w:r>
              <w:rPr/>
              <w:t>CHAPTER TWO</w:t>
              <w:tab/>
              <w:t>10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975" w:val="left" w:leader="none"/>
              <w:tab w:pos="976" w:val="left" w:leader="none"/>
              <w:tab w:pos="9047" w:val="right" w:leader="dot"/>
            </w:tabs>
            <w:spacing w:line="240" w:lineRule="auto" w:before="276" w:after="0"/>
            <w:ind w:left="975" w:right="0" w:hanging="664"/>
            <w:jc w:val="left"/>
          </w:pPr>
          <w:hyperlink w:history="true" w:anchor="_TOC_250080">
            <w:r>
              <w:rPr/>
              <w:t>LITERATURE</w:t>
            </w:r>
            <w:r>
              <w:rPr>
                <w:spacing w:val="-1"/>
              </w:rPr>
              <w:t> </w:t>
            </w:r>
            <w:r>
              <w:rPr/>
              <w:t>REVIEW</w:t>
              <w:tab/>
              <w:t>10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73" w:val="left" w:leader="none"/>
              <w:tab w:pos="9047" w:val="right" w:leader="dot"/>
            </w:tabs>
            <w:spacing w:line="240" w:lineRule="auto" w:before="276" w:after="0"/>
            <w:ind w:left="672" w:right="0" w:hanging="361"/>
            <w:jc w:val="left"/>
          </w:pPr>
          <w:hyperlink w:history="true" w:anchor="_TOC_250079">
            <w:r>
              <w:rPr/>
              <w:t>Malaria</w:t>
              <w:tab/>
              <w:t>10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799" w:val="left" w:leader="none"/>
              <w:tab w:pos="9047" w:val="right" w:leader="dot"/>
            </w:tabs>
            <w:spacing w:line="240" w:lineRule="auto" w:before="272" w:after="0"/>
            <w:ind w:left="798" w:right="0" w:hanging="487"/>
            <w:jc w:val="left"/>
          </w:pPr>
          <w:hyperlink w:history="true" w:anchor="_TOC_250078">
            <w:r>
              <w:rPr/>
              <w:t>Pathogenesis</w:t>
              <w:tab/>
              <w:t>10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6" w:after="240"/>
            <w:ind w:left="854" w:right="0" w:hanging="543"/>
            <w:jc w:val="left"/>
          </w:pPr>
          <w:hyperlink w:history="true" w:anchor="_TOC_250077">
            <w:r>
              <w:rPr/>
              <w:t>Chemotherapy</w:t>
              <w:tab/>
              <w:t>12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70" w:after="0"/>
            <w:ind w:left="854" w:right="0" w:hanging="543"/>
            <w:jc w:val="left"/>
          </w:pPr>
          <w:hyperlink w:history="true" w:anchor="_TOC_250076">
            <w:r>
              <w:rPr/>
              <w:t>Novel</w:t>
            </w:r>
            <w:r>
              <w:rPr>
                <w:spacing w:val="-4"/>
              </w:rPr>
              <w:t> </w:t>
            </w:r>
            <w:r>
              <w:rPr/>
              <w:t>malaria</w:t>
            </w:r>
            <w:r>
              <w:rPr>
                <w:spacing w:val="1"/>
              </w:rPr>
              <w:t> </w:t>
            </w:r>
            <w:r>
              <w:rPr/>
              <w:t>targets</w:t>
              <w:tab/>
              <w:t>13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78" w:val="left" w:leader="none"/>
              <w:tab w:pos="9047" w:val="right" w:leader="dot"/>
            </w:tabs>
            <w:spacing w:line="240" w:lineRule="auto" w:before="280" w:after="0"/>
            <w:ind w:left="677" w:right="0" w:hanging="366"/>
            <w:jc w:val="left"/>
          </w:pPr>
          <w:hyperlink w:history="true" w:anchor="_TOC_250075">
            <w:r>
              <w:rPr/>
              <w:t>The Proteases</w:t>
              <w:tab/>
              <w:t>13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2" w:after="0"/>
            <w:ind w:left="854" w:right="0" w:hanging="543"/>
            <w:jc w:val="left"/>
          </w:pPr>
          <w:hyperlink w:history="true" w:anchor="_TOC_250074">
            <w:r>
              <w:rPr/>
              <w:t>Cysteine protease</w:t>
              <w:tab/>
              <w:t>14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73">
            <w:r>
              <w:rPr/>
              <w:t>Aspartic proteases</w:t>
              <w:tab/>
              <w:t>16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72">
            <w:r>
              <w:rPr/>
              <w:t>Mechanism</w:t>
            </w:r>
            <w:r>
              <w:rPr>
                <w:spacing w:val="-8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hemoglobin</w:t>
            </w:r>
            <w:r>
              <w:rPr>
                <w:spacing w:val="2"/>
              </w:rPr>
              <w:t> </w:t>
            </w:r>
            <w:r>
              <w:rPr/>
              <w:t>degradation</w:t>
            </w:r>
            <w:r>
              <w:rPr>
                <w:spacing w:val="-3"/>
              </w:rPr>
              <w:t> </w:t>
            </w:r>
            <w:r>
              <w:rPr/>
              <w:t>by</w:t>
            </w:r>
            <w:r>
              <w:rPr>
                <w:spacing w:val="-3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protease</w:t>
              <w:tab/>
              <w:t>18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7" w:after="0"/>
            <w:ind w:left="854" w:right="0" w:hanging="543"/>
            <w:jc w:val="left"/>
          </w:pPr>
          <w:hyperlink w:history="true" w:anchor="_TOC_250071">
            <w:r>
              <w:rPr/>
              <w:t>Protease inhibitors</w:t>
              <w:tab/>
              <w:t>20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78" w:val="left" w:leader="none"/>
              <w:tab w:pos="9047" w:val="right" w:leader="dot"/>
            </w:tabs>
            <w:spacing w:line="240" w:lineRule="auto" w:before="281" w:after="0"/>
            <w:ind w:left="677" w:right="0" w:hanging="366"/>
            <w:jc w:val="left"/>
          </w:pPr>
          <w:hyperlink w:history="true" w:anchor="_TOC_250070">
            <w:r>
              <w:rPr/>
              <w:t>Chalcones</w:t>
              <w:tab/>
              <w:t>21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1" w:after="0"/>
            <w:ind w:left="854" w:right="0" w:hanging="543"/>
            <w:jc w:val="left"/>
          </w:pPr>
          <w:hyperlink w:history="true" w:anchor="_TOC_250069">
            <w:r>
              <w:rPr/>
              <w:t>Chemistry</w:t>
            </w:r>
            <w:r>
              <w:rPr>
                <w:spacing w:val="-8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chalcones</w:t>
              <w:tab/>
              <w:t>21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68">
            <w:r>
              <w:rPr/>
              <w:t>Chemical</w:t>
            </w:r>
            <w:r>
              <w:rPr>
                <w:spacing w:val="-4"/>
              </w:rPr>
              <w:t> </w:t>
            </w:r>
            <w:r>
              <w:rPr/>
              <w:t>synthesis</w:t>
              <w:tab/>
              <w:t>23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67">
            <w:r>
              <w:rPr/>
              <w:t>Chalcones</w:t>
            </w:r>
            <w:r>
              <w:rPr>
                <w:spacing w:val="-1"/>
              </w:rPr>
              <w:t> </w:t>
            </w:r>
            <w:r>
              <w:rPr/>
              <w:t>as protease</w:t>
            </w:r>
            <w:r>
              <w:rPr>
                <w:spacing w:val="1"/>
              </w:rPr>
              <w:t> </w:t>
            </w:r>
            <w:r>
              <w:rPr/>
              <w:t>inhibitors</w:t>
              <w:tab/>
              <w:t>24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66">
            <w:r>
              <w:rPr/>
              <w:t>Present</w:t>
            </w:r>
            <w:r>
              <w:rPr>
                <w:spacing w:val="6"/>
              </w:rPr>
              <w:t> </w:t>
            </w:r>
            <w:r>
              <w:rPr/>
              <w:t>work</w:t>
              <w:tab/>
              <w:t>31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78" w:val="left" w:leader="none"/>
              <w:tab w:pos="9047" w:val="right" w:leader="dot"/>
            </w:tabs>
            <w:spacing w:line="240" w:lineRule="auto" w:before="282" w:after="0"/>
            <w:ind w:left="677" w:right="0" w:hanging="366"/>
            <w:jc w:val="left"/>
          </w:pPr>
          <w:hyperlink w:history="true" w:anchor="_TOC_250065">
            <w:r>
              <w:rPr/>
              <w:t>Computational</w:t>
            </w:r>
            <w:r>
              <w:rPr>
                <w:spacing w:val="-4"/>
              </w:rPr>
              <w:t> </w:t>
            </w:r>
            <w:r>
              <w:rPr/>
              <w:t>Chemistry</w:t>
              <w:tab/>
              <w:t>32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55" w:val="left" w:leader="none"/>
              <w:tab w:pos="9047" w:val="right" w:leader="dot"/>
            </w:tabs>
            <w:spacing w:line="240" w:lineRule="auto" w:before="271" w:after="0"/>
            <w:ind w:left="854" w:right="0" w:hanging="543"/>
            <w:jc w:val="left"/>
          </w:pPr>
          <w:hyperlink w:history="true" w:anchor="_TOC_250064">
            <w:r>
              <w:rPr/>
              <w:t>Computer-assisted</w:t>
            </w:r>
            <w:r>
              <w:rPr>
                <w:spacing w:val="1"/>
              </w:rPr>
              <w:t> </w:t>
            </w:r>
            <w:r>
              <w:rPr/>
              <w:t>drug</w:t>
            </w:r>
            <w:r>
              <w:rPr>
                <w:spacing w:val="-3"/>
              </w:rPr>
              <w:t> </w:t>
            </w:r>
            <w:r>
              <w:rPr/>
              <w:t>design</w:t>
            </w:r>
            <w:r>
              <w:rPr>
                <w:spacing w:val="-3"/>
              </w:rPr>
              <w:t> </w:t>
            </w:r>
            <w:r>
              <w:rPr/>
              <w:t>(CADD)</w:t>
              <w:tab/>
              <w:t>35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678" w:val="left" w:leader="none"/>
              <w:tab w:pos="9047" w:val="right" w:leader="dot"/>
            </w:tabs>
            <w:spacing w:line="240" w:lineRule="auto" w:before="281" w:after="0"/>
            <w:ind w:left="677" w:right="0" w:hanging="366"/>
            <w:jc w:val="left"/>
          </w:pPr>
          <w:hyperlink w:history="true" w:anchor="_TOC_250063">
            <w:r>
              <w:rPr/>
              <w:t>Theoretical</w:t>
            </w:r>
            <w:r>
              <w:rPr>
                <w:spacing w:val="-4"/>
              </w:rPr>
              <w:t> </w:t>
            </w:r>
            <w:r>
              <w:rPr/>
              <w:t>Oral</w:t>
            </w:r>
            <w:r>
              <w:rPr>
                <w:spacing w:val="-3"/>
              </w:rPr>
              <w:t> </w:t>
            </w:r>
            <w:r>
              <w:rPr/>
              <w:t>Bioavailability</w:t>
              <w:tab/>
              <w:t>42</w:t>
            </w:r>
          </w:hyperlink>
        </w:p>
        <w:p>
          <w:pPr>
            <w:pStyle w:val="TOC1"/>
            <w:tabs>
              <w:tab w:pos="9047" w:val="right" w:leader="dot"/>
            </w:tabs>
            <w:ind w:left="312" w:firstLine="0"/>
          </w:pPr>
          <w:hyperlink w:history="true" w:anchor="_TOC_250062">
            <w:r>
              <w:rPr/>
              <w:t>CHAPTER THREE</w:t>
              <w:tab/>
              <w:t>43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975" w:val="left" w:leader="none"/>
              <w:tab w:pos="976" w:val="left" w:leader="none"/>
              <w:tab w:pos="9047" w:val="right" w:leader="dot"/>
            </w:tabs>
            <w:spacing w:line="240" w:lineRule="auto" w:before="276" w:after="0"/>
            <w:ind w:left="975" w:right="0" w:hanging="664"/>
            <w:jc w:val="left"/>
          </w:pPr>
          <w:hyperlink w:history="true" w:anchor="_TOC_250061">
            <w:r>
              <w:rPr/>
              <w:t>MATERIALS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METHODS</w:t>
              <w:tab/>
              <w:t>43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673" w:val="left" w:leader="none"/>
              <w:tab w:pos="9047" w:val="right" w:leader="dot"/>
            </w:tabs>
            <w:spacing w:line="240" w:lineRule="auto" w:before="276" w:after="0"/>
            <w:ind w:left="672" w:right="0" w:hanging="361"/>
            <w:jc w:val="left"/>
          </w:pPr>
          <w:hyperlink w:history="true" w:anchor="_TOC_250060">
            <w:r>
              <w:rPr/>
              <w:t>Materials</w:t>
              <w:tab/>
              <w:t>43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2" w:after="0"/>
            <w:ind w:left="798" w:right="0" w:hanging="487"/>
            <w:jc w:val="left"/>
          </w:pPr>
          <w:hyperlink w:history="true" w:anchor="_TOC_250059">
            <w:r>
              <w:rPr/>
              <w:t>Equipment</w:t>
            </w:r>
            <w:r>
              <w:rPr>
                <w:spacing w:val="6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glassware</w:t>
              <w:tab/>
              <w:t>43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58">
            <w:r>
              <w:rPr/>
              <w:t>Reagents,</w:t>
            </w:r>
            <w:r>
              <w:rPr>
                <w:spacing w:val="3"/>
              </w:rPr>
              <w:t> </w:t>
            </w:r>
            <w:r>
              <w:rPr/>
              <w:t>solvents and</w:t>
            </w:r>
            <w:r>
              <w:rPr>
                <w:spacing w:val="2"/>
              </w:rPr>
              <w:t> </w:t>
            </w:r>
            <w:r>
              <w:rPr/>
              <w:t>standard</w:t>
            </w:r>
            <w:r>
              <w:rPr>
                <w:spacing w:val="1"/>
              </w:rPr>
              <w:t> </w:t>
            </w:r>
            <w:r>
              <w:rPr/>
              <w:t>drugs</w:t>
              <w:tab/>
              <w:t>44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57">
            <w:r>
              <w:rPr/>
              <w:t>Experimental</w:t>
            </w:r>
            <w:r>
              <w:rPr>
                <w:spacing w:val="-4"/>
              </w:rPr>
              <w:t> </w:t>
            </w:r>
            <w:r>
              <w:rPr/>
              <w:t>Animals</w:t>
              <w:tab/>
              <w:t>44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7" w:after="0"/>
            <w:ind w:left="798" w:right="0" w:hanging="487"/>
            <w:jc w:val="left"/>
          </w:pPr>
          <w:hyperlink w:history="true" w:anchor="_TOC_250056">
            <w:r>
              <w:rPr/>
              <w:t>Malarial</w:t>
            </w:r>
            <w:r>
              <w:rPr>
                <w:spacing w:val="-4"/>
              </w:rPr>
              <w:t> </w:t>
            </w:r>
            <w:r>
              <w:rPr/>
              <w:t>parasite</w:t>
              <w:tab/>
              <w:t>44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55">
            <w:r>
              <w:rPr/>
              <w:t>Computer</w:t>
            </w:r>
            <w:r>
              <w:rPr>
                <w:spacing w:val="2"/>
              </w:rPr>
              <w:t> </w:t>
            </w:r>
            <w:r>
              <w:rPr/>
              <w:t>hardware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software</w:t>
              <w:tab/>
              <w:t>45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54">
            <w:r>
              <w:rPr/>
              <w:t>Protein</w:t>
            </w:r>
            <w:r>
              <w:rPr>
                <w:spacing w:val="-4"/>
              </w:rPr>
              <w:t> </w:t>
            </w:r>
            <w:r>
              <w:rPr/>
              <w:t>crystal</w:t>
            </w:r>
            <w:r>
              <w:rPr>
                <w:spacing w:val="-7"/>
              </w:rPr>
              <w:t> </w:t>
            </w:r>
            <w:r>
              <w:rPr/>
              <w:t>structure</w:t>
              <w:tab/>
              <w:t>45</w:t>
            </w:r>
          </w:hyperlink>
        </w:p>
        <w:p>
          <w:pPr>
            <w:pStyle w:val="TOC1"/>
            <w:numPr>
              <w:ilvl w:val="1"/>
              <w:numId w:val="3"/>
            </w:numPr>
            <w:tabs>
              <w:tab w:pos="673" w:val="left" w:leader="none"/>
              <w:tab w:pos="9047" w:val="right" w:leader="dot"/>
            </w:tabs>
            <w:spacing w:line="240" w:lineRule="auto" w:before="281" w:after="240"/>
            <w:ind w:left="672" w:right="0" w:hanging="361"/>
            <w:jc w:val="left"/>
          </w:pPr>
          <w:hyperlink w:history="true" w:anchor="_TOC_250053">
            <w:r>
              <w:rPr/>
              <w:t>Methods</w:t>
              <w:tab/>
              <w:t>45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855" w:val="left" w:leader="none"/>
              <w:tab w:pos="9047" w:val="right" w:leader="dot"/>
            </w:tabs>
            <w:spacing w:line="240" w:lineRule="auto" w:before="70" w:after="0"/>
            <w:ind w:left="854" w:right="0" w:hanging="543"/>
            <w:jc w:val="left"/>
          </w:pPr>
          <w:hyperlink w:history="true" w:anchor="_TOC_250052">
            <w:r>
              <w:rPr/>
              <w:t>Design</w:t>
            </w:r>
            <w:r>
              <w:rPr>
                <w:spacing w:val="-3"/>
              </w:rPr>
              <w:t> </w:t>
            </w:r>
            <w:r>
              <w:rPr/>
              <w:t>strategy</w:t>
              <w:tab/>
              <w:t>45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51">
            <w:r>
              <w:rPr/>
              <w:t>Evaluation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theoretical</w:t>
            </w:r>
            <w:r>
              <w:rPr>
                <w:spacing w:val="-3"/>
              </w:rPr>
              <w:t> </w:t>
            </w:r>
            <w:r>
              <w:rPr/>
              <w:t>oral</w:t>
            </w:r>
            <w:r>
              <w:rPr>
                <w:spacing w:val="-3"/>
              </w:rPr>
              <w:t> </w:t>
            </w:r>
            <w:r>
              <w:rPr/>
              <w:t>bioavailability</w:t>
              <w:tab/>
              <w:t>47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50">
            <w:r>
              <w:rPr/>
              <w:t>Synthesis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7"/>
              </w:rPr>
              <w:t> </w:t>
            </w:r>
            <w:r>
              <w:rPr/>
              <w:t>chalcones (Claisen</w:t>
            </w:r>
            <w:r>
              <w:rPr>
                <w:spacing w:val="1"/>
              </w:rPr>
              <w:t> </w:t>
            </w:r>
            <w:r>
              <w:rPr/>
              <w:t>–Schmidt</w:t>
            </w:r>
            <w:r>
              <w:rPr>
                <w:spacing w:val="6"/>
              </w:rPr>
              <w:t> </w:t>
            </w:r>
            <w:r>
              <w:rPr/>
              <w:t>Condensation)</w:t>
              <w:tab/>
              <w:t>47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49">
            <w:r>
              <w:rPr/>
              <w:t>Procedure for</w:t>
            </w:r>
            <w:r>
              <w:rPr>
                <w:spacing w:val="-1"/>
              </w:rPr>
              <w:t> </w:t>
            </w:r>
            <w:r>
              <w:rPr/>
              <w:t>the synthesis of</w:t>
            </w:r>
            <w:r>
              <w:rPr>
                <w:spacing w:val="-7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substituted</w:t>
            </w:r>
            <w:r>
              <w:rPr>
                <w:spacing w:val="-3"/>
              </w:rPr>
              <w:t> </w:t>
            </w:r>
            <w:r>
              <w:rPr/>
              <w:t>chalcones</w:t>
              <w:tab/>
              <w:t>48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48">
            <w:r>
              <w:rPr/>
              <w:t>Characterization</w:t>
              <w:tab/>
              <w:t>50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7" w:after="0"/>
            <w:ind w:left="798" w:right="0" w:hanging="487"/>
            <w:jc w:val="left"/>
          </w:pPr>
          <w:hyperlink w:history="true" w:anchor="_TOC_250047">
            <w:r>
              <w:rPr/>
              <w:t>Evaluation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>
                <w:i/>
              </w:rPr>
              <w:t>in</w:t>
            </w:r>
            <w:r>
              <w:rPr>
                <w:i/>
                <w:spacing w:val="2"/>
              </w:rPr>
              <w:t> </w:t>
            </w:r>
            <w:r>
              <w:rPr>
                <w:i/>
              </w:rPr>
              <w:t>vivo</w:t>
            </w:r>
            <w:r>
              <w:rPr>
                <w:i/>
                <w:spacing w:val="2"/>
              </w:rPr>
              <w:t> </w:t>
            </w:r>
            <w:r>
              <w:rPr/>
              <w:t>antiplasmodial</w:t>
            </w:r>
            <w:r>
              <w:rPr>
                <w:spacing w:val="-8"/>
              </w:rPr>
              <w:t> </w:t>
            </w:r>
            <w:r>
              <w:rPr/>
              <w:t>activity</w:t>
              <w:tab/>
              <w:t>51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856" w:val="left" w:leader="none"/>
              <w:tab w:pos="9047" w:val="right" w:leader="dot"/>
            </w:tabs>
            <w:spacing w:line="240" w:lineRule="auto" w:before="276" w:after="0"/>
            <w:ind w:left="855" w:right="0" w:hanging="544"/>
            <w:jc w:val="left"/>
          </w:pPr>
          <w:hyperlink w:history="true" w:anchor="_TOC_250046">
            <w:r>
              <w:rPr>
                <w:i/>
              </w:rPr>
              <w:t>In</w:t>
            </w:r>
            <w:r>
              <w:rPr>
                <w:i/>
                <w:spacing w:val="1"/>
              </w:rPr>
              <w:t> </w:t>
            </w:r>
            <w:r>
              <w:rPr>
                <w:i/>
              </w:rPr>
              <w:t>vit</w:t>
            </w:r>
            <w:r>
              <w:rPr/>
              <w:t>ro</w:t>
            </w:r>
            <w:r>
              <w:rPr>
                <w:spacing w:val="5"/>
              </w:rPr>
              <w:t> </w:t>
            </w:r>
            <w:r>
              <w:rPr/>
              <w:t>determination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7"/>
              </w:rPr>
              <w:t> </w:t>
            </w:r>
            <w:r>
              <w:rPr/>
              <w:t>hematin</w:t>
            </w:r>
            <w:r>
              <w:rPr>
                <w:spacing w:val="-4"/>
              </w:rPr>
              <w:t> </w:t>
            </w:r>
            <w:r>
              <w:rPr/>
              <w:t>polymerization</w:t>
            </w:r>
            <w:r>
              <w:rPr>
                <w:spacing w:val="2"/>
              </w:rPr>
              <w:t> </w:t>
            </w:r>
            <w:r>
              <w:rPr/>
              <w:t>inhibitory</w:t>
            </w:r>
            <w:r>
              <w:rPr>
                <w:spacing w:val="-9"/>
              </w:rPr>
              <w:t> </w:t>
            </w:r>
            <w:r>
              <w:rPr/>
              <w:t>activity</w:t>
              <w:tab/>
              <w:t>52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855" w:val="left" w:leader="none"/>
              <w:tab w:pos="9047" w:val="righ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45">
            <w:r>
              <w:rPr/>
              <w:t>Data</w:t>
            </w:r>
            <w:r>
              <w:rPr>
                <w:spacing w:val="-5"/>
              </w:rPr>
              <w:t> </w:t>
            </w:r>
            <w:r>
              <w:rPr/>
              <w:t>analysis</w:t>
              <w:tab/>
              <w:t>53</w:t>
            </w:r>
          </w:hyperlink>
        </w:p>
        <w:p>
          <w:pPr>
            <w:pStyle w:val="TOC2"/>
            <w:numPr>
              <w:ilvl w:val="2"/>
              <w:numId w:val="3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44">
            <w:r>
              <w:rPr/>
              <w:t>Computational</w:t>
            </w:r>
            <w:r>
              <w:rPr>
                <w:spacing w:val="-4"/>
              </w:rPr>
              <w:t> </w:t>
            </w:r>
            <w:r>
              <w:rPr/>
              <w:t>studies</w:t>
              <w:tab/>
              <w:t>53</w:t>
            </w:r>
          </w:hyperlink>
        </w:p>
        <w:p>
          <w:pPr>
            <w:pStyle w:val="TOC1"/>
            <w:tabs>
              <w:tab w:pos="9047" w:val="right" w:leader="dot"/>
            </w:tabs>
            <w:spacing w:before="281"/>
            <w:ind w:left="312" w:firstLine="0"/>
          </w:pPr>
          <w:hyperlink w:history="true" w:anchor="_TOC_250043">
            <w:r>
              <w:rPr/>
              <w:t>CHAPTER FOUR</w:t>
              <w:tab/>
              <w:t>58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975" w:val="left" w:leader="none"/>
              <w:tab w:pos="976" w:val="left" w:leader="none"/>
              <w:tab w:pos="9047" w:val="right" w:leader="dot"/>
            </w:tabs>
            <w:spacing w:line="240" w:lineRule="auto" w:before="276" w:after="0"/>
            <w:ind w:left="975" w:right="0" w:hanging="664"/>
            <w:jc w:val="left"/>
          </w:pPr>
          <w:hyperlink w:history="true" w:anchor="_TOC_250042">
            <w:r>
              <w:rPr/>
              <w:t>RESULT</w:t>
              <w:tab/>
              <w:t>58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678" w:val="left" w:leader="none"/>
              <w:tab w:pos="9047" w:val="right" w:leader="dot"/>
            </w:tabs>
            <w:spacing w:line="240" w:lineRule="auto" w:before="277" w:after="0"/>
            <w:ind w:left="677" w:right="0" w:hanging="366"/>
            <w:jc w:val="left"/>
          </w:pPr>
          <w:hyperlink w:history="true" w:anchor="_TOC_250041">
            <w:r>
              <w:rPr/>
              <w:t>Designed</w:t>
            </w:r>
            <w:r>
              <w:rPr>
                <w:spacing w:val="1"/>
              </w:rPr>
              <w:t> </w:t>
            </w:r>
            <w:r>
              <w:rPr/>
              <w:t>Substituted</w:t>
            </w:r>
            <w:r>
              <w:rPr>
                <w:spacing w:val="2"/>
              </w:rPr>
              <w:t> </w:t>
            </w:r>
            <w:r>
              <w:rPr/>
              <w:t>Chalcones</w:t>
              <w:tab/>
              <w:t>58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678" w:val="left" w:leader="none"/>
              <w:tab w:pos="9047" w:val="righ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40">
            <w:r>
              <w:rPr/>
              <w:t>Analysis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Theoretical</w:t>
            </w:r>
            <w:r>
              <w:rPr>
                <w:spacing w:val="-3"/>
              </w:rPr>
              <w:t> </w:t>
            </w:r>
            <w:r>
              <w:rPr/>
              <w:t>Oral</w:t>
            </w:r>
            <w:r>
              <w:rPr>
                <w:spacing w:val="-3"/>
              </w:rPr>
              <w:t> </w:t>
            </w:r>
            <w:r>
              <w:rPr/>
              <w:t>Bioavailability</w:t>
              <w:tab/>
              <w:t>59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678" w:val="left" w:leader="none"/>
              <w:tab w:pos="9047" w:val="righ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39">
            <w:r>
              <w:rPr/>
              <w:t>Synthesis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Characterization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 Substituted</w:t>
            </w:r>
            <w:r>
              <w:rPr>
                <w:spacing w:val="-2"/>
              </w:rPr>
              <w:t> </w:t>
            </w:r>
            <w:r>
              <w:rPr/>
              <w:t>Chalcones</w:t>
              <w:tab/>
              <w:t>64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5" w:val="left" w:leader="none"/>
              <w:tab w:pos="9047" w:val="right" w:leader="dot"/>
            </w:tabs>
            <w:spacing w:line="240" w:lineRule="auto" w:before="271" w:after="0"/>
            <w:ind w:left="854" w:right="0" w:hanging="543"/>
            <w:jc w:val="left"/>
          </w:pPr>
          <w:hyperlink w:history="true" w:anchor="_TOC_250038">
            <w:r>
              <w:rPr/>
              <w:t>Yield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some</w:t>
            </w:r>
            <w:r>
              <w:rPr>
                <w:spacing w:val="1"/>
              </w:rPr>
              <w:t> </w:t>
            </w:r>
            <w:r>
              <w:rPr/>
              <w:t>physical</w:t>
            </w:r>
            <w:r>
              <w:rPr>
                <w:spacing w:val="-4"/>
              </w:rPr>
              <w:t> </w:t>
            </w:r>
            <w:r>
              <w:rPr/>
              <w:t>properties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substituted</w:t>
            </w:r>
            <w:r>
              <w:rPr>
                <w:spacing w:val="1"/>
              </w:rPr>
              <w:t> </w:t>
            </w:r>
            <w:r>
              <w:rPr/>
              <w:t>chalcones</w:t>
              <w:tab/>
              <w:t>64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6" w:val="left" w:leader="none"/>
              <w:tab w:pos="9047" w:val="right" w:leader="dot"/>
            </w:tabs>
            <w:spacing w:line="240" w:lineRule="auto" w:before="276" w:after="0"/>
            <w:ind w:left="855" w:right="0" w:hanging="544"/>
            <w:jc w:val="left"/>
          </w:pPr>
          <w:hyperlink w:history="true" w:anchor="_TOC_250037">
            <w:r>
              <w:rPr>
                <w:vertAlign w:val="superscript"/>
              </w:rPr>
              <w:t>1</w:t>
            </w:r>
            <w:r>
              <w:rPr>
                <w:vertAlign w:val="baseline"/>
              </w:rPr>
              <w:t>H and</w:t>
            </w:r>
            <w:r>
              <w:rPr>
                <w:spacing w:val="3"/>
                <w:vertAlign w:val="baseline"/>
              </w:rPr>
              <w:t> </w:t>
            </w:r>
            <w:r>
              <w:rPr>
                <w:vertAlign w:val="superscript"/>
              </w:rPr>
              <w:t>13</w:t>
            </w:r>
            <w:r>
              <w:rPr>
                <w:vertAlign w:val="baseline"/>
              </w:rPr>
              <w:t>C NMR Data</w:t>
            </w:r>
            <w:r>
              <w:rPr>
                <w:spacing w:val="-4"/>
                <w:vertAlign w:val="baseline"/>
              </w:rPr>
              <w:t> </w:t>
            </w:r>
            <w:r>
              <w:rPr>
                <w:vertAlign w:val="baseline"/>
              </w:rPr>
              <w:t>of</w:t>
            </w:r>
            <w:r>
              <w:rPr>
                <w:spacing w:val="-6"/>
                <w:vertAlign w:val="baseline"/>
              </w:rPr>
              <w:t> </w:t>
            </w:r>
            <w:r>
              <w:rPr>
                <w:vertAlign w:val="baseline"/>
              </w:rPr>
              <w:t>P1,</w:t>
            </w:r>
            <w:r>
              <w:rPr>
                <w:spacing w:val="3"/>
                <w:vertAlign w:val="baseline"/>
              </w:rPr>
              <w:t> </w:t>
            </w:r>
            <w:r>
              <w:rPr>
                <w:vertAlign w:val="baseline"/>
              </w:rPr>
              <w:t>P2</w:t>
            </w:r>
            <w:r>
              <w:rPr>
                <w:spacing w:val="-3"/>
                <w:vertAlign w:val="baseline"/>
              </w:rPr>
              <w:t> </w:t>
            </w:r>
            <w:r>
              <w:rPr>
                <w:vertAlign w:val="baseline"/>
              </w:rPr>
              <w:t>and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P13</w:t>
              <w:tab/>
              <w:t>66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6" w:val="left" w:leader="none"/>
              <w:tab w:pos="9047" w:val="right" w:leader="dot"/>
            </w:tabs>
            <w:spacing w:line="240" w:lineRule="auto" w:before="276" w:after="0"/>
            <w:ind w:left="855" w:right="0" w:hanging="544"/>
            <w:jc w:val="left"/>
          </w:pPr>
          <w:r>
            <w:rPr>
              <w:vertAlign w:val="superscript"/>
            </w:rPr>
            <w:t>1</w:t>
          </w:r>
          <w:r>
            <w:rPr>
              <w:vertAlign w:val="baseline"/>
            </w:rPr>
            <w:t>H and</w:t>
          </w:r>
          <w:r>
            <w:rPr>
              <w:spacing w:val="3"/>
              <w:vertAlign w:val="baseline"/>
            </w:rPr>
            <w:t> </w:t>
          </w:r>
          <w:r>
            <w:rPr>
              <w:vertAlign w:val="superscript"/>
            </w:rPr>
            <w:t>13</w:t>
          </w:r>
          <w:r>
            <w:rPr>
              <w:vertAlign w:val="baseline"/>
            </w:rPr>
            <w:t>C NMR data</w:t>
          </w:r>
          <w:r>
            <w:rPr>
              <w:spacing w:val="-4"/>
              <w:vertAlign w:val="baseline"/>
            </w:rPr>
            <w:t> </w:t>
          </w:r>
          <w:r>
            <w:rPr>
              <w:vertAlign w:val="baseline"/>
            </w:rPr>
            <w:t>of</w:t>
          </w:r>
          <w:r>
            <w:rPr>
              <w:spacing w:val="-6"/>
              <w:vertAlign w:val="baseline"/>
            </w:rPr>
            <w:t> </w:t>
          </w:r>
          <w:r>
            <w:rPr>
              <w:vertAlign w:val="baseline"/>
            </w:rPr>
            <w:t>P3,</w:t>
          </w:r>
          <w:r>
            <w:rPr>
              <w:spacing w:val="-1"/>
              <w:vertAlign w:val="baseline"/>
            </w:rPr>
            <w:t> </w:t>
          </w:r>
          <w:r>
            <w:rPr>
              <w:vertAlign w:val="baseline"/>
            </w:rPr>
            <w:t>P4</w:t>
          </w:r>
          <w:r>
            <w:rPr>
              <w:spacing w:val="1"/>
              <w:vertAlign w:val="baseline"/>
            </w:rPr>
            <w:t> </w:t>
          </w:r>
          <w:r>
            <w:rPr>
              <w:vertAlign w:val="baseline"/>
            </w:rPr>
            <w:t>and</w:t>
          </w:r>
          <w:r>
            <w:rPr>
              <w:spacing w:val="2"/>
              <w:vertAlign w:val="baseline"/>
            </w:rPr>
            <w:t> </w:t>
          </w:r>
          <w:r>
            <w:rPr>
              <w:vertAlign w:val="baseline"/>
            </w:rPr>
            <w:t>P8</w:t>
            <w:tab/>
            <w:t>68</w:t>
          </w:r>
        </w:p>
        <w:p>
          <w:pPr>
            <w:pStyle w:val="TOC2"/>
            <w:numPr>
              <w:ilvl w:val="2"/>
              <w:numId w:val="4"/>
            </w:numPr>
            <w:tabs>
              <w:tab w:pos="856" w:val="left" w:leader="none"/>
              <w:tab w:pos="9047" w:val="right" w:leader="dot"/>
            </w:tabs>
            <w:spacing w:line="240" w:lineRule="auto" w:before="277" w:after="0"/>
            <w:ind w:left="855" w:right="0" w:hanging="544"/>
            <w:jc w:val="left"/>
          </w:pPr>
          <w:hyperlink w:history="true" w:anchor="_TOC_250036">
            <w:r>
              <w:rPr>
                <w:vertAlign w:val="superscript"/>
              </w:rPr>
              <w:t>1</w:t>
            </w:r>
            <w:r>
              <w:rPr>
                <w:vertAlign w:val="baseline"/>
              </w:rPr>
              <w:t>H and</w:t>
            </w:r>
            <w:r>
              <w:rPr>
                <w:spacing w:val="3"/>
                <w:vertAlign w:val="baseline"/>
              </w:rPr>
              <w:t> </w:t>
            </w:r>
            <w:r>
              <w:rPr>
                <w:vertAlign w:val="superscript"/>
              </w:rPr>
              <w:t>13</w:t>
            </w:r>
            <w:r>
              <w:rPr>
                <w:vertAlign w:val="baseline"/>
              </w:rPr>
              <w:t>C NMR Data</w:t>
            </w:r>
            <w:r>
              <w:rPr>
                <w:spacing w:val="-4"/>
                <w:vertAlign w:val="baseline"/>
              </w:rPr>
              <w:t> </w:t>
            </w:r>
            <w:r>
              <w:rPr>
                <w:vertAlign w:val="baseline"/>
              </w:rPr>
              <w:t>of</w:t>
            </w:r>
            <w:r>
              <w:rPr>
                <w:spacing w:val="-6"/>
                <w:vertAlign w:val="baseline"/>
              </w:rPr>
              <w:t> </w:t>
            </w:r>
            <w:r>
              <w:rPr>
                <w:vertAlign w:val="baseline"/>
              </w:rPr>
              <w:t>P11,</w:t>
            </w:r>
            <w:r>
              <w:rPr>
                <w:spacing w:val="3"/>
                <w:vertAlign w:val="baseline"/>
              </w:rPr>
              <w:t> </w:t>
            </w:r>
            <w:r>
              <w:rPr>
                <w:vertAlign w:val="baseline"/>
              </w:rPr>
              <w:t>P12</w:t>
            </w:r>
            <w:r>
              <w:rPr>
                <w:spacing w:val="-3"/>
                <w:vertAlign w:val="baseline"/>
              </w:rPr>
              <w:t> </w:t>
            </w:r>
            <w:r>
              <w:rPr>
                <w:vertAlign w:val="baseline"/>
              </w:rPr>
              <w:t>and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P17</w:t>
              <w:tab/>
              <w:t>70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6" w:val="left" w:leader="none"/>
              <w:tab w:pos="9047" w:val="right" w:leader="dot"/>
            </w:tabs>
            <w:spacing w:line="240" w:lineRule="auto" w:before="276" w:after="0"/>
            <w:ind w:left="855" w:right="0" w:hanging="544"/>
            <w:jc w:val="left"/>
          </w:pPr>
          <w:hyperlink w:history="true" w:anchor="_TOC_250035">
            <w:r>
              <w:rPr>
                <w:vertAlign w:val="superscript"/>
              </w:rPr>
              <w:t>1</w:t>
            </w:r>
            <w:r>
              <w:rPr>
                <w:vertAlign w:val="baseline"/>
              </w:rPr>
              <w:t>Hand</w:t>
            </w:r>
            <w:r>
              <w:rPr>
                <w:spacing w:val="1"/>
                <w:vertAlign w:val="baseline"/>
              </w:rPr>
              <w:t> </w:t>
            </w:r>
            <w:r>
              <w:rPr>
                <w:vertAlign w:val="superscript"/>
              </w:rPr>
              <w:t>13</w:t>
            </w:r>
            <w:r>
              <w:rPr>
                <w:vertAlign w:val="baseline"/>
              </w:rPr>
              <w:t>C NMR Data</w:t>
            </w:r>
            <w:r>
              <w:rPr>
                <w:spacing w:val="-9"/>
                <w:vertAlign w:val="baseline"/>
              </w:rPr>
              <w:t> </w:t>
            </w:r>
            <w:r>
              <w:rPr>
                <w:vertAlign w:val="baseline"/>
              </w:rPr>
              <w:t>of</w:t>
            </w:r>
            <w:r>
              <w:rPr>
                <w:spacing w:val="-6"/>
                <w:vertAlign w:val="baseline"/>
              </w:rPr>
              <w:t> </w:t>
            </w:r>
            <w:r>
              <w:rPr>
                <w:vertAlign w:val="baseline"/>
              </w:rPr>
              <w:t>P15,</w:t>
            </w:r>
            <w:r>
              <w:rPr>
                <w:spacing w:val="4"/>
                <w:vertAlign w:val="baseline"/>
              </w:rPr>
              <w:t> </w:t>
            </w:r>
            <w:r>
              <w:rPr>
                <w:vertAlign w:val="baseline"/>
              </w:rPr>
              <w:t>P16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and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P23</w:t>
              <w:tab/>
              <w:t>72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6" w:val="left" w:leader="none"/>
              <w:tab w:pos="9047" w:val="right" w:leader="dot"/>
            </w:tabs>
            <w:spacing w:line="240" w:lineRule="auto" w:before="276" w:after="0"/>
            <w:ind w:left="855" w:right="0" w:hanging="544"/>
            <w:jc w:val="left"/>
          </w:pPr>
          <w:hyperlink w:history="true" w:anchor="_TOC_250034">
            <w:r>
              <w:rPr>
                <w:vertAlign w:val="superscript"/>
              </w:rPr>
              <w:t>1</w:t>
            </w:r>
            <w:r>
              <w:rPr>
                <w:vertAlign w:val="baseline"/>
              </w:rPr>
              <w:t>H and</w:t>
            </w:r>
            <w:r>
              <w:rPr>
                <w:spacing w:val="3"/>
                <w:vertAlign w:val="baseline"/>
              </w:rPr>
              <w:t> </w:t>
            </w:r>
            <w:r>
              <w:rPr>
                <w:vertAlign w:val="superscript"/>
              </w:rPr>
              <w:t>13</w:t>
            </w:r>
            <w:r>
              <w:rPr>
                <w:vertAlign w:val="baseline"/>
              </w:rPr>
              <w:t>C</w:t>
            </w:r>
            <w:r>
              <w:rPr>
                <w:spacing w:val="-1"/>
                <w:vertAlign w:val="baseline"/>
              </w:rPr>
              <w:t> </w:t>
            </w:r>
            <w:r>
              <w:rPr>
                <w:vertAlign w:val="baseline"/>
              </w:rPr>
              <w:t>NMR assignment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of</w:t>
            </w:r>
            <w:r>
              <w:rPr>
                <w:spacing w:val="-7"/>
                <w:vertAlign w:val="baseline"/>
              </w:rPr>
              <w:t> </w:t>
            </w:r>
            <w:r>
              <w:rPr>
                <w:vertAlign w:val="baseline"/>
              </w:rPr>
              <w:t>P19,</w:t>
            </w:r>
            <w:r>
              <w:rPr>
                <w:spacing w:val="4"/>
                <w:vertAlign w:val="baseline"/>
              </w:rPr>
              <w:t> </w:t>
            </w:r>
            <w:r>
              <w:rPr>
                <w:vertAlign w:val="baseline"/>
              </w:rPr>
              <w:t>P24</w:t>
            </w:r>
            <w:r>
              <w:rPr>
                <w:spacing w:val="1"/>
                <w:vertAlign w:val="baseline"/>
              </w:rPr>
              <w:t> </w:t>
            </w:r>
            <w:r>
              <w:rPr>
                <w:vertAlign w:val="baseline"/>
              </w:rPr>
              <w:t>and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P25</w:t>
              <w:tab/>
              <w:t>74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6" w:val="left" w:leader="none"/>
              <w:tab w:pos="9047" w:val="right" w:leader="dot"/>
            </w:tabs>
            <w:spacing w:line="240" w:lineRule="auto" w:before="277" w:after="0"/>
            <w:ind w:left="855" w:right="0" w:hanging="544"/>
            <w:jc w:val="left"/>
          </w:pPr>
          <w:hyperlink w:history="true" w:anchor="_TOC_250033">
            <w:r>
              <w:rPr>
                <w:vertAlign w:val="superscript"/>
              </w:rPr>
              <w:t>1</w:t>
            </w:r>
            <w:r>
              <w:rPr>
                <w:vertAlign w:val="baseline"/>
              </w:rPr>
              <w:t>Hand</w:t>
            </w:r>
            <w:r>
              <w:rPr>
                <w:spacing w:val="1"/>
                <w:vertAlign w:val="baseline"/>
              </w:rPr>
              <w:t> </w:t>
            </w:r>
            <w:r>
              <w:rPr>
                <w:vertAlign w:val="superscript"/>
              </w:rPr>
              <w:t>13</w:t>
            </w:r>
            <w:r>
              <w:rPr>
                <w:vertAlign w:val="baseline"/>
              </w:rPr>
              <w:t>C NMR data</w:t>
            </w:r>
            <w:r>
              <w:rPr>
                <w:spacing w:val="-9"/>
                <w:vertAlign w:val="baseline"/>
              </w:rPr>
              <w:t> </w:t>
            </w:r>
            <w:r>
              <w:rPr>
                <w:vertAlign w:val="baseline"/>
              </w:rPr>
              <w:t>of</w:t>
            </w:r>
            <w:r>
              <w:rPr>
                <w:spacing w:val="-6"/>
                <w:vertAlign w:val="baseline"/>
              </w:rPr>
              <w:t> </w:t>
            </w:r>
            <w:r>
              <w:rPr>
                <w:vertAlign w:val="baseline"/>
              </w:rPr>
              <w:t>P21,</w:t>
            </w:r>
            <w:r>
              <w:rPr>
                <w:spacing w:val="4"/>
                <w:vertAlign w:val="baseline"/>
              </w:rPr>
              <w:t> </w:t>
            </w:r>
            <w:r>
              <w:rPr>
                <w:vertAlign w:val="baseline"/>
              </w:rPr>
              <w:t>and</w:t>
            </w:r>
            <w:r>
              <w:rPr>
                <w:spacing w:val="2"/>
                <w:vertAlign w:val="baseline"/>
              </w:rPr>
              <w:t> </w:t>
            </w:r>
            <w:r>
              <w:rPr>
                <w:vertAlign w:val="baseline"/>
              </w:rPr>
              <w:t>P22</w:t>
              <w:tab/>
              <w:t>76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32">
            <w:r>
              <w:rPr/>
              <w:t>FT-IR</w:t>
            </w:r>
            <w:r>
              <w:rPr>
                <w:spacing w:val="-6"/>
              </w:rPr>
              <w:t> </w:t>
            </w:r>
            <w:r>
              <w:rPr/>
              <w:t>spectral</w:t>
            </w:r>
            <w:r>
              <w:rPr>
                <w:spacing w:val="-7"/>
              </w:rPr>
              <w:t> </w:t>
            </w:r>
            <w:r>
              <w:rPr/>
              <w:t>data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substituted</w:t>
            </w:r>
            <w:r>
              <w:rPr>
                <w:spacing w:val="2"/>
              </w:rPr>
              <w:t> </w:t>
            </w:r>
            <w:r>
              <w:rPr/>
              <w:t>chalcones</w:t>
              <w:tab/>
              <w:t>78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799" w:val="left" w:leader="none"/>
              <w:tab w:pos="9047" w:val="right" w:leader="dot"/>
            </w:tabs>
            <w:spacing w:line="240" w:lineRule="auto" w:before="276" w:after="0"/>
            <w:ind w:left="798" w:right="0" w:hanging="487"/>
            <w:jc w:val="left"/>
          </w:pPr>
          <w:hyperlink w:history="true" w:anchor="_TOC_250031">
            <w:r>
              <w:rPr/>
              <w:t>Mass</w:t>
            </w:r>
            <w:r>
              <w:rPr>
                <w:spacing w:val="-1"/>
              </w:rPr>
              <w:t> </w:t>
            </w:r>
            <w:r>
              <w:rPr/>
              <w:t>spectral</w:t>
            </w:r>
            <w:r>
              <w:rPr>
                <w:spacing w:val="-7"/>
              </w:rPr>
              <w:t> </w:t>
            </w:r>
            <w:r>
              <w:rPr/>
              <w:t>data</w:t>
            </w:r>
            <w:r>
              <w:rPr>
                <w:spacing w:val="1"/>
              </w:rPr>
              <w:t> </w:t>
            </w:r>
            <w:r>
              <w:rPr/>
              <w:t>of</w:t>
            </w:r>
            <w:r>
              <w:rPr>
                <w:spacing w:val="-6"/>
              </w:rPr>
              <w:t> </w:t>
            </w:r>
            <w:r>
              <w:rPr/>
              <w:t>the substituted</w:t>
            </w:r>
            <w:r>
              <w:rPr>
                <w:spacing w:val="2"/>
              </w:rPr>
              <w:t> </w:t>
            </w:r>
            <w:r>
              <w:rPr/>
              <w:t>chalcones</w:t>
              <w:tab/>
              <w:t>78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678" w:val="left" w:leader="none"/>
              <w:tab w:pos="9047" w:val="right" w:leader="dot"/>
            </w:tabs>
            <w:spacing w:line="240" w:lineRule="auto" w:before="281" w:after="240"/>
            <w:ind w:left="677" w:right="0" w:hanging="366"/>
            <w:jc w:val="left"/>
          </w:pPr>
          <w:hyperlink w:history="true" w:anchor="_TOC_250030">
            <w:r>
              <w:rPr/>
              <w:t>Antiplasmodial</w:t>
            </w:r>
            <w:r>
              <w:rPr>
                <w:spacing w:val="-4"/>
              </w:rPr>
              <w:t> </w:t>
            </w:r>
            <w:r>
              <w:rPr/>
              <w:t>Studies</w:t>
            </w:r>
            <w:r>
              <w:rPr>
                <w:spacing w:val="-1"/>
              </w:rPr>
              <w:t> </w:t>
            </w:r>
            <w:r>
              <w:rPr/>
              <w:t>on</w:t>
            </w:r>
            <w:r>
              <w:rPr>
                <w:spacing w:val="-3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Substituted</w:t>
            </w:r>
            <w:r>
              <w:rPr>
                <w:spacing w:val="1"/>
              </w:rPr>
              <w:t> </w:t>
            </w:r>
            <w:r>
              <w:rPr/>
              <w:t>Chalcones</w:t>
            </w:r>
            <w:r>
              <w:rPr>
                <w:spacing w:val="-1"/>
              </w:rPr>
              <w:t> </w:t>
            </w:r>
            <w:r>
              <w:rPr/>
              <w:t>in</w:t>
            </w:r>
            <w:r>
              <w:rPr>
                <w:spacing w:val="3"/>
              </w:rPr>
              <w:t> </w:t>
            </w:r>
            <w:r>
              <w:rPr/>
              <w:t>Mice</w:t>
              <w:tab/>
              <w:t>79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84" w:val="left" w:leader="none"/>
              <w:tab w:pos="8764" w:val="left" w:leader="dot"/>
            </w:tabs>
            <w:spacing w:line="480" w:lineRule="auto" w:before="70" w:after="0"/>
            <w:ind w:left="312" w:right="691" w:firstLine="0"/>
            <w:jc w:val="left"/>
          </w:pPr>
          <w:hyperlink w:history="true" w:anchor="_TOC_250029">
            <w:r>
              <w:rPr/>
              <w:t>Effect</w:t>
            </w:r>
            <w:r>
              <w:rPr>
                <w:spacing w:val="33"/>
              </w:rPr>
              <w:t> </w:t>
            </w:r>
            <w:r>
              <w:rPr/>
              <w:t>of</w:t>
            </w:r>
            <w:r>
              <w:rPr>
                <w:spacing w:val="20"/>
              </w:rPr>
              <w:t> </w:t>
            </w:r>
            <w:r>
              <w:rPr/>
              <w:t>P1,</w:t>
            </w:r>
            <w:r>
              <w:rPr>
                <w:spacing w:val="30"/>
              </w:rPr>
              <w:t> </w:t>
            </w:r>
            <w:r>
              <w:rPr/>
              <w:t>P2,</w:t>
            </w:r>
            <w:r>
              <w:rPr>
                <w:spacing w:val="26"/>
              </w:rPr>
              <w:t> </w:t>
            </w:r>
            <w:r>
              <w:rPr/>
              <w:t>P3,</w:t>
            </w:r>
            <w:r>
              <w:rPr>
                <w:spacing w:val="30"/>
              </w:rPr>
              <w:t> </w:t>
            </w:r>
            <w:r>
              <w:rPr/>
              <w:t>P4,</w:t>
            </w:r>
            <w:r>
              <w:rPr>
                <w:spacing w:val="30"/>
              </w:rPr>
              <w:t> </w:t>
            </w:r>
            <w:r>
              <w:rPr/>
              <w:t>P23,</w:t>
            </w:r>
            <w:r>
              <w:rPr>
                <w:spacing w:val="30"/>
              </w:rPr>
              <w:t> </w:t>
            </w:r>
            <w:r>
              <w:rPr/>
              <w:t>P24</w:t>
            </w:r>
            <w:r>
              <w:rPr>
                <w:spacing w:val="28"/>
              </w:rPr>
              <w:t> </w:t>
            </w:r>
            <w:r>
              <w:rPr/>
              <w:t>and</w:t>
            </w:r>
            <w:r>
              <w:rPr>
                <w:spacing w:val="27"/>
              </w:rPr>
              <w:t> </w:t>
            </w:r>
            <w:r>
              <w:rPr/>
              <w:t>P25</w:t>
            </w:r>
            <w:r>
              <w:rPr>
                <w:spacing w:val="27"/>
              </w:rPr>
              <w:t> </w:t>
            </w:r>
            <w:r>
              <w:rPr/>
              <w:t>on</w:t>
            </w:r>
            <w:r>
              <w:rPr>
                <w:spacing w:val="24"/>
              </w:rPr>
              <w:t> </w:t>
            </w:r>
            <w:r>
              <w:rPr/>
              <w:t>established</w:t>
            </w:r>
            <w:r>
              <w:rPr>
                <w:spacing w:val="37"/>
              </w:rPr>
              <w:t> </w:t>
            </w:r>
            <w:r>
              <w:rPr>
                <w:i/>
              </w:rPr>
              <w:t>P.</w:t>
            </w:r>
            <w:r>
              <w:rPr>
                <w:i/>
                <w:spacing w:val="31"/>
              </w:rPr>
              <w:t> </w:t>
            </w:r>
            <w:r>
              <w:rPr>
                <w:i/>
              </w:rPr>
              <w:t>berghii</w:t>
            </w:r>
            <w:r>
              <w:rPr>
                <w:i/>
                <w:spacing w:val="34"/>
              </w:rPr>
              <w:t> </w:t>
            </w:r>
            <w:r>
              <w:rPr/>
              <w:t>infection</w:t>
            </w:r>
            <w:r>
              <w:rPr>
                <w:spacing w:val="27"/>
              </w:rPr>
              <w:t> </w:t>
            </w:r>
            <w:r>
              <w:rPr/>
              <w:t>in</w:t>
            </w:r>
            <w:r>
              <w:rPr>
                <w:spacing w:val="-57"/>
              </w:rPr>
              <w:t> </w:t>
            </w:r>
            <w:r>
              <w:rPr/>
              <w:t>mice</w:t>
              <w:tab/>
              <w:t>79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65" w:val="left" w:leader="none"/>
            </w:tabs>
            <w:spacing w:line="240" w:lineRule="auto" w:before="0" w:after="0"/>
            <w:ind w:left="864" w:right="0" w:hanging="553"/>
            <w:jc w:val="left"/>
            <w:rPr>
              <w:i/>
            </w:rPr>
          </w:pPr>
          <w:r>
            <w:rPr/>
            <w:t>Effect</w:t>
          </w:r>
          <w:r>
            <w:rPr>
              <w:spacing w:val="13"/>
            </w:rPr>
            <w:t> </w:t>
          </w:r>
          <w:r>
            <w:rPr/>
            <w:t>of P11,</w:t>
          </w:r>
          <w:r>
            <w:rPr>
              <w:spacing w:val="11"/>
            </w:rPr>
            <w:t> </w:t>
          </w:r>
          <w:r>
            <w:rPr/>
            <w:t>P12,</w:t>
          </w:r>
          <w:r>
            <w:rPr>
              <w:spacing w:val="6"/>
            </w:rPr>
            <w:t> </w:t>
          </w:r>
          <w:r>
            <w:rPr/>
            <w:t>P13,</w:t>
          </w:r>
          <w:r>
            <w:rPr>
              <w:spacing w:val="10"/>
            </w:rPr>
            <w:t> </w:t>
          </w:r>
          <w:r>
            <w:rPr/>
            <w:t>P15,</w:t>
          </w:r>
          <w:r>
            <w:rPr>
              <w:spacing w:val="11"/>
            </w:rPr>
            <w:t> </w:t>
          </w:r>
          <w:r>
            <w:rPr/>
            <w:t>P16,</w:t>
          </w:r>
          <w:r>
            <w:rPr>
              <w:spacing w:val="10"/>
            </w:rPr>
            <w:t> </w:t>
          </w:r>
          <w:r>
            <w:rPr/>
            <w:t>P17,</w:t>
          </w:r>
          <w:r>
            <w:rPr>
              <w:spacing w:val="10"/>
            </w:rPr>
            <w:t> </w:t>
          </w:r>
          <w:r>
            <w:rPr/>
            <w:t>P19,</w:t>
          </w:r>
          <w:r>
            <w:rPr>
              <w:spacing w:val="10"/>
            </w:rPr>
            <w:t> </w:t>
          </w:r>
          <w:r>
            <w:rPr/>
            <w:t>P21</w:t>
          </w:r>
          <w:r>
            <w:rPr>
              <w:spacing w:val="9"/>
            </w:rPr>
            <w:t> </w:t>
          </w:r>
          <w:r>
            <w:rPr/>
            <w:t>and</w:t>
          </w:r>
          <w:r>
            <w:rPr>
              <w:spacing w:val="8"/>
            </w:rPr>
            <w:t> </w:t>
          </w:r>
          <w:r>
            <w:rPr/>
            <w:t>P22</w:t>
          </w:r>
          <w:r>
            <w:rPr>
              <w:spacing w:val="8"/>
            </w:rPr>
            <w:t> </w:t>
          </w:r>
          <w:r>
            <w:rPr/>
            <w:t>on</w:t>
          </w:r>
          <w:r>
            <w:rPr>
              <w:spacing w:val="4"/>
            </w:rPr>
            <w:t> </w:t>
          </w:r>
          <w:r>
            <w:rPr/>
            <w:t>established</w:t>
          </w:r>
          <w:r>
            <w:rPr>
              <w:spacing w:val="21"/>
            </w:rPr>
            <w:t> </w:t>
          </w:r>
          <w:r>
            <w:rPr>
              <w:i/>
            </w:rPr>
            <w:t>P.</w:t>
          </w:r>
          <w:r>
            <w:rPr>
              <w:i/>
              <w:spacing w:val="10"/>
            </w:rPr>
            <w:t> </w:t>
          </w:r>
          <w:r>
            <w:rPr>
              <w:i/>
            </w:rPr>
            <w:t>berghii</w:t>
          </w:r>
        </w:p>
        <w:p>
          <w:pPr>
            <w:pStyle w:val="TOC2"/>
            <w:tabs>
              <w:tab w:pos="8807" w:val="left" w:leader="dot"/>
            </w:tabs>
            <w:ind w:left="312" w:firstLine="0"/>
          </w:pPr>
          <w:r>
            <w:rPr/>
            <w:t>infection</w:t>
          </w:r>
          <w:r>
            <w:rPr>
              <w:spacing w:val="-2"/>
            </w:rPr>
            <w:t> </w:t>
          </w:r>
          <w:r>
            <w:rPr/>
            <w:t>in</w:t>
          </w:r>
          <w:r>
            <w:rPr>
              <w:spacing w:val="-2"/>
            </w:rPr>
            <w:t> </w:t>
          </w:r>
          <w:r>
            <w:rPr/>
            <w:t>mice</w:t>
            <w:tab/>
            <w:t>81</w:t>
          </w:r>
        </w:p>
        <w:p>
          <w:pPr>
            <w:pStyle w:val="TOC1"/>
            <w:numPr>
              <w:ilvl w:val="1"/>
              <w:numId w:val="4"/>
            </w:numPr>
            <w:tabs>
              <w:tab w:pos="678" w:val="left" w:leader="none"/>
              <w:tab w:pos="8807" w:val="left" w:leader="dot"/>
            </w:tabs>
            <w:spacing w:line="240" w:lineRule="auto" w:before="281" w:after="0"/>
            <w:ind w:left="677" w:right="0" w:hanging="366"/>
            <w:jc w:val="left"/>
          </w:pPr>
          <w:hyperlink w:history="true" w:anchor="_TOC_250028">
            <w:r>
              <w:rPr/>
              <w:t>Effect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Substituted</w:t>
            </w:r>
            <w:r>
              <w:rPr>
                <w:spacing w:val="-5"/>
              </w:rPr>
              <w:t> </w:t>
            </w:r>
            <w:r>
              <w:rPr/>
              <w:t>Chalcones</w:t>
            </w:r>
            <w:r>
              <w:rPr>
                <w:spacing w:val="-3"/>
              </w:rPr>
              <w:t> </w:t>
            </w:r>
            <w:r>
              <w:rPr/>
              <w:t>on</w:t>
            </w:r>
            <w:r>
              <w:rPr>
                <w:spacing w:val="-1"/>
              </w:rPr>
              <w:t> </w:t>
            </w:r>
            <w:r>
              <w:rPr/>
              <w:t>Inhibition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3"/>
              </w:rPr>
              <w:t> </w:t>
            </w:r>
            <w:r>
              <w:rPr>
                <w:i/>
              </w:rPr>
              <w:t>β-hematin</w:t>
            </w:r>
            <w:r>
              <w:rPr>
                <w:i/>
                <w:spacing w:val="-4"/>
              </w:rPr>
              <w:t> </w:t>
            </w:r>
            <w:r>
              <w:rPr/>
              <w:t>Synthesis</w:t>
              <w:tab/>
              <w:t>82</w:t>
            </w:r>
          </w:hyperlink>
        </w:p>
        <w:p>
          <w:pPr>
            <w:pStyle w:val="TOC1"/>
            <w:numPr>
              <w:ilvl w:val="1"/>
              <w:numId w:val="4"/>
            </w:numPr>
            <w:tabs>
              <w:tab w:pos="697" w:val="left" w:leader="none"/>
              <w:tab w:pos="8807" w:val="left" w:leader="dot"/>
            </w:tabs>
            <w:spacing w:line="480" w:lineRule="auto" w:before="277" w:after="0"/>
            <w:ind w:left="312" w:right="691" w:firstLine="0"/>
            <w:jc w:val="left"/>
          </w:pPr>
          <w:hyperlink w:history="true" w:anchor="_TOC_250027">
            <w:r>
              <w:rPr/>
              <w:t>Molecular</w:t>
            </w:r>
            <w:r>
              <w:rPr>
                <w:spacing w:val="12"/>
              </w:rPr>
              <w:t> </w:t>
            </w:r>
            <w:r>
              <w:rPr/>
              <w:t>Docking</w:t>
            </w:r>
            <w:r>
              <w:rPr>
                <w:spacing w:val="19"/>
              </w:rPr>
              <w:t> </w:t>
            </w:r>
            <w:r>
              <w:rPr/>
              <w:t>Studies</w:t>
            </w:r>
            <w:r>
              <w:rPr>
                <w:spacing w:val="16"/>
              </w:rPr>
              <w:t> </w:t>
            </w:r>
            <w:r>
              <w:rPr/>
              <w:t>of</w:t>
            </w:r>
            <w:r>
              <w:rPr>
                <w:spacing w:val="16"/>
              </w:rPr>
              <w:t> </w:t>
            </w:r>
            <w:r>
              <w:rPr/>
              <w:t>P3</w:t>
            </w:r>
            <w:r>
              <w:rPr>
                <w:spacing w:val="19"/>
              </w:rPr>
              <w:t> </w:t>
            </w:r>
            <w:r>
              <w:rPr/>
              <w:t>and</w:t>
            </w:r>
            <w:r>
              <w:rPr>
                <w:spacing w:val="23"/>
              </w:rPr>
              <w:t> </w:t>
            </w:r>
            <w:r>
              <w:rPr/>
              <w:t>P4</w:t>
            </w:r>
            <w:r>
              <w:rPr>
                <w:spacing w:val="19"/>
              </w:rPr>
              <w:t> </w:t>
            </w:r>
            <w:r>
              <w:rPr/>
              <w:t>Complexes</w:t>
            </w:r>
            <w:r>
              <w:rPr>
                <w:spacing w:val="25"/>
              </w:rPr>
              <w:t> </w:t>
            </w:r>
            <w:r>
              <w:rPr/>
              <w:t>on</w:t>
            </w:r>
            <w:r>
              <w:rPr>
                <w:spacing w:val="23"/>
              </w:rPr>
              <w:t> </w:t>
            </w:r>
            <w:r>
              <w:rPr/>
              <w:t>FP-2,</w:t>
            </w:r>
            <w:r>
              <w:rPr>
                <w:spacing w:val="21"/>
              </w:rPr>
              <w:t> </w:t>
            </w:r>
            <w:r>
              <w:rPr/>
              <w:t>FP-3,</w:t>
            </w:r>
            <w:r>
              <w:rPr>
                <w:spacing w:val="21"/>
              </w:rPr>
              <w:t> </w:t>
            </w:r>
            <w:r>
              <w:rPr/>
              <w:t>Plm-II,</w:t>
            </w:r>
            <w:r>
              <w:rPr>
                <w:spacing w:val="21"/>
              </w:rPr>
              <w:t> </w:t>
            </w:r>
            <w:r>
              <w:rPr/>
              <w:t>and</w:t>
            </w:r>
            <w:r>
              <w:rPr>
                <w:spacing w:val="-57"/>
              </w:rPr>
              <w:t> </w:t>
            </w:r>
            <w:r>
              <w:rPr/>
              <w:t>Plm-IV.</w:t>
              <w:tab/>
              <w:t>84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5" w:val="left" w:leader="none"/>
              <w:tab w:pos="8807" w:val="left" w:leader="dot"/>
            </w:tabs>
            <w:spacing w:line="271" w:lineRule="exact" w:before="0" w:after="0"/>
            <w:ind w:left="854" w:right="0" w:hanging="543"/>
            <w:jc w:val="left"/>
          </w:pPr>
          <w:hyperlink w:history="true" w:anchor="_TOC_250026">
            <w:r>
              <w:rPr/>
              <w:t>Validation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7"/>
              </w:rPr>
              <w:t> </w:t>
            </w:r>
            <w:r>
              <w:rPr/>
              <w:t>docking</w:t>
            </w:r>
            <w:r>
              <w:rPr>
                <w:spacing w:val="1"/>
              </w:rPr>
              <w:t> </w:t>
            </w:r>
            <w:r>
              <w:rPr/>
              <w:t>procedure</w:t>
              <w:tab/>
              <w:t>84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98" w:val="left" w:leader="none"/>
              <w:tab w:pos="8807" w:val="left" w:leader="dot"/>
            </w:tabs>
            <w:spacing w:line="480" w:lineRule="auto" w:before="276" w:after="0"/>
            <w:ind w:left="312" w:right="699" w:firstLine="0"/>
            <w:jc w:val="left"/>
          </w:pPr>
          <w:hyperlink w:history="true" w:anchor="_TOC_250025">
            <w:r>
              <w:rPr/>
              <w:t>The</w:t>
            </w:r>
            <w:r>
              <w:rPr>
                <w:spacing w:val="40"/>
              </w:rPr>
              <w:t> </w:t>
            </w:r>
            <w:r>
              <w:rPr/>
              <w:t>binding</w:t>
            </w:r>
            <w:r>
              <w:rPr>
                <w:spacing w:val="42"/>
              </w:rPr>
              <w:t> </w:t>
            </w:r>
            <w:r>
              <w:rPr/>
              <w:t>energies</w:t>
            </w:r>
            <w:r>
              <w:rPr>
                <w:spacing w:val="39"/>
              </w:rPr>
              <w:t> </w:t>
            </w:r>
            <w:r>
              <w:rPr/>
              <w:t>of</w:t>
            </w:r>
            <w:r>
              <w:rPr>
                <w:spacing w:val="34"/>
              </w:rPr>
              <w:t> </w:t>
            </w:r>
            <w:r>
              <w:rPr/>
              <w:t>the</w:t>
            </w:r>
            <w:r>
              <w:rPr>
                <w:spacing w:val="36"/>
              </w:rPr>
              <w:t> </w:t>
            </w:r>
            <w:r>
              <w:rPr/>
              <w:t>co-crystallized</w:t>
            </w:r>
            <w:r>
              <w:rPr>
                <w:spacing w:val="45"/>
              </w:rPr>
              <w:t> </w:t>
            </w:r>
            <w:r>
              <w:rPr/>
              <w:t>ligands</w:t>
            </w:r>
            <w:r>
              <w:rPr>
                <w:spacing w:val="35"/>
              </w:rPr>
              <w:t> </w:t>
            </w:r>
            <w:r>
              <w:rPr/>
              <w:t>and</w:t>
            </w:r>
            <w:r>
              <w:rPr>
                <w:spacing w:val="42"/>
              </w:rPr>
              <w:t> </w:t>
            </w:r>
            <w:r>
              <w:rPr/>
              <w:t>17</w:t>
            </w:r>
            <w:r>
              <w:rPr>
                <w:spacing w:val="41"/>
              </w:rPr>
              <w:t> </w:t>
            </w:r>
            <w:r>
              <w:rPr/>
              <w:t>substituted</w:t>
            </w:r>
            <w:r>
              <w:rPr>
                <w:spacing w:val="37"/>
              </w:rPr>
              <w:t> </w:t>
            </w:r>
            <w:r>
              <w:rPr/>
              <w:t>Chalcones</w:t>
            </w:r>
            <w:r>
              <w:rPr>
                <w:spacing w:val="-57"/>
              </w:rPr>
              <w:t> </w:t>
            </w:r>
            <w:r>
              <w:rPr/>
              <w:t>against</w:t>
            </w:r>
            <w:r>
              <w:rPr>
                <w:spacing w:val="2"/>
              </w:rPr>
              <w:t> </w:t>
            </w:r>
            <w:r>
              <w:rPr/>
              <w:t>four</w:t>
            </w:r>
            <w:r>
              <w:rPr>
                <w:spacing w:val="-1"/>
              </w:rPr>
              <w:t> </w:t>
            </w:r>
            <w:r>
              <w:rPr/>
              <w:t>enzymes</w:t>
            </w:r>
            <w:r>
              <w:rPr>
                <w:spacing w:val="-4"/>
              </w:rPr>
              <w:t> </w:t>
            </w:r>
            <w:r>
              <w:rPr/>
              <w:t>(FP-2, FP-3,</w:t>
            </w:r>
            <w:r>
              <w:rPr>
                <w:spacing w:val="-5"/>
              </w:rPr>
              <w:t> </w:t>
            </w:r>
            <w:r>
              <w:rPr/>
              <w:t>Plm-II, and,</w:t>
            </w:r>
            <w:r>
              <w:rPr>
                <w:spacing w:val="-1"/>
              </w:rPr>
              <w:t> </w:t>
            </w:r>
            <w:r>
              <w:rPr/>
              <w:t>Plm-IV)</w:t>
              <w:tab/>
            </w:r>
            <w:r>
              <w:rPr>
                <w:spacing w:val="-2"/>
              </w:rPr>
              <w:t>86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70" w:val="left" w:leader="none"/>
              <w:tab w:pos="8807" w:val="left" w:leader="dot"/>
            </w:tabs>
            <w:spacing w:line="480" w:lineRule="auto" w:before="0" w:after="0"/>
            <w:ind w:left="312" w:right="687" w:firstLine="0"/>
            <w:jc w:val="left"/>
          </w:pPr>
          <w:r>
            <w:rPr/>
            <w:t>The</w:t>
          </w:r>
          <w:r>
            <w:rPr>
              <w:spacing w:val="12"/>
            </w:rPr>
            <w:t> </w:t>
          </w:r>
          <w:r>
            <w:rPr/>
            <w:t>binding</w:t>
          </w:r>
          <w:r>
            <w:rPr>
              <w:spacing w:val="14"/>
            </w:rPr>
            <w:t> </w:t>
          </w:r>
          <w:r>
            <w:rPr/>
            <w:t>pose</w:t>
          </w:r>
          <w:r>
            <w:rPr>
              <w:spacing w:val="12"/>
            </w:rPr>
            <w:t> </w:t>
          </w:r>
          <w:r>
            <w:rPr/>
            <w:t>and</w:t>
          </w:r>
          <w:r>
            <w:rPr>
              <w:spacing w:val="14"/>
            </w:rPr>
            <w:t> </w:t>
          </w:r>
          <w:r>
            <w:rPr/>
            <w:t>binding</w:t>
          </w:r>
          <w:r>
            <w:rPr>
              <w:spacing w:val="18"/>
            </w:rPr>
            <w:t> </w:t>
          </w:r>
          <w:r>
            <w:rPr/>
            <w:t>interaction</w:t>
          </w:r>
          <w:r>
            <w:rPr>
              <w:spacing w:val="9"/>
            </w:rPr>
            <w:t> </w:t>
          </w:r>
          <w:r>
            <w:rPr/>
            <w:t>analysis</w:t>
          </w:r>
          <w:r>
            <w:rPr>
              <w:spacing w:val="12"/>
            </w:rPr>
            <w:t> </w:t>
          </w:r>
          <w:r>
            <w:rPr/>
            <w:t>of</w:t>
          </w:r>
          <w:r>
            <w:rPr>
              <w:spacing w:val="5"/>
            </w:rPr>
            <w:t> </w:t>
          </w:r>
          <w:r>
            <w:rPr/>
            <w:t>P3</w:t>
          </w:r>
          <w:r>
            <w:rPr>
              <w:spacing w:val="14"/>
            </w:rPr>
            <w:t> </w:t>
          </w:r>
          <w:r>
            <w:rPr/>
            <w:t>and</w:t>
          </w:r>
          <w:r>
            <w:rPr>
              <w:spacing w:val="14"/>
            </w:rPr>
            <w:t> </w:t>
          </w:r>
          <w:r>
            <w:rPr/>
            <w:t>P4</w:t>
          </w:r>
          <w:r>
            <w:rPr>
              <w:spacing w:val="13"/>
            </w:rPr>
            <w:t> </w:t>
          </w:r>
          <w:r>
            <w:rPr/>
            <w:t>against</w:t>
          </w:r>
          <w:r>
            <w:rPr>
              <w:spacing w:val="19"/>
            </w:rPr>
            <w:t> </w:t>
          </w:r>
          <w:r>
            <w:rPr/>
            <w:t>FP-2,</w:t>
          </w:r>
          <w:r>
            <w:rPr>
              <w:spacing w:val="15"/>
            </w:rPr>
            <w:t> </w:t>
          </w:r>
          <w:r>
            <w:rPr/>
            <w:t>FP-3,</w:t>
          </w:r>
          <w:r>
            <w:rPr>
              <w:spacing w:val="-57"/>
            </w:rPr>
            <w:t> </w:t>
          </w:r>
          <w:r>
            <w:rPr/>
            <w:t>Plm-II,</w:t>
          </w:r>
          <w:r>
            <w:rPr>
              <w:spacing w:val="-1"/>
            </w:rPr>
            <w:t> </w:t>
          </w:r>
          <w:r>
            <w:rPr/>
            <w:t>and</w:t>
          </w:r>
          <w:r>
            <w:rPr>
              <w:spacing w:val="-2"/>
            </w:rPr>
            <w:t> </w:t>
          </w:r>
          <w:r>
            <w:rPr/>
            <w:t>Plm-IV.</w:t>
            <w:tab/>
            <w:t>90</w:t>
          </w:r>
        </w:p>
        <w:p>
          <w:pPr>
            <w:pStyle w:val="TOC1"/>
            <w:numPr>
              <w:ilvl w:val="1"/>
              <w:numId w:val="4"/>
            </w:numPr>
            <w:tabs>
              <w:tab w:pos="693" w:val="left" w:leader="none"/>
              <w:tab w:pos="8807" w:val="left" w:leader="dot"/>
            </w:tabs>
            <w:spacing w:line="480" w:lineRule="auto" w:before="6" w:after="0"/>
            <w:ind w:left="312" w:right="692" w:firstLine="0"/>
            <w:jc w:val="left"/>
          </w:pPr>
          <w:hyperlink w:history="true" w:anchor="_TOC_250024">
            <w:r>
              <w:rPr/>
              <w:t>Molecular</w:t>
            </w:r>
            <w:r>
              <w:rPr>
                <w:spacing w:val="13"/>
              </w:rPr>
              <w:t> </w:t>
            </w:r>
            <w:r>
              <w:rPr/>
              <w:t>Dynamics</w:t>
            </w:r>
            <w:r>
              <w:rPr>
                <w:spacing w:val="18"/>
              </w:rPr>
              <w:t> </w:t>
            </w:r>
            <w:r>
              <w:rPr/>
              <w:t>Simulation</w:t>
            </w:r>
            <w:r>
              <w:rPr>
                <w:spacing w:val="20"/>
              </w:rPr>
              <w:t> </w:t>
            </w:r>
            <w:r>
              <w:rPr/>
              <w:t>Studies</w:t>
            </w:r>
            <w:r>
              <w:rPr>
                <w:spacing w:val="17"/>
              </w:rPr>
              <w:t> </w:t>
            </w:r>
            <w:r>
              <w:rPr/>
              <w:t>of</w:t>
            </w:r>
            <w:r>
              <w:rPr>
                <w:spacing w:val="16"/>
              </w:rPr>
              <w:t> </w:t>
            </w:r>
            <w:r>
              <w:rPr/>
              <w:t>P3</w:t>
            </w:r>
            <w:r>
              <w:rPr>
                <w:spacing w:val="20"/>
              </w:rPr>
              <w:t> </w:t>
            </w:r>
            <w:r>
              <w:rPr/>
              <w:t>and</w:t>
            </w:r>
            <w:r>
              <w:rPr>
                <w:spacing w:val="20"/>
              </w:rPr>
              <w:t> </w:t>
            </w:r>
            <w:r>
              <w:rPr/>
              <w:t>P4</w:t>
            </w:r>
            <w:r>
              <w:rPr>
                <w:spacing w:val="20"/>
              </w:rPr>
              <w:t> </w:t>
            </w:r>
            <w:r>
              <w:rPr/>
              <w:t>Complexes</w:t>
            </w:r>
            <w:r>
              <w:rPr>
                <w:spacing w:val="17"/>
              </w:rPr>
              <w:t> </w:t>
            </w:r>
            <w:r>
              <w:rPr/>
              <w:t>of</w:t>
            </w:r>
            <w:r>
              <w:rPr>
                <w:spacing w:val="17"/>
              </w:rPr>
              <w:t> </w:t>
            </w:r>
            <w:r>
              <w:rPr/>
              <w:t>FP-2,</w:t>
            </w:r>
            <w:r>
              <w:rPr>
                <w:spacing w:val="21"/>
              </w:rPr>
              <w:t> </w:t>
            </w:r>
            <w:r>
              <w:rPr/>
              <w:t>FP-3,</w:t>
            </w:r>
            <w:r>
              <w:rPr>
                <w:spacing w:val="-57"/>
              </w:rPr>
              <w:t> </w:t>
            </w:r>
            <w:r>
              <w:rPr/>
              <w:t>Plm-II,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Plm-IV.</w:t>
              <w:tab/>
              <w:t>99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5" w:val="left" w:leader="none"/>
              <w:tab w:pos="8807" w:val="left" w:leader="dot"/>
            </w:tabs>
            <w:spacing w:line="272" w:lineRule="exact" w:before="0" w:after="0"/>
            <w:ind w:left="854" w:right="0" w:hanging="543"/>
            <w:jc w:val="left"/>
          </w:pPr>
          <w:hyperlink w:history="true" w:anchor="_TOC_250023">
            <w:r>
              <w:rPr/>
              <w:t>System</w:t>
            </w:r>
            <w:r>
              <w:rPr>
                <w:spacing w:val="-9"/>
              </w:rPr>
              <w:t> </w:t>
            </w:r>
            <w:r>
              <w:rPr/>
              <w:t>stability</w:t>
              <w:tab/>
              <w:t>99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55" w:val="left" w:leader="none"/>
              <w:tab w:pos="8687" w:val="lef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22">
            <w:r>
              <w:rPr/>
              <w:t>Per-residue</w:t>
            </w:r>
            <w:r>
              <w:rPr>
                <w:spacing w:val="-2"/>
              </w:rPr>
              <w:t> </w:t>
            </w:r>
            <w:r>
              <w:rPr/>
              <w:t>energy</w:t>
            </w:r>
            <w:r>
              <w:rPr>
                <w:spacing w:val="-11"/>
              </w:rPr>
              <w:t> </w:t>
            </w:r>
            <w:r>
              <w:rPr/>
              <w:t>decomposition</w:t>
            </w:r>
            <w:r>
              <w:rPr>
                <w:spacing w:val="-6"/>
              </w:rPr>
              <w:t> </w:t>
            </w:r>
            <w:r>
              <w:rPr/>
              <w:t>analysis</w:t>
              <w:tab/>
              <w:t>104</w:t>
            </w:r>
          </w:hyperlink>
        </w:p>
        <w:p>
          <w:pPr>
            <w:pStyle w:val="TOC2"/>
            <w:numPr>
              <w:ilvl w:val="2"/>
              <w:numId w:val="4"/>
            </w:numPr>
            <w:tabs>
              <w:tab w:pos="860" w:val="left" w:leader="none"/>
              <w:tab w:pos="8687" w:val="left" w:leader="dot"/>
            </w:tabs>
            <w:spacing w:line="480" w:lineRule="auto" w:before="276" w:after="0"/>
            <w:ind w:left="312" w:right="696" w:firstLine="0"/>
            <w:jc w:val="left"/>
          </w:pPr>
          <w:r>
            <w:rPr/>
            <w:t>Binding free energy (BFE) analysis of P3 and P4 in complex with FP-2, FP-3, Plm-II</w:t>
          </w:r>
          <w:r>
            <w:rPr>
              <w:spacing w:val="-57"/>
            </w:rPr>
            <w:t> </w:t>
          </w:r>
          <w:r>
            <w:rPr/>
            <w:t>and</w:t>
          </w:r>
          <w:r>
            <w:rPr>
              <w:spacing w:val="-1"/>
            </w:rPr>
            <w:t> </w:t>
          </w:r>
          <w:r>
            <w:rPr/>
            <w:t>Plm-IV</w:t>
            <w:tab/>
          </w:r>
          <w:r>
            <w:rPr>
              <w:spacing w:val="-1"/>
            </w:rPr>
            <w:t>109</w:t>
          </w:r>
        </w:p>
        <w:p>
          <w:pPr>
            <w:pStyle w:val="TOC1"/>
            <w:tabs>
              <w:tab w:pos="8687" w:val="left" w:leader="dot"/>
            </w:tabs>
            <w:spacing w:before="5"/>
            <w:ind w:left="312" w:firstLine="0"/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FIVE</w:t>
            <w:tab/>
            <w:t>111</w:t>
          </w:r>
        </w:p>
        <w:p>
          <w:pPr>
            <w:pStyle w:val="TOC1"/>
            <w:numPr>
              <w:ilvl w:val="1"/>
              <w:numId w:val="5"/>
            </w:numPr>
            <w:tabs>
              <w:tab w:pos="678" w:val="left" w:leader="none"/>
              <w:tab w:pos="8687" w:val="lef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21">
            <w:r>
              <w:rPr/>
              <w:t>DISCUSSIONS</w:t>
              <w:tab/>
              <w:t>111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678" w:val="left" w:leader="none"/>
              <w:tab w:pos="8687" w:val="left" w:leader="dot"/>
            </w:tabs>
            <w:spacing w:line="240" w:lineRule="auto" w:before="277" w:after="0"/>
            <w:ind w:left="677" w:right="0" w:hanging="366"/>
            <w:jc w:val="left"/>
          </w:pPr>
          <w:hyperlink w:history="true" w:anchor="_TOC_250020">
            <w:r>
              <w:rPr/>
              <w:t>Design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Substituted</w:t>
            </w:r>
            <w:r>
              <w:rPr>
                <w:spacing w:val="-5"/>
              </w:rPr>
              <w:t> </w:t>
            </w:r>
            <w:r>
              <w:rPr/>
              <w:t>Chalcones</w:t>
              <w:tab/>
              <w:t>111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678" w:val="left" w:leader="none"/>
              <w:tab w:pos="8687" w:val="lef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19">
            <w:r>
              <w:rPr/>
              <w:t>Theoretical</w:t>
            </w:r>
            <w:r>
              <w:rPr>
                <w:spacing w:val="-6"/>
              </w:rPr>
              <w:t> </w:t>
            </w:r>
            <w:r>
              <w:rPr/>
              <w:t>Oral</w:t>
            </w:r>
            <w:r>
              <w:rPr>
                <w:spacing w:val="-6"/>
              </w:rPr>
              <w:t> </w:t>
            </w:r>
            <w:r>
              <w:rPr/>
              <w:t>Bioavailability</w:t>
              <w:tab/>
              <w:t>112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678" w:val="left" w:leader="none"/>
              <w:tab w:pos="8687" w:val="left" w:leader="dot"/>
            </w:tabs>
            <w:spacing w:line="240" w:lineRule="auto" w:before="276" w:after="240"/>
            <w:ind w:left="677" w:right="0" w:hanging="366"/>
            <w:jc w:val="left"/>
          </w:pPr>
          <w:hyperlink w:history="true" w:anchor="_TOC_250018">
            <w:r>
              <w:rPr/>
              <w:t>Synthesis</w:t>
            </w:r>
            <w:r>
              <w:rPr>
                <w:spacing w:val="-5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Characterization</w:t>
              <w:tab/>
              <w:t>112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79" w:val="left" w:leader="none"/>
              <w:tab w:pos="8692" w:val="left" w:leader="dot"/>
            </w:tabs>
            <w:spacing w:line="480" w:lineRule="auto" w:before="70" w:after="0"/>
            <w:ind w:left="312" w:right="691" w:firstLine="0"/>
            <w:jc w:val="left"/>
          </w:pPr>
          <w:hyperlink w:history="true" w:anchor="_TOC_250017">
            <w:r>
              <w:rPr/>
              <w:t>Synthesis and</w:t>
            </w:r>
            <w:r>
              <w:rPr>
                <w:spacing w:val="1"/>
              </w:rPr>
              <w:t> </w:t>
            </w:r>
            <w:r>
              <w:rPr/>
              <w:t>characterization of 2,3,4–trimethoxy benzaldehyde</w:t>
            </w:r>
            <w:r>
              <w:rPr>
                <w:spacing w:val="1"/>
              </w:rPr>
              <w:t> </w:t>
            </w:r>
            <w:r>
              <w:rPr/>
              <w:t>Chalcones (P1,P2</w:t>
            </w:r>
            <w:r>
              <w:rPr>
                <w:spacing w:val="-57"/>
              </w:rPr>
              <w:t> </w:t>
            </w:r>
            <w:r>
              <w:rPr/>
              <w:t>and P13)</w:t>
              <w:tab/>
            </w:r>
            <w:r>
              <w:rPr>
                <w:spacing w:val="-1"/>
              </w:rPr>
              <w:t>112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74" w:val="left" w:leader="none"/>
              <w:tab w:pos="8692" w:val="left" w:leader="dot"/>
            </w:tabs>
            <w:spacing w:line="480" w:lineRule="auto" w:before="0" w:after="0"/>
            <w:ind w:left="312" w:right="694" w:firstLine="0"/>
            <w:jc w:val="left"/>
          </w:pPr>
          <w:hyperlink w:history="true" w:anchor="_TOC_250016">
            <w:r>
              <w:rPr/>
              <w:t>Synthesis</w:t>
            </w:r>
            <w:r>
              <w:rPr>
                <w:spacing w:val="16"/>
              </w:rPr>
              <w:t> </w:t>
            </w:r>
            <w:r>
              <w:rPr/>
              <w:t>and</w:t>
            </w:r>
            <w:r>
              <w:rPr>
                <w:spacing w:val="14"/>
              </w:rPr>
              <w:t> </w:t>
            </w:r>
            <w:r>
              <w:rPr/>
              <w:t>characterization</w:t>
            </w:r>
            <w:r>
              <w:rPr>
                <w:spacing w:val="8"/>
              </w:rPr>
              <w:t> </w:t>
            </w:r>
            <w:r>
              <w:rPr/>
              <w:t>of</w:t>
            </w:r>
            <w:r>
              <w:rPr>
                <w:spacing w:val="6"/>
              </w:rPr>
              <w:t> </w:t>
            </w:r>
            <w:r>
              <w:rPr/>
              <w:t>3-quinolinyl</w:t>
            </w:r>
            <w:r>
              <w:rPr>
                <w:spacing w:val="15"/>
              </w:rPr>
              <w:t> </w:t>
            </w:r>
            <w:r>
              <w:rPr/>
              <w:t>benzaldehyde</w:t>
            </w:r>
            <w:r>
              <w:rPr>
                <w:spacing w:val="12"/>
              </w:rPr>
              <w:t> </w:t>
            </w:r>
            <w:r>
              <w:rPr/>
              <w:t>Chalcones</w:t>
            </w:r>
            <w:r>
              <w:rPr>
                <w:spacing w:val="12"/>
              </w:rPr>
              <w:t> </w:t>
            </w:r>
            <w:r>
              <w:rPr/>
              <w:t>(P3,</w:t>
            </w:r>
            <w:r>
              <w:rPr>
                <w:spacing w:val="16"/>
              </w:rPr>
              <w:t> </w:t>
            </w:r>
            <w:r>
              <w:rPr/>
              <w:t>P4</w:t>
            </w:r>
            <w:r>
              <w:rPr>
                <w:spacing w:val="13"/>
              </w:rPr>
              <w:t> </w:t>
            </w:r>
            <w:r>
              <w:rPr/>
              <w:t>and</w:t>
            </w:r>
            <w:r>
              <w:rPr>
                <w:spacing w:val="-57"/>
              </w:rPr>
              <w:t> </w:t>
            </w:r>
            <w:r>
              <w:rPr/>
              <w:t>P8)</w:t>
              <w:tab/>
              <w:t>114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799" w:val="left" w:leader="none"/>
            </w:tabs>
            <w:spacing w:line="240" w:lineRule="auto" w:before="0" w:after="0"/>
            <w:ind w:left="798" w:right="0" w:hanging="487"/>
            <w:jc w:val="left"/>
          </w:pPr>
          <w:r>
            <w:rPr/>
            <w:t>3</w:t>
          </w:r>
          <w:r>
            <w:rPr>
              <w:spacing w:val="5"/>
            </w:rPr>
            <w:t> </w:t>
          </w:r>
          <w:r>
            <w:rPr/>
            <w:t>Synthesis</w:t>
          </w:r>
          <w:r>
            <w:rPr>
              <w:spacing w:val="8"/>
            </w:rPr>
            <w:t> </w:t>
          </w:r>
          <w:r>
            <w:rPr/>
            <w:t>and</w:t>
          </w:r>
          <w:r>
            <w:rPr>
              <w:spacing w:val="5"/>
            </w:rPr>
            <w:t> </w:t>
          </w:r>
          <w:r>
            <w:rPr/>
            <w:t>characterization</w:t>
          </w:r>
          <w:r>
            <w:rPr>
              <w:spacing w:val="5"/>
            </w:rPr>
            <w:t> </w:t>
          </w:r>
          <w:r>
            <w:rPr/>
            <w:t>of</w:t>
          </w:r>
          <w:r>
            <w:rPr>
              <w:spacing w:val="-2"/>
            </w:rPr>
            <w:t> </w:t>
          </w:r>
          <w:r>
            <w:rPr/>
            <w:t>2,4–dimethoxy</w:t>
          </w:r>
          <w:r>
            <w:rPr>
              <w:spacing w:val="1"/>
            </w:rPr>
            <w:t> </w:t>
          </w:r>
          <w:r>
            <w:rPr/>
            <w:t>benzaldehyde</w:t>
          </w:r>
          <w:r>
            <w:rPr>
              <w:spacing w:val="5"/>
            </w:rPr>
            <w:t> </w:t>
          </w:r>
          <w:r>
            <w:rPr/>
            <w:t>Chalcones</w:t>
          </w:r>
          <w:r>
            <w:rPr>
              <w:spacing w:val="3"/>
            </w:rPr>
            <w:t> </w:t>
          </w:r>
          <w:r>
            <w:rPr/>
            <w:t>(P11,</w:t>
          </w:r>
          <w:r>
            <w:rPr>
              <w:spacing w:val="8"/>
            </w:rPr>
            <w:t> </w:t>
          </w:r>
          <w:r>
            <w:rPr/>
            <w:t>P12</w:t>
          </w:r>
        </w:p>
        <w:p>
          <w:pPr>
            <w:pStyle w:val="TOC2"/>
            <w:tabs>
              <w:tab w:pos="8692" w:val="left" w:leader="dot"/>
            </w:tabs>
            <w:spacing w:before="277"/>
            <w:ind w:left="312" w:firstLine="0"/>
          </w:pPr>
          <w:r>
            <w:rPr/>
            <w:t>and P17)</w:t>
            <w:tab/>
            <w:t>116</w:t>
          </w:r>
        </w:p>
        <w:p>
          <w:pPr>
            <w:pStyle w:val="TOC2"/>
            <w:numPr>
              <w:ilvl w:val="2"/>
              <w:numId w:val="5"/>
            </w:numPr>
            <w:tabs>
              <w:tab w:pos="898" w:val="left" w:leader="none"/>
              <w:tab w:pos="8687" w:val="left" w:leader="dot"/>
            </w:tabs>
            <w:spacing w:line="480" w:lineRule="auto" w:before="276" w:after="0"/>
            <w:ind w:left="312" w:right="693" w:firstLine="0"/>
            <w:jc w:val="left"/>
          </w:pPr>
          <w:hyperlink w:history="true" w:anchor="_TOC_250015">
            <w:r>
              <w:rPr/>
              <w:t>Synthesis</w:t>
            </w:r>
            <w:r>
              <w:rPr>
                <w:spacing w:val="37"/>
              </w:rPr>
              <w:t> </w:t>
            </w:r>
            <w:r>
              <w:rPr/>
              <w:t>and</w:t>
            </w:r>
            <w:r>
              <w:rPr>
                <w:spacing w:val="43"/>
              </w:rPr>
              <w:t> </w:t>
            </w:r>
            <w:r>
              <w:rPr/>
              <w:t>characterization</w:t>
            </w:r>
            <w:r>
              <w:rPr>
                <w:spacing w:val="35"/>
              </w:rPr>
              <w:t> </w:t>
            </w:r>
            <w:r>
              <w:rPr/>
              <w:t>of</w:t>
            </w:r>
            <w:r>
              <w:rPr>
                <w:spacing w:val="31"/>
              </w:rPr>
              <w:t> </w:t>
            </w:r>
            <w:r>
              <w:rPr/>
              <w:t>4–methoxy</w:t>
            </w:r>
            <w:r>
              <w:rPr>
                <w:spacing w:val="39"/>
              </w:rPr>
              <w:t> </w:t>
            </w:r>
            <w:r>
              <w:rPr/>
              <w:t>benzaldehyde</w:t>
            </w:r>
            <w:r>
              <w:rPr>
                <w:spacing w:val="43"/>
              </w:rPr>
              <w:t> </w:t>
            </w:r>
            <w:r>
              <w:rPr/>
              <w:t>Chalcones</w:t>
            </w:r>
            <w:r>
              <w:rPr>
                <w:spacing w:val="37"/>
              </w:rPr>
              <w:t> </w:t>
            </w:r>
            <w:r>
              <w:rPr/>
              <w:t>(P15,</w:t>
            </w:r>
            <w:r>
              <w:rPr>
                <w:spacing w:val="41"/>
              </w:rPr>
              <w:t> </w:t>
            </w:r>
            <w:r>
              <w:rPr/>
              <w:t>P16,</w:t>
            </w:r>
            <w:r>
              <w:rPr>
                <w:spacing w:val="-57"/>
              </w:rPr>
              <w:t> </w:t>
            </w:r>
            <w:r>
              <w:rPr/>
              <w:t>P23 and</w:t>
            </w:r>
            <w:r>
              <w:rPr>
                <w:spacing w:val="1"/>
              </w:rPr>
              <w:t> </w:t>
            </w:r>
            <w:r>
              <w:rPr/>
              <w:t>P25)</w:t>
              <w:tab/>
              <w:t>118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65" w:val="left" w:leader="none"/>
              <w:tab w:pos="8692" w:val="left" w:leader="dot"/>
            </w:tabs>
            <w:spacing w:line="480" w:lineRule="auto" w:before="1" w:after="0"/>
            <w:ind w:left="312" w:right="694" w:firstLine="0"/>
            <w:jc w:val="left"/>
          </w:pPr>
          <w:hyperlink w:history="true" w:anchor="_TOC_250014">
            <w:r>
              <w:rPr/>
              <w:t>Synthesis</w:t>
            </w:r>
            <w:r>
              <w:rPr>
                <w:spacing w:val="6"/>
              </w:rPr>
              <w:t> </w:t>
            </w:r>
            <w:r>
              <w:rPr/>
              <w:t>and</w:t>
            </w:r>
            <w:r>
              <w:rPr>
                <w:spacing w:val="4"/>
              </w:rPr>
              <w:t> </w:t>
            </w:r>
            <w:r>
              <w:rPr/>
              <w:t>characterization</w:t>
            </w:r>
            <w:r>
              <w:rPr>
                <w:spacing w:val="4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un-substituted</w:t>
            </w:r>
            <w:r>
              <w:rPr>
                <w:spacing w:val="3"/>
              </w:rPr>
              <w:t> </w:t>
            </w:r>
            <w:r>
              <w:rPr/>
              <w:t>(benzaldehyde)</w:t>
            </w:r>
            <w:r>
              <w:rPr>
                <w:spacing w:val="6"/>
              </w:rPr>
              <w:t> </w:t>
            </w:r>
            <w:r>
              <w:rPr/>
              <w:t>Chalcones</w:t>
            </w:r>
            <w:r>
              <w:rPr>
                <w:spacing w:val="7"/>
              </w:rPr>
              <w:t> </w:t>
            </w:r>
            <w:r>
              <w:rPr/>
              <w:t>(P19</w:t>
            </w:r>
            <w:r>
              <w:rPr>
                <w:spacing w:val="4"/>
              </w:rPr>
              <w:t> </w:t>
            </w:r>
            <w:r>
              <w:rPr/>
              <w:t>and</w:t>
            </w:r>
            <w:r>
              <w:rPr>
                <w:spacing w:val="-57"/>
              </w:rPr>
              <w:t> </w:t>
            </w:r>
            <w:r>
              <w:rPr/>
              <w:t>P24)</w:t>
              <w:tab/>
              <w:t>119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98" w:val="left" w:leader="none"/>
              <w:tab w:pos="8687" w:val="left" w:leader="dot"/>
            </w:tabs>
            <w:spacing w:line="480" w:lineRule="auto" w:before="0" w:after="0"/>
            <w:ind w:left="312" w:right="699" w:firstLine="0"/>
            <w:jc w:val="left"/>
          </w:pPr>
          <w:hyperlink w:history="true" w:anchor="_TOC_250013">
            <w:r>
              <w:rPr/>
              <w:t>Synthesis</w:t>
            </w:r>
            <w:r>
              <w:rPr>
                <w:spacing w:val="40"/>
              </w:rPr>
              <w:t> </w:t>
            </w:r>
            <w:r>
              <w:rPr/>
              <w:t>and</w:t>
            </w:r>
            <w:r>
              <w:rPr>
                <w:spacing w:val="38"/>
              </w:rPr>
              <w:t> </w:t>
            </w:r>
            <w:r>
              <w:rPr/>
              <w:t>characterization</w:t>
            </w:r>
            <w:r>
              <w:rPr>
                <w:spacing w:val="38"/>
              </w:rPr>
              <w:t> </w:t>
            </w:r>
            <w:r>
              <w:rPr/>
              <w:t>of</w:t>
            </w:r>
            <w:r>
              <w:rPr>
                <w:spacing w:val="30"/>
              </w:rPr>
              <w:t> </w:t>
            </w:r>
            <w:r>
              <w:rPr/>
              <w:t>4-triflouromethyl</w:t>
            </w:r>
            <w:r>
              <w:rPr>
                <w:spacing w:val="41"/>
              </w:rPr>
              <w:t> </w:t>
            </w:r>
            <w:r>
              <w:rPr/>
              <w:t>benzaldehyde</w:t>
            </w:r>
            <w:r>
              <w:rPr>
                <w:spacing w:val="42"/>
              </w:rPr>
              <w:t> </w:t>
            </w:r>
            <w:r>
              <w:rPr/>
              <w:t>Chalcones</w:t>
            </w:r>
            <w:r>
              <w:rPr>
                <w:spacing w:val="36"/>
              </w:rPr>
              <w:t> </w:t>
            </w:r>
            <w:r>
              <w:rPr/>
              <w:t>(P21</w:t>
            </w:r>
            <w:r>
              <w:rPr>
                <w:spacing w:val="-57"/>
              </w:rPr>
              <w:t> </w:t>
            </w:r>
            <w:r>
              <w:rPr/>
              <w:t>and P22)</w:t>
              <w:tab/>
            </w:r>
            <w:r>
              <w:rPr>
                <w:spacing w:val="-2"/>
              </w:rPr>
              <w:t>120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678" w:val="left" w:leader="none"/>
              <w:tab w:pos="8687" w:val="left" w:leader="dot"/>
            </w:tabs>
            <w:spacing w:line="240" w:lineRule="auto" w:before="5" w:after="0"/>
            <w:ind w:left="677" w:right="0" w:hanging="366"/>
            <w:jc w:val="left"/>
          </w:pPr>
          <w:hyperlink w:history="true" w:anchor="_TOC_250012">
            <w:r>
              <w:rPr/>
              <w:t>Antimalarial</w:t>
            </w:r>
            <w:r>
              <w:rPr>
                <w:spacing w:val="-6"/>
              </w:rPr>
              <w:t> </w:t>
            </w:r>
            <w:r>
              <w:rPr/>
              <w:t>Studies</w:t>
              <w:tab/>
              <w:t>121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56" w:val="left" w:leader="none"/>
              <w:tab w:pos="8687" w:val="left" w:leader="dot"/>
            </w:tabs>
            <w:spacing w:line="240" w:lineRule="auto" w:before="271" w:after="0"/>
            <w:ind w:left="855" w:right="0" w:hanging="544"/>
            <w:jc w:val="left"/>
          </w:pPr>
          <w:hyperlink w:history="true" w:anchor="_TOC_250011">
            <w:r>
              <w:rPr>
                <w:i/>
              </w:rPr>
              <w:t>In-vivo</w:t>
            </w:r>
            <w:r>
              <w:rPr>
                <w:i/>
                <w:spacing w:val="-2"/>
              </w:rPr>
              <w:t> </w:t>
            </w:r>
            <w:r>
              <w:rPr/>
              <w:t>antimalarial</w:t>
            </w:r>
            <w:r>
              <w:rPr>
                <w:spacing w:val="-6"/>
              </w:rPr>
              <w:t> </w:t>
            </w:r>
            <w:r>
              <w:rPr/>
              <w:t>studies</w:t>
            </w:r>
            <w:r>
              <w:rPr>
                <w:spacing w:val="-3"/>
              </w:rPr>
              <w:t> </w:t>
            </w:r>
            <w:r>
              <w:rPr/>
              <w:t>(Curative</w:t>
            </w:r>
            <w:r>
              <w:rPr>
                <w:spacing w:val="-2"/>
              </w:rPr>
              <w:t> </w:t>
            </w:r>
            <w:r>
              <w:rPr/>
              <w:t>test)</w:t>
              <w:tab/>
              <w:t>121</w:t>
            </w:r>
          </w:hyperlink>
        </w:p>
        <w:p>
          <w:pPr>
            <w:pStyle w:val="TOC3"/>
            <w:numPr>
              <w:ilvl w:val="2"/>
              <w:numId w:val="5"/>
            </w:numPr>
            <w:tabs>
              <w:tab w:pos="856" w:val="left" w:leader="none"/>
              <w:tab w:pos="8687" w:val="left" w:leader="dot"/>
            </w:tabs>
            <w:spacing w:line="240" w:lineRule="auto" w:before="277" w:after="0"/>
            <w:ind w:left="855" w:right="0" w:hanging="544"/>
            <w:jc w:val="left"/>
            <w:rPr>
              <w:b w:val="0"/>
              <w:i w:val="0"/>
              <w:sz w:val="24"/>
            </w:rPr>
          </w:pPr>
          <w:hyperlink w:history="true" w:anchor="_TOC_250010">
            <w:r>
              <w:rPr>
                <w:b w:val="0"/>
                <w:sz w:val="24"/>
              </w:rPr>
              <w:t>In-vitro </w:t>
            </w:r>
            <w:r>
              <w:rPr>
                <w:b w:val="0"/>
                <w:i w:val="0"/>
                <w:sz w:val="24"/>
              </w:rPr>
              <w:t>antimalarial</w:t>
            </w:r>
            <w:r>
              <w:rPr>
                <w:b w:val="0"/>
                <w:i w:val="0"/>
                <w:spacing w:val="-10"/>
                <w:sz w:val="24"/>
              </w:rPr>
              <w:t> </w:t>
            </w:r>
            <w:r>
              <w:rPr>
                <w:b w:val="0"/>
                <w:i w:val="0"/>
                <w:sz w:val="24"/>
              </w:rPr>
              <w:t>study</w:t>
            </w:r>
            <w:r>
              <w:rPr>
                <w:b w:val="0"/>
                <w:i w:val="0"/>
                <w:spacing w:val="-10"/>
                <w:sz w:val="24"/>
              </w:rPr>
              <w:t> </w:t>
            </w:r>
            <w:r>
              <w:rPr>
                <w:b w:val="0"/>
                <w:i w:val="0"/>
                <w:sz w:val="24"/>
              </w:rPr>
              <w:t>(</w:t>
            </w:r>
            <w:r>
              <w:rPr>
                <w:b w:val="0"/>
                <w:sz w:val="24"/>
              </w:rPr>
              <w:t>β-hematin </w:t>
            </w:r>
            <w:r>
              <w:rPr>
                <w:b w:val="0"/>
                <w:i w:val="0"/>
                <w:sz w:val="24"/>
              </w:rPr>
              <w:t>inhibition</w:t>
            </w:r>
            <w:r>
              <w:rPr>
                <w:b w:val="0"/>
                <w:i w:val="0"/>
                <w:spacing w:val="-5"/>
                <w:sz w:val="24"/>
              </w:rPr>
              <w:t> </w:t>
            </w:r>
            <w:r>
              <w:rPr>
                <w:b w:val="0"/>
                <w:i w:val="0"/>
                <w:sz w:val="24"/>
              </w:rPr>
              <w:t>assay)</w:t>
              <w:tab/>
              <w:t>123</w:t>
            </w:r>
          </w:hyperlink>
        </w:p>
        <w:p>
          <w:pPr>
            <w:pStyle w:val="TOC1"/>
            <w:numPr>
              <w:ilvl w:val="1"/>
              <w:numId w:val="5"/>
            </w:numPr>
            <w:tabs>
              <w:tab w:pos="678" w:val="left" w:leader="none"/>
              <w:tab w:pos="8687" w:val="left" w:leader="dot"/>
            </w:tabs>
            <w:spacing w:line="240" w:lineRule="auto" w:before="280" w:after="0"/>
            <w:ind w:left="677" w:right="0" w:hanging="366"/>
            <w:jc w:val="left"/>
          </w:pPr>
          <w:hyperlink w:history="true" w:anchor="_TOC_250009">
            <w:r>
              <w:rPr/>
              <w:t>Computational</w:t>
            </w:r>
            <w:r>
              <w:rPr>
                <w:spacing w:val="-5"/>
              </w:rPr>
              <w:t> </w:t>
            </w:r>
            <w:r>
              <w:rPr/>
              <w:t>Studies</w:t>
              <w:tab/>
              <w:t>124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799" w:val="left" w:leader="none"/>
              <w:tab w:pos="8687" w:val="left" w:leader="dot"/>
            </w:tabs>
            <w:spacing w:line="240" w:lineRule="auto" w:before="272" w:after="0"/>
            <w:ind w:left="798" w:right="0" w:hanging="487"/>
            <w:jc w:val="left"/>
          </w:pPr>
          <w:hyperlink w:history="true" w:anchor="_TOC_250008">
            <w:r>
              <w:rPr/>
              <w:t>Docking</w:t>
            </w:r>
            <w:r>
              <w:rPr>
                <w:spacing w:val="-3"/>
              </w:rPr>
              <w:t> </w:t>
            </w:r>
            <w:r>
              <w:rPr/>
              <w:t>Studies</w:t>
              <w:tab/>
              <w:t>124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55" w:val="left" w:leader="none"/>
              <w:tab w:pos="8687" w:val="left" w:leader="dot"/>
            </w:tabs>
            <w:spacing w:line="240" w:lineRule="auto" w:before="276" w:after="0"/>
            <w:ind w:left="854" w:right="0" w:hanging="543"/>
            <w:jc w:val="left"/>
          </w:pPr>
          <w:hyperlink w:history="true" w:anchor="_TOC_250007">
            <w:r>
              <w:rPr/>
              <w:t>Molecular</w:t>
            </w:r>
            <w:r>
              <w:rPr>
                <w:spacing w:val="-1"/>
              </w:rPr>
              <w:t> </w:t>
            </w:r>
            <w:r>
              <w:rPr/>
              <w:t>dynamics</w:t>
            </w:r>
            <w:r>
              <w:rPr>
                <w:spacing w:val="-4"/>
              </w:rPr>
              <w:t> </w:t>
            </w:r>
            <w:r>
              <w:rPr/>
              <w:t>simulation</w:t>
              <w:tab/>
              <w:t>126</w:t>
            </w:r>
          </w:hyperlink>
        </w:p>
        <w:p>
          <w:pPr>
            <w:pStyle w:val="TOC1"/>
            <w:tabs>
              <w:tab w:pos="8687" w:val="left" w:leader="dot"/>
            </w:tabs>
            <w:spacing w:before="281"/>
            <w:ind w:left="312" w:firstLine="0"/>
          </w:pPr>
          <w:hyperlink w:history="true" w:anchor="_TOC_250006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SIX</w:t>
              <w:tab/>
              <w:t>132</w:t>
            </w:r>
          </w:hyperlink>
        </w:p>
        <w:p>
          <w:pPr>
            <w:pStyle w:val="TOC1"/>
            <w:numPr>
              <w:ilvl w:val="1"/>
              <w:numId w:val="6"/>
            </w:numPr>
            <w:tabs>
              <w:tab w:pos="678" w:val="left" w:leader="none"/>
              <w:tab w:pos="8687" w:val="lef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05">
            <w:r>
              <w:rPr/>
              <w:t>SUMMARY,</w:t>
            </w:r>
            <w:r>
              <w:rPr>
                <w:spacing w:val="-3"/>
              </w:rPr>
              <w:t> </w:t>
            </w:r>
            <w:r>
              <w:rPr/>
              <w:t>CONCLUSION</w:t>
            </w:r>
            <w:r>
              <w:rPr>
                <w:spacing w:val="-3"/>
              </w:rPr>
              <w:t> </w:t>
            </w:r>
            <w:r>
              <w:rPr/>
              <w:t>AND</w:t>
            </w:r>
            <w:r>
              <w:rPr>
                <w:spacing w:val="-4"/>
              </w:rPr>
              <w:t> </w:t>
            </w:r>
            <w:r>
              <w:rPr/>
              <w:t>RECOMMENDATION</w:t>
              <w:tab/>
              <w:t>132</w:t>
            </w:r>
          </w:hyperlink>
        </w:p>
        <w:p>
          <w:pPr>
            <w:pStyle w:val="TOC1"/>
            <w:numPr>
              <w:ilvl w:val="1"/>
              <w:numId w:val="6"/>
            </w:numPr>
            <w:tabs>
              <w:tab w:pos="678" w:val="left" w:leader="none"/>
              <w:tab w:pos="8687" w:val="left" w:leader="dot"/>
            </w:tabs>
            <w:spacing w:line="240" w:lineRule="auto" w:before="277" w:after="0"/>
            <w:ind w:left="677" w:right="0" w:hanging="366"/>
            <w:jc w:val="left"/>
          </w:pPr>
          <w:hyperlink w:history="true" w:anchor="_TOC_250004">
            <w:r>
              <w:rPr/>
              <w:t>Summary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5"/>
              </w:rPr>
              <w:t> </w:t>
            </w:r>
            <w:r>
              <w:rPr/>
              <w:t>Findings</w:t>
              <w:tab/>
              <w:t>132</w:t>
            </w:r>
          </w:hyperlink>
        </w:p>
        <w:p>
          <w:pPr>
            <w:pStyle w:val="TOC1"/>
            <w:numPr>
              <w:ilvl w:val="1"/>
              <w:numId w:val="6"/>
            </w:numPr>
            <w:tabs>
              <w:tab w:pos="678" w:val="left" w:leader="none"/>
              <w:tab w:pos="8687" w:val="left" w:leader="dot"/>
            </w:tabs>
            <w:spacing w:line="240" w:lineRule="auto" w:before="276" w:after="0"/>
            <w:ind w:left="677" w:right="0" w:hanging="366"/>
            <w:jc w:val="left"/>
          </w:pPr>
          <w:hyperlink w:history="true" w:anchor="_TOC_250003">
            <w:r>
              <w:rPr/>
              <w:t>Conclusion</w:t>
              <w:tab/>
              <w:t>134</w:t>
            </w:r>
          </w:hyperlink>
        </w:p>
        <w:p>
          <w:pPr>
            <w:pStyle w:val="TOC1"/>
            <w:numPr>
              <w:ilvl w:val="1"/>
              <w:numId w:val="6"/>
            </w:numPr>
            <w:tabs>
              <w:tab w:pos="617" w:val="left" w:leader="none"/>
              <w:tab w:pos="8687" w:val="left" w:leader="dot"/>
            </w:tabs>
            <w:spacing w:line="240" w:lineRule="auto" w:before="276" w:after="0"/>
            <w:ind w:left="616" w:right="0" w:hanging="305"/>
            <w:jc w:val="left"/>
          </w:pPr>
          <w:hyperlink w:history="true" w:anchor="_TOC_250002">
            <w:r>
              <w:rPr/>
              <w:t>Contribution</w:t>
            </w:r>
            <w:r>
              <w:rPr>
                <w:spacing w:val="-4"/>
              </w:rPr>
              <w:t> </w:t>
            </w:r>
            <w:r>
              <w:rPr/>
              <w:t>to</w:t>
            </w:r>
            <w:r>
              <w:rPr>
                <w:spacing w:val="-5"/>
              </w:rPr>
              <w:t> </w:t>
            </w:r>
            <w:r>
              <w:rPr/>
              <w:t>Knowledge</w:t>
              <w:tab/>
              <w:t>135</w:t>
            </w:r>
          </w:hyperlink>
        </w:p>
        <w:p>
          <w:pPr>
            <w:pStyle w:val="TOC1"/>
            <w:numPr>
              <w:ilvl w:val="1"/>
              <w:numId w:val="6"/>
            </w:numPr>
            <w:tabs>
              <w:tab w:pos="617" w:val="left" w:leader="none"/>
              <w:tab w:pos="8687" w:val="left" w:leader="dot"/>
            </w:tabs>
            <w:spacing w:line="240" w:lineRule="auto" w:before="276" w:after="240"/>
            <w:ind w:left="616" w:right="0" w:hanging="305"/>
            <w:jc w:val="left"/>
          </w:pPr>
          <w:hyperlink w:history="true" w:anchor="_TOC_250001">
            <w:r>
              <w:rPr/>
              <w:t>Recommendation</w:t>
              <w:tab/>
              <w:t>135</w:t>
            </w:r>
          </w:hyperlink>
        </w:p>
        <w:p>
          <w:pPr>
            <w:pStyle w:val="TOC1"/>
            <w:tabs>
              <w:tab w:pos="9047" w:val="right" w:leader="dot"/>
            </w:tabs>
            <w:spacing w:before="74"/>
            <w:ind w:left="312" w:firstLine="0"/>
          </w:pPr>
          <w:hyperlink w:history="true" w:anchor="_TOC_250000">
            <w:r>
              <w:rPr/>
              <w:t>REFERENCES</w:t>
              <w:tab/>
              <w:t>137</w:t>
            </w:r>
          </w:hyperlink>
        </w:p>
        <w:p>
          <w:pPr>
            <w:pStyle w:val="TOC1"/>
            <w:tabs>
              <w:tab w:pos="9047" w:val="right" w:leader="dot"/>
            </w:tabs>
            <w:ind w:left="312" w:firstLine="0"/>
          </w:pPr>
          <w:r>
            <w:rPr/>
            <w:t>APPENDICES</w:t>
            <w:tab/>
            <w:t>150</w:t>
          </w:r>
        </w:p>
      </w:sdtContent>
    </w:sdt>
    <w:p>
      <w:pPr>
        <w:spacing w:after="0"/>
        <w:sectPr>
          <w:type w:val="continuous"/>
          <w:pgSz w:w="11910" w:h="16840"/>
          <w:pgMar w:top="1219" w:bottom="2277" w:left="1560" w:right="600"/>
        </w:sectPr>
      </w:pPr>
    </w:p>
    <w:p>
      <w:pPr>
        <w:pStyle w:val="Heading1"/>
        <w:spacing w:before="68"/>
        <w:ind w:left="310" w:right="699"/>
        <w:jc w:val="center"/>
      </w:pPr>
      <w:bookmarkStart w:name="_TOC_250091" w:id="2"/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2"/>
      <w:r>
        <w:rPr/>
        <w:t>TABLES</w:t>
      </w:r>
    </w:p>
    <w:p>
      <w:pPr>
        <w:pStyle w:val="BodyText"/>
        <w:rPr>
          <w:b/>
          <w:sz w:val="26"/>
        </w:rPr>
      </w:pPr>
    </w:p>
    <w:p>
      <w:pPr>
        <w:tabs>
          <w:tab w:pos="8807" w:val="left" w:leader="dot"/>
        </w:tabs>
        <w:spacing w:before="179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3.1: Reagents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synthesis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substituted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chalcones</w:t>
        <w:tab/>
        <w:t>49</w:t>
      </w:r>
    </w:p>
    <w:p>
      <w:pPr>
        <w:pStyle w:val="BodyText"/>
        <w:rPr>
          <w:b/>
        </w:rPr>
      </w:pPr>
    </w:p>
    <w:p>
      <w:pPr>
        <w:pStyle w:val="Heading1"/>
        <w:tabs>
          <w:tab w:pos="8807" w:val="left" w:leader="dot"/>
        </w:tabs>
        <w:spacing w:before="0"/>
      </w:pPr>
      <w:r>
        <w:rPr/>
        <w:t>Table</w:t>
      </w:r>
      <w:r>
        <w:rPr>
          <w:spacing w:val="-3"/>
        </w:rPr>
        <w:t> </w:t>
      </w:r>
      <w:r>
        <w:rPr/>
        <w:t>3.2:</w:t>
      </w:r>
      <w:r>
        <w:rPr>
          <w:spacing w:val="2"/>
        </w:rPr>
        <w:t> </w:t>
      </w:r>
      <w:r>
        <w:rPr/>
        <w:t>Grid-box</w:t>
      </w:r>
      <w:r>
        <w:rPr>
          <w:spacing w:val="-6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/>
        <w:t>enzymes</w:t>
        <w:tab/>
        <w:t>55</w:t>
      </w:r>
    </w:p>
    <w:p>
      <w:pPr>
        <w:pStyle w:val="BodyText"/>
        <w:rPr>
          <w:b/>
        </w:rPr>
      </w:pPr>
    </w:p>
    <w:p>
      <w:pPr>
        <w:tabs>
          <w:tab w:pos="8807" w:val="left" w:leader="dot"/>
        </w:tabs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4.1: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Chemical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description P1,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P2,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P3,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P4 and,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P8</w:t>
        <w:tab/>
        <w:t>59</w:t>
      </w:r>
    </w:p>
    <w:p>
      <w:pPr>
        <w:pStyle w:val="BodyText"/>
        <w:spacing w:before="1"/>
        <w:rPr>
          <w:b/>
        </w:rPr>
      </w:pPr>
    </w:p>
    <w:p>
      <w:pPr>
        <w:pStyle w:val="Heading1"/>
        <w:tabs>
          <w:tab w:pos="8807" w:val="left" w:leader="dot"/>
        </w:tabs>
        <w:spacing w:before="0"/>
      </w:pPr>
      <w:r>
        <w:rPr/>
        <w:t>Table</w:t>
      </w:r>
      <w:r>
        <w:rPr>
          <w:spacing w:val="-2"/>
        </w:rPr>
        <w:t> </w:t>
      </w:r>
      <w:r>
        <w:rPr/>
        <w:t>4.2:</w:t>
      </w:r>
      <w:r>
        <w:rPr>
          <w:spacing w:val="2"/>
        </w:rPr>
        <w:t> </w:t>
      </w:r>
      <w:r>
        <w:rPr/>
        <w:t>Chemical</w:t>
      </w:r>
      <w:r>
        <w:rPr>
          <w:spacing w:val="-6"/>
        </w:rPr>
        <w:t> </w:t>
      </w:r>
      <w:r>
        <w:rPr/>
        <w:t>description of</w:t>
      </w:r>
      <w:r>
        <w:rPr>
          <w:spacing w:val="-3"/>
        </w:rPr>
        <w:t> </w:t>
      </w:r>
      <w:r>
        <w:rPr/>
        <w:t>P11,</w:t>
      </w:r>
      <w:r>
        <w:rPr>
          <w:spacing w:val="1"/>
        </w:rPr>
        <w:t> </w:t>
      </w:r>
      <w:r>
        <w:rPr/>
        <w:t>P12,</w:t>
      </w:r>
      <w:r>
        <w:rPr>
          <w:spacing w:val="1"/>
        </w:rPr>
        <w:t> </w:t>
      </w:r>
      <w:r>
        <w:rPr/>
        <w:t>P13,</w:t>
      </w:r>
      <w:r>
        <w:rPr>
          <w:spacing w:val="1"/>
        </w:rPr>
        <w:t> </w:t>
      </w:r>
      <w:r>
        <w:rPr/>
        <w:t>P15,</w:t>
      </w:r>
      <w:r>
        <w:rPr>
          <w:spacing w:val="1"/>
        </w:rPr>
        <w:t> </w:t>
      </w:r>
      <w:r>
        <w:rPr/>
        <w:t>P16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P17</w:t>
        <w:tab/>
        <w:t>60</w:t>
      </w:r>
    </w:p>
    <w:p>
      <w:pPr>
        <w:pStyle w:val="BodyText"/>
        <w:rPr>
          <w:b/>
        </w:rPr>
      </w:pPr>
    </w:p>
    <w:p>
      <w:pPr>
        <w:tabs>
          <w:tab w:pos="8807" w:val="left" w:leader="dot"/>
        </w:tabs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4.3: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Chemical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description 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P19,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P21,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P22,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P23,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P24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P25</w:t>
        <w:tab/>
        <w:t>61</w:t>
      </w:r>
    </w:p>
    <w:p>
      <w:pPr>
        <w:pStyle w:val="BodyText"/>
        <w:rPr>
          <w:b/>
        </w:rPr>
      </w:pPr>
    </w:p>
    <w:p>
      <w:pPr>
        <w:pStyle w:val="Heading1"/>
        <w:tabs>
          <w:tab w:pos="8807" w:val="left" w:leader="dot"/>
        </w:tabs>
        <w:spacing w:before="0"/>
      </w:pPr>
      <w:r>
        <w:rPr/>
        <w:t>Table</w:t>
      </w:r>
      <w:r>
        <w:rPr>
          <w:spacing w:val="-1"/>
        </w:rPr>
        <w:t> </w:t>
      </w:r>
      <w:r>
        <w:rPr/>
        <w:t>4.4:</w:t>
      </w:r>
      <w:r>
        <w:rPr>
          <w:spacing w:val="3"/>
        </w:rPr>
        <w:t> </w:t>
      </w:r>
      <w:r>
        <w:rPr/>
        <w:t>Analysis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theoretical</w:t>
      </w:r>
      <w:r>
        <w:rPr>
          <w:spacing w:val="-5"/>
        </w:rPr>
        <w:t> </w:t>
      </w:r>
      <w:r>
        <w:rPr/>
        <w:t>oral</w:t>
      </w:r>
      <w:r>
        <w:rPr>
          <w:spacing w:val="-5"/>
        </w:rPr>
        <w:t> </w:t>
      </w:r>
      <w:r>
        <w:rPr/>
        <w:t>bioavailability</w:t>
        <w:tab/>
        <w:t>63</w:t>
      </w:r>
    </w:p>
    <w:p>
      <w:pPr>
        <w:pStyle w:val="BodyText"/>
        <w:rPr>
          <w:b/>
        </w:rPr>
      </w:pPr>
    </w:p>
    <w:p>
      <w:pPr>
        <w:tabs>
          <w:tab w:pos="8807" w:val="left" w:leader="dot"/>
        </w:tabs>
        <w:spacing w:before="1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4.5: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Yield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Some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Physical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Properties 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substituted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chalcones</w:t>
        <w:tab/>
        <w:t>65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Heading1"/>
        <w:tabs>
          <w:tab w:pos="8807" w:val="left" w:leader="dot"/>
        </w:tabs>
        <w:spacing w:before="0"/>
      </w:pPr>
      <w:r>
        <w:rPr/>
        <w:t>Table</w:t>
      </w:r>
      <w:r>
        <w:rPr>
          <w:spacing w:val="-1"/>
        </w:rPr>
        <w:t> </w:t>
      </w:r>
      <w:r>
        <w:rPr/>
        <w:t>4.6:</w:t>
      </w:r>
      <w:r>
        <w:rPr>
          <w:spacing w:val="2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-3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Data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P1,</w:t>
      </w:r>
      <w:r>
        <w:rPr>
          <w:spacing w:val="2"/>
          <w:vertAlign w:val="baseline"/>
        </w:rPr>
        <w:t> </w:t>
      </w:r>
      <w:r>
        <w:rPr>
          <w:vertAlign w:val="baseline"/>
        </w:rPr>
        <w:t>P2 and</w:t>
      </w:r>
      <w:r>
        <w:rPr>
          <w:spacing w:val="-4"/>
          <w:vertAlign w:val="baseline"/>
        </w:rPr>
        <w:t> </w:t>
      </w:r>
      <w:r>
        <w:rPr>
          <w:vertAlign w:val="baseline"/>
        </w:rPr>
        <w:t>P13</w:t>
        <w:tab/>
        <w:t>67</w:t>
      </w:r>
    </w:p>
    <w:p>
      <w:pPr>
        <w:pStyle w:val="BodyText"/>
        <w:rPr>
          <w:b/>
        </w:rPr>
      </w:pPr>
    </w:p>
    <w:p>
      <w:pPr>
        <w:tabs>
          <w:tab w:pos="8807" w:val="left" w:leader="dot"/>
        </w:tabs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 4.7:</w:t>
      </w:r>
      <w:r>
        <w:rPr>
          <w:b/>
          <w:spacing w:val="4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and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baseline"/>
        </w:rPr>
        <w:t>Data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P3,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P4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and</w:t>
      </w:r>
      <w:r>
        <w:rPr>
          <w:b/>
          <w:spacing w:val="-8"/>
          <w:sz w:val="24"/>
          <w:vertAlign w:val="baseline"/>
        </w:rPr>
        <w:t> </w:t>
      </w:r>
      <w:r>
        <w:rPr>
          <w:b/>
          <w:sz w:val="24"/>
          <w:vertAlign w:val="baseline"/>
        </w:rPr>
        <w:t>P8</w:t>
        <w:tab/>
        <w:t>69</w:t>
      </w:r>
    </w:p>
    <w:p>
      <w:pPr>
        <w:pStyle w:val="BodyText"/>
        <w:rPr>
          <w:b/>
        </w:rPr>
      </w:pPr>
    </w:p>
    <w:p>
      <w:pPr>
        <w:pStyle w:val="Heading1"/>
        <w:tabs>
          <w:tab w:pos="8807" w:val="left" w:leader="dot"/>
        </w:tabs>
        <w:spacing w:before="1"/>
      </w:pPr>
      <w:r>
        <w:rPr/>
        <w:t>Table</w:t>
      </w:r>
      <w:r>
        <w:rPr>
          <w:spacing w:val="-1"/>
        </w:rPr>
        <w:t> </w:t>
      </w:r>
      <w:r>
        <w:rPr/>
        <w:t>4.8:</w:t>
      </w:r>
      <w:r>
        <w:rPr>
          <w:spacing w:val="4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5"/>
          <w:vertAlign w:val="baseline"/>
        </w:rPr>
        <w:t> </w:t>
      </w:r>
      <w:r>
        <w:rPr>
          <w:vertAlign w:val="baseline"/>
        </w:rPr>
        <w:t>NMR</w:t>
      </w:r>
      <w:r>
        <w:rPr>
          <w:spacing w:val="-5"/>
          <w:vertAlign w:val="baseline"/>
        </w:rPr>
        <w:t> </w:t>
      </w:r>
      <w:r>
        <w:rPr>
          <w:vertAlign w:val="baseline"/>
        </w:rPr>
        <w:t>Data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P11,</w:t>
      </w:r>
      <w:r>
        <w:rPr>
          <w:spacing w:val="-2"/>
          <w:vertAlign w:val="baseline"/>
        </w:rPr>
        <w:t> </w:t>
      </w:r>
      <w:r>
        <w:rPr>
          <w:vertAlign w:val="baseline"/>
        </w:rPr>
        <w:t>P12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P17</w:t>
        <w:tab/>
        <w:t>71</w:t>
      </w:r>
    </w:p>
    <w:p>
      <w:pPr>
        <w:pStyle w:val="BodyText"/>
        <w:spacing w:before="11"/>
        <w:rPr>
          <w:b/>
          <w:sz w:val="23"/>
        </w:rPr>
      </w:pPr>
    </w:p>
    <w:p>
      <w:pPr>
        <w:tabs>
          <w:tab w:pos="8807" w:val="left" w:leader="dot"/>
        </w:tabs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4.9:</w:t>
      </w:r>
      <w:r>
        <w:rPr>
          <w:b/>
          <w:spacing w:val="2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Hand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Data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P15,</w:t>
      </w:r>
      <w:r>
        <w:rPr>
          <w:b/>
          <w:spacing w:val="2"/>
          <w:sz w:val="24"/>
          <w:vertAlign w:val="baseline"/>
        </w:rPr>
        <w:t> </w:t>
      </w:r>
      <w:r>
        <w:rPr>
          <w:b/>
          <w:sz w:val="24"/>
          <w:vertAlign w:val="baseline"/>
        </w:rPr>
        <w:t>P16 and P23</w:t>
        <w:tab/>
        <w:t>73</w:t>
      </w:r>
    </w:p>
    <w:p>
      <w:pPr>
        <w:pStyle w:val="BodyText"/>
        <w:rPr>
          <w:b/>
        </w:rPr>
      </w:pPr>
    </w:p>
    <w:p>
      <w:pPr>
        <w:pStyle w:val="Heading1"/>
        <w:tabs>
          <w:tab w:pos="8807" w:val="left" w:leader="dot"/>
        </w:tabs>
        <w:spacing w:before="0"/>
      </w:pPr>
      <w:r>
        <w:rPr/>
        <w:t>Table</w:t>
      </w:r>
      <w:r>
        <w:rPr>
          <w:spacing w:val="-2"/>
        </w:rPr>
        <w:t> </w:t>
      </w:r>
      <w:r>
        <w:rPr/>
        <w:t>4.10:</w:t>
      </w:r>
      <w:r>
        <w:rPr>
          <w:spacing w:val="3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-4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Data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P19,</w:t>
      </w:r>
      <w:r>
        <w:rPr>
          <w:spacing w:val="2"/>
          <w:vertAlign w:val="baseline"/>
        </w:rPr>
        <w:t> </w:t>
      </w:r>
      <w:r>
        <w:rPr>
          <w:vertAlign w:val="baseline"/>
        </w:rPr>
        <w:t>P24 and P25</w:t>
        <w:tab/>
        <w:t>75</w:t>
      </w:r>
    </w:p>
    <w:p>
      <w:pPr>
        <w:pStyle w:val="BodyText"/>
        <w:rPr>
          <w:b/>
        </w:rPr>
      </w:pPr>
    </w:p>
    <w:p>
      <w:pPr>
        <w:tabs>
          <w:tab w:pos="8807" w:val="left" w:leader="dot"/>
        </w:tabs>
        <w:spacing w:before="1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4.11:</w:t>
      </w:r>
      <w:r>
        <w:rPr>
          <w:b/>
          <w:spacing w:val="3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Hand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Assignment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P21,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and P22</w:t>
        <w:tab/>
        <w:t>77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Heading1"/>
        <w:tabs>
          <w:tab w:pos="8807" w:val="left" w:leader="dot"/>
        </w:tabs>
        <w:spacing w:line="480" w:lineRule="auto" w:before="0"/>
        <w:ind w:right="691"/>
      </w:pPr>
      <w:r>
        <w:rPr/>
        <w:t>Table</w:t>
      </w:r>
      <w:r>
        <w:rPr>
          <w:spacing w:val="17"/>
        </w:rPr>
        <w:t> </w:t>
      </w:r>
      <w:r>
        <w:rPr/>
        <w:t>4.12:</w:t>
      </w:r>
      <w:r>
        <w:rPr>
          <w:spacing w:val="20"/>
        </w:rPr>
        <w:t> </w:t>
      </w:r>
      <w:r>
        <w:rPr/>
        <w:t>Effect</w:t>
      </w:r>
      <w:r>
        <w:rPr>
          <w:spacing w:val="19"/>
        </w:rPr>
        <w:t> </w:t>
      </w:r>
      <w:r>
        <w:rPr/>
        <w:t>of</w:t>
      </w:r>
      <w:r>
        <w:rPr>
          <w:spacing w:val="21"/>
        </w:rPr>
        <w:t> </w:t>
      </w:r>
      <w:r>
        <w:rPr/>
        <w:t>P2,</w:t>
      </w:r>
      <w:r>
        <w:rPr>
          <w:spacing w:val="20"/>
        </w:rPr>
        <w:t> </w:t>
      </w:r>
      <w:r>
        <w:rPr/>
        <w:t>P3,</w:t>
      </w:r>
      <w:r>
        <w:rPr>
          <w:spacing w:val="21"/>
        </w:rPr>
        <w:t> </w:t>
      </w:r>
      <w:r>
        <w:rPr/>
        <w:t>P4,</w:t>
      </w:r>
      <w:r>
        <w:rPr>
          <w:spacing w:val="20"/>
        </w:rPr>
        <w:t> </w:t>
      </w:r>
      <w:r>
        <w:rPr/>
        <w:t>P8,</w:t>
      </w:r>
      <w:r>
        <w:rPr>
          <w:spacing w:val="21"/>
        </w:rPr>
        <w:t> </w:t>
      </w:r>
      <w:r>
        <w:rPr/>
        <w:t>P11,</w:t>
      </w:r>
      <w:r>
        <w:rPr>
          <w:spacing w:val="20"/>
        </w:rPr>
        <w:t> </w:t>
      </w:r>
      <w:r>
        <w:rPr/>
        <w:t>P12,</w:t>
      </w:r>
      <w:r>
        <w:rPr>
          <w:spacing w:val="16"/>
        </w:rPr>
        <w:t> </w:t>
      </w:r>
      <w:r>
        <w:rPr/>
        <w:t>P17,</w:t>
      </w:r>
      <w:r>
        <w:rPr>
          <w:spacing w:val="21"/>
        </w:rPr>
        <w:t> </w:t>
      </w:r>
      <w:r>
        <w:rPr/>
        <w:t>P21</w:t>
      </w:r>
      <w:r>
        <w:rPr>
          <w:spacing w:val="18"/>
        </w:rPr>
        <w:t> </w:t>
      </w:r>
      <w:r>
        <w:rPr/>
        <w:t>and</w:t>
      </w:r>
      <w:r>
        <w:rPr>
          <w:spacing w:val="20"/>
        </w:rPr>
        <w:t> </w:t>
      </w:r>
      <w:r>
        <w:rPr/>
        <w:t>P25</w:t>
      </w:r>
      <w:r>
        <w:rPr>
          <w:spacing w:val="18"/>
        </w:rPr>
        <w:t> </w:t>
      </w:r>
      <w:r>
        <w:rPr/>
        <w:t>on</w:t>
      </w:r>
      <w:r>
        <w:rPr>
          <w:spacing w:val="20"/>
        </w:rPr>
        <w:t> </w:t>
      </w:r>
      <w:r>
        <w:rPr/>
        <w:t>inhibition</w:t>
      </w:r>
      <w:r>
        <w:rPr>
          <w:spacing w:val="20"/>
        </w:rPr>
        <w:t> </w:t>
      </w:r>
      <w:r>
        <w:rPr/>
        <w:t>of</w:t>
      </w:r>
      <w:r>
        <w:rPr>
          <w:spacing w:val="27"/>
        </w:rPr>
        <w:t> </w:t>
      </w:r>
      <w:r>
        <w:rPr/>
        <w:t>β-</w:t>
      </w:r>
      <w:r>
        <w:rPr>
          <w:spacing w:val="-57"/>
        </w:rPr>
        <w:t> </w:t>
      </w:r>
      <w:r>
        <w:rPr/>
        <w:t>hematin</w:t>
      </w:r>
      <w:r>
        <w:rPr>
          <w:spacing w:val="-1"/>
        </w:rPr>
        <w:t> </w:t>
      </w:r>
      <w:r>
        <w:rPr/>
        <w:t>synthesis</w:t>
        <w:tab/>
        <w:t>83</w:t>
      </w:r>
    </w:p>
    <w:p>
      <w:pPr>
        <w:tabs>
          <w:tab w:pos="8807" w:val="left" w:leader="dot"/>
        </w:tabs>
        <w:spacing w:line="480" w:lineRule="auto" w:before="0"/>
        <w:ind w:left="312" w:right="697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4.13: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Showing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crystal structure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enzyme</w:t>
      </w:r>
      <w:r>
        <w:rPr>
          <w:b/>
          <w:spacing w:val="6"/>
          <w:sz w:val="24"/>
        </w:rPr>
        <w:t> </w:t>
      </w:r>
      <w:r>
        <w:rPr>
          <w:b/>
          <w:sz w:val="24"/>
        </w:rPr>
        <w:t>complexes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re-docked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ligand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super-imposed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crystal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structure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validation</w:t>
        <w:tab/>
      </w:r>
      <w:r>
        <w:rPr>
          <w:b/>
          <w:spacing w:val="-1"/>
          <w:sz w:val="24"/>
        </w:rPr>
        <w:t>85</w:t>
      </w:r>
    </w:p>
    <w:p>
      <w:pPr>
        <w:pStyle w:val="Heading1"/>
        <w:tabs>
          <w:tab w:pos="8687" w:val="left" w:leader="dot"/>
        </w:tabs>
        <w:spacing w:line="480" w:lineRule="auto" w:before="1"/>
        <w:ind w:right="696"/>
      </w:pPr>
      <w:r>
        <w:rPr/>
        <w:t>Table</w:t>
      </w:r>
      <w:r>
        <w:rPr>
          <w:spacing w:val="23"/>
        </w:rPr>
        <w:t> </w:t>
      </w:r>
      <w:r>
        <w:rPr/>
        <w:t>4.14:</w:t>
      </w:r>
      <w:r>
        <w:rPr>
          <w:spacing w:val="25"/>
        </w:rPr>
        <w:t> </w:t>
      </w:r>
      <w:r>
        <w:rPr/>
        <w:t>Binding</w:t>
      </w:r>
      <w:r>
        <w:rPr>
          <w:spacing w:val="24"/>
        </w:rPr>
        <w:t> </w:t>
      </w:r>
      <w:r>
        <w:rPr/>
        <w:t>free</w:t>
      </w:r>
      <w:r>
        <w:rPr>
          <w:spacing w:val="23"/>
        </w:rPr>
        <w:t> </w:t>
      </w:r>
      <w:r>
        <w:rPr/>
        <w:t>energy</w:t>
      </w:r>
      <w:r>
        <w:rPr>
          <w:spacing w:val="24"/>
        </w:rPr>
        <w:t> </w:t>
      </w:r>
      <w:r>
        <w:rPr/>
        <w:t>analysis</w:t>
      </w:r>
      <w:r>
        <w:rPr>
          <w:spacing w:val="22"/>
        </w:rPr>
        <w:t> </w:t>
      </w:r>
      <w:r>
        <w:rPr/>
        <w:t>of</w:t>
      </w:r>
      <w:r>
        <w:rPr>
          <w:spacing w:val="22"/>
        </w:rPr>
        <w:t> </w:t>
      </w:r>
      <w:r>
        <w:rPr/>
        <w:t>P3</w:t>
      </w:r>
      <w:r>
        <w:rPr>
          <w:spacing w:val="28"/>
        </w:rPr>
        <w:t> </w:t>
      </w:r>
      <w:r>
        <w:rPr/>
        <w:t>and</w:t>
      </w:r>
      <w:r>
        <w:rPr>
          <w:spacing w:val="24"/>
        </w:rPr>
        <w:t> </w:t>
      </w:r>
      <w:r>
        <w:rPr/>
        <w:t>P4</w:t>
      </w:r>
      <w:r>
        <w:rPr>
          <w:spacing w:val="24"/>
        </w:rPr>
        <w:t> </w:t>
      </w:r>
      <w:r>
        <w:rPr/>
        <w:t>in</w:t>
      </w:r>
      <w:r>
        <w:rPr>
          <w:spacing w:val="25"/>
        </w:rPr>
        <w:t> </w:t>
      </w:r>
      <w:r>
        <w:rPr/>
        <w:t>complex</w:t>
      </w:r>
      <w:r>
        <w:rPr>
          <w:spacing w:val="19"/>
        </w:rPr>
        <w:t> </w:t>
      </w:r>
      <w:r>
        <w:rPr/>
        <w:t>with</w:t>
      </w:r>
      <w:r>
        <w:rPr>
          <w:spacing w:val="25"/>
        </w:rPr>
        <w:t> </w:t>
      </w:r>
      <w:r>
        <w:rPr/>
        <w:t>FP-2,</w:t>
      </w:r>
      <w:r>
        <w:rPr>
          <w:spacing w:val="26"/>
        </w:rPr>
        <w:t> </w:t>
      </w:r>
      <w:r>
        <w:rPr/>
        <w:t>FP-3,</w:t>
      </w:r>
      <w:r>
        <w:rPr>
          <w:spacing w:val="-57"/>
        </w:rPr>
        <w:t> </w:t>
      </w:r>
      <w:r>
        <w:rPr/>
        <w:t>Plm-II</w:t>
      </w:r>
      <w:r>
        <w:rPr>
          <w:spacing w:val="-2"/>
        </w:rPr>
        <w:t> </w:t>
      </w:r>
      <w:r>
        <w:rPr/>
        <w:t>and Plm-IV</w:t>
        <w:tab/>
      </w:r>
      <w:r>
        <w:rPr>
          <w:spacing w:val="-1"/>
        </w:rPr>
        <w:t>110</w:t>
      </w:r>
    </w:p>
    <w:p>
      <w:pPr>
        <w:spacing w:after="0" w:line="480" w:lineRule="auto"/>
        <w:sectPr>
          <w:headerReference w:type="default" r:id="rId18"/>
          <w:footerReference w:type="default" r:id="rId19"/>
          <w:pgSz w:w="11910" w:h="16840"/>
          <w:pgMar w:header="0" w:footer="2318" w:top="1480" w:bottom="2500" w:left="1560" w:right="600"/>
        </w:sectPr>
      </w:pPr>
    </w:p>
    <w:p>
      <w:pPr>
        <w:pStyle w:val="Heading1"/>
        <w:spacing w:before="74"/>
        <w:ind w:right="696"/>
        <w:jc w:val="center"/>
      </w:pPr>
      <w:bookmarkStart w:name="_TOC_250090" w:id="3"/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3"/>
      <w:r>
        <w:rPr/>
        <w:t>FIGURES</w:t>
      </w:r>
    </w:p>
    <w:p>
      <w:pPr>
        <w:pStyle w:val="Heading1"/>
        <w:tabs>
          <w:tab w:pos="9047" w:val="right" w:leader="dot"/>
        </w:tabs>
        <w:spacing w:before="478"/>
      </w:pPr>
      <w:r>
        <w:rPr/>
        <w:t>Figure 1.1:</w:t>
      </w:r>
      <w:r>
        <w:rPr>
          <w:spacing w:val="5"/>
        </w:rPr>
        <w:t> </w:t>
      </w:r>
      <w:r>
        <w:rPr/>
        <w:t>Chalcone</w:t>
        <w:tab/>
        <w:t>5</w:t>
      </w:r>
    </w:p>
    <w:p>
      <w:pPr>
        <w:tabs>
          <w:tab w:pos="9047" w:val="right" w:leader="dot"/>
        </w:tabs>
        <w:spacing w:before="277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Figure 2.1:</w:t>
      </w:r>
      <w:r>
        <w:rPr>
          <w:b/>
          <w:spacing w:val="5"/>
          <w:sz w:val="24"/>
        </w:rPr>
        <w:t> </w:t>
      </w:r>
      <w:r>
        <w:rPr>
          <w:b/>
          <w:sz w:val="24"/>
        </w:rPr>
        <w:t>The life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cycle of</w:t>
      </w:r>
      <w:r>
        <w:rPr>
          <w:b/>
          <w:spacing w:val="1"/>
          <w:sz w:val="24"/>
        </w:rPr>
        <w:t> </w:t>
      </w:r>
      <w:r>
        <w:rPr>
          <w:b/>
          <w:i/>
          <w:sz w:val="24"/>
        </w:rPr>
        <w:t>Plasmodium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falciparum</w:t>
        <w:tab/>
      </w:r>
      <w:r>
        <w:rPr>
          <w:b/>
          <w:sz w:val="24"/>
        </w:rPr>
        <w:t>11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2.2:</w:t>
      </w:r>
      <w:r>
        <w:rPr>
          <w:spacing w:val="4"/>
        </w:rPr>
        <w:t> </w:t>
      </w:r>
      <w:r>
        <w:rPr/>
        <w:t>Cartoon</w:t>
      </w:r>
      <w:r>
        <w:rPr>
          <w:spacing w:val="1"/>
        </w:rPr>
        <w:t> </w:t>
      </w:r>
      <w:r>
        <w:rPr/>
        <w:t>representation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4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falcipain-2</w:t>
        <w:tab/>
        <w:t>15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2.3:</w:t>
      </w:r>
      <w:r>
        <w:rPr>
          <w:spacing w:val="4"/>
        </w:rPr>
        <w:t> </w:t>
      </w:r>
      <w:r>
        <w:rPr/>
        <w:t>Ribbon</w:t>
      </w:r>
      <w:r>
        <w:rPr>
          <w:spacing w:val="-3"/>
        </w:rPr>
        <w:t> </w:t>
      </w:r>
      <w:r>
        <w:rPr/>
        <w:t>diagram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complex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plasmepsins</w:t>
      </w:r>
      <w:r>
        <w:rPr>
          <w:spacing w:val="-1"/>
        </w:rPr>
        <w:t> </w:t>
      </w:r>
      <w:r>
        <w:rPr/>
        <w:t>II</w:t>
      </w:r>
      <w:r>
        <w:rPr>
          <w:spacing w:val="-1"/>
        </w:rPr>
        <w:t> </w:t>
      </w:r>
      <w:r>
        <w:rPr/>
        <w:t>with</w:t>
      </w:r>
      <w:r>
        <w:rPr>
          <w:spacing w:val="2"/>
        </w:rPr>
        <w:t> </w:t>
      </w:r>
      <w:r>
        <w:rPr/>
        <w:t>EH58.</w:t>
        <w:tab/>
        <w:t>17</w:t>
      </w:r>
    </w:p>
    <w:p>
      <w:pPr>
        <w:pStyle w:val="Heading1"/>
        <w:spacing w:before="276"/>
      </w:pPr>
      <w:r>
        <w:rPr/>
        <w:t>Figure 2.4:</w:t>
      </w:r>
      <w:r>
        <w:rPr>
          <w:spacing w:val="5"/>
        </w:rPr>
        <w:t> </w:t>
      </w:r>
      <w:r>
        <w:rPr/>
        <w:t>The degradation</w:t>
      </w:r>
      <w:r>
        <w:rPr>
          <w:spacing w:val="3"/>
        </w:rPr>
        <w:t> </w:t>
      </w:r>
      <w:r>
        <w:rPr/>
        <w:t>process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hemoglobin</w:t>
      </w:r>
      <w:r>
        <w:rPr>
          <w:spacing w:val="2"/>
        </w:rPr>
        <w:t> </w:t>
      </w: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8"/>
        </w:rPr>
        <w:t> </w:t>
      </w:r>
      <w:r>
        <w:rPr>
          <w:i/>
        </w:rPr>
        <w:t>P.</w:t>
      </w:r>
      <w:r>
        <w:rPr>
          <w:i/>
          <w:spacing w:val="4"/>
        </w:rPr>
        <w:t> </w:t>
      </w:r>
      <w:r>
        <w:rPr>
          <w:i/>
        </w:rPr>
        <w:t>falciparum</w:t>
      </w:r>
      <w:r>
        <w:rPr>
          <w:i/>
          <w:spacing w:val="8"/>
        </w:rPr>
        <w:t> </w:t>
      </w:r>
      <w:r>
        <w:rPr/>
        <w:t>food</w:t>
      </w:r>
      <w:r>
        <w:rPr>
          <w:spacing w:val="2"/>
        </w:rPr>
        <w:t> </w:t>
      </w:r>
      <w:r>
        <w:rPr/>
        <w:t>vacuole.</w:t>
      </w:r>
    </w:p>
    <w:p>
      <w:pPr>
        <w:pStyle w:val="Heading1"/>
        <w:spacing w:before="276"/>
      </w:pPr>
      <w:r>
        <w:rPr/>
        <w:t>........................................................................................................................................20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2.5: (E)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(Z)</w:t>
      </w:r>
      <w:r>
        <w:rPr>
          <w:spacing w:val="2"/>
        </w:rPr>
        <w:t> </w:t>
      </w:r>
      <w:r>
        <w:rPr/>
        <w:t>chalcone</w:t>
        <w:tab/>
        <w:t>22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Figure 3.6:</w:t>
      </w:r>
      <w:r>
        <w:rPr>
          <w:spacing w:val="5"/>
        </w:rPr>
        <w:t> </w:t>
      </w:r>
      <w:r>
        <w:rPr/>
        <w:t>Claisen-Schmidt</w:t>
      </w:r>
      <w:r>
        <w:rPr>
          <w:spacing w:val="3"/>
        </w:rPr>
        <w:t> </w:t>
      </w:r>
      <w:r>
        <w:rPr/>
        <w:t>condensation</w:t>
        <w:tab/>
        <w:t>23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</w:t>
      </w:r>
      <w:r>
        <w:rPr>
          <w:spacing w:val="-1"/>
        </w:rPr>
        <w:t> </w:t>
      </w:r>
      <w:r>
        <w:rPr/>
        <w:t>2.7:</w:t>
      </w:r>
      <w:r>
        <w:rPr>
          <w:spacing w:val="-2"/>
        </w:rPr>
        <w:t> </w:t>
      </w:r>
      <w:r>
        <w:rPr/>
        <w:t>Based</w:t>
      </w:r>
      <w:r>
        <w:rPr>
          <w:spacing w:val="1"/>
        </w:rPr>
        <w:t> </w:t>
      </w:r>
      <w:r>
        <w:rPr/>
        <w:t>catalyzed</w:t>
      </w:r>
      <w:r>
        <w:rPr>
          <w:spacing w:val="6"/>
        </w:rPr>
        <w:t> </w:t>
      </w:r>
      <w:r>
        <w:rPr/>
        <w:t>reaction</w:t>
      </w:r>
      <w:r>
        <w:rPr>
          <w:spacing w:val="2"/>
        </w:rPr>
        <w:t> </w:t>
      </w:r>
      <w:r>
        <w:rPr/>
        <w:t>mechanism</w:t>
      </w:r>
      <w:r>
        <w:rPr>
          <w:spacing w:val="-2"/>
        </w:rPr>
        <w:t> </w:t>
      </w:r>
      <w:r>
        <w:rPr/>
        <w:t>for</w:t>
      </w:r>
      <w:r>
        <w:rPr>
          <w:spacing w:val="-6"/>
        </w:rPr>
        <w:t> </w:t>
      </w:r>
      <w:r>
        <w:rPr/>
        <w:t>chalcone formation</w:t>
        <w:tab/>
        <w:t>24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</w:t>
      </w:r>
      <w:r>
        <w:rPr>
          <w:spacing w:val="-1"/>
        </w:rPr>
        <w:t> </w:t>
      </w:r>
      <w:r>
        <w:rPr/>
        <w:t>2.8:</w:t>
      </w:r>
      <w:r>
        <w:rPr>
          <w:spacing w:val="4"/>
        </w:rPr>
        <w:t> </w:t>
      </w:r>
      <w:r>
        <w:rPr/>
        <w:t>oxalic</w:t>
      </w:r>
      <w:r>
        <w:rPr>
          <w:spacing w:val="-1"/>
        </w:rPr>
        <w:t> </w:t>
      </w:r>
      <w:r>
        <w:rPr/>
        <w:t>bis[(2-hydroxy-</w:t>
      </w:r>
      <w:r>
        <w:rPr>
          <w:spacing w:val="3"/>
        </w:rPr>
        <w:t> </w:t>
      </w:r>
      <w:r>
        <w:rPr/>
        <w:t>1-naphthylmethylene)hydrazide]</w:t>
        <w:tab/>
        <w:t>25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2.9:</w:t>
      </w:r>
      <w:r>
        <w:rPr>
          <w:spacing w:val="3"/>
        </w:rPr>
        <w:t> </w:t>
      </w:r>
      <w:r>
        <w:rPr/>
        <w:t>Licochalcone</w:t>
      </w:r>
      <w:r>
        <w:rPr>
          <w:spacing w:val="1"/>
        </w:rPr>
        <w:t> </w:t>
      </w:r>
      <w:r>
        <w:rPr/>
        <w:t>A</w:t>
        <w:tab/>
        <w:t>27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2.10:</w:t>
      </w:r>
      <w:r>
        <w:rPr>
          <w:spacing w:val="5"/>
        </w:rPr>
        <w:t> </w:t>
      </w:r>
      <w:r>
        <w:rPr/>
        <w:t>2,4-</w:t>
      </w:r>
      <w:r>
        <w:rPr>
          <w:spacing w:val="-1"/>
        </w:rPr>
        <w:t> </w:t>
      </w:r>
      <w:r>
        <w:rPr/>
        <w:t>dimethoxy-4'-butoxychalcone</w:t>
        <w:tab/>
        <w:t>27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2.11:</w:t>
      </w:r>
      <w:r>
        <w:rPr>
          <w:spacing w:val="3"/>
        </w:rPr>
        <w:t> </w:t>
      </w:r>
      <w:r>
        <w:rPr/>
        <w:t>Quinolinyl</w:t>
      </w:r>
      <w:r>
        <w:rPr>
          <w:spacing w:val="-3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chalcone</w:t>
        <w:tab/>
        <w:t>29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Figure 2.12:</w:t>
      </w:r>
      <w:r>
        <w:rPr>
          <w:spacing w:val="5"/>
        </w:rPr>
        <w:t> </w:t>
      </w:r>
      <w:r>
        <w:rPr/>
        <w:t>1,2,4-triazole substituted</w:t>
      </w:r>
      <w:r>
        <w:rPr>
          <w:spacing w:val="2"/>
        </w:rPr>
        <w:t> </w:t>
      </w:r>
      <w:r>
        <w:rPr/>
        <w:t>chalcones</w:t>
        <w:tab/>
        <w:t>29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</w:t>
      </w:r>
      <w:r>
        <w:rPr>
          <w:spacing w:val="-2"/>
        </w:rPr>
        <w:t> </w:t>
      </w:r>
      <w:r>
        <w:rPr/>
        <w:t>2.13:</w:t>
      </w:r>
      <w:r>
        <w:rPr>
          <w:spacing w:val="-4"/>
        </w:rPr>
        <w:t> </w:t>
      </w:r>
      <w:r>
        <w:rPr/>
        <w:t>(E)-1-(4-bromophenyl)-3-(2,4,5-trimethoxyphenyl)prop-2-</w:t>
      </w:r>
      <w:r>
        <w:rPr>
          <w:spacing w:val="1"/>
        </w:rPr>
        <w:t> </w:t>
      </w:r>
      <w:r>
        <w:rPr/>
        <w:t>en-1-one</w:t>
        <w:tab/>
        <w:t>30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3.1:Design</w:t>
      </w:r>
      <w:r>
        <w:rPr>
          <w:spacing w:val="3"/>
        </w:rPr>
        <w:t> </w:t>
      </w:r>
      <w:r>
        <w:rPr/>
        <w:t>of</w:t>
      </w:r>
      <w:r>
        <w:rPr>
          <w:spacing w:val="-2"/>
        </w:rPr>
        <w:t> </w:t>
      </w:r>
      <w:r>
        <w:rPr/>
        <w:t>methoxy</w:t>
      </w:r>
      <w:r>
        <w:rPr>
          <w:spacing w:val="2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chalcones</w:t>
        <w:tab/>
        <w:t>46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3.2:</w:t>
      </w:r>
      <w:r>
        <w:rPr>
          <w:spacing w:val="5"/>
        </w:rPr>
        <w:t> </w:t>
      </w:r>
      <w:r>
        <w:rPr/>
        <w:t>Hybrid</w:t>
      </w:r>
      <w:r>
        <w:rPr>
          <w:spacing w:val="2"/>
        </w:rPr>
        <w:t> </w:t>
      </w:r>
      <w:r>
        <w:rPr/>
        <w:t>design</w:t>
      </w:r>
      <w:r>
        <w:rPr>
          <w:spacing w:val="3"/>
        </w:rPr>
        <w:t> </w:t>
      </w:r>
      <w:r>
        <w:rPr/>
        <w:t>of</w:t>
      </w:r>
      <w:r>
        <w:rPr>
          <w:spacing w:val="-1"/>
        </w:rPr>
        <w:t> </w:t>
      </w:r>
      <w:r>
        <w:rPr/>
        <w:t>quinolinyl</w:t>
      </w:r>
      <w:r>
        <w:rPr>
          <w:spacing w:val="-4"/>
        </w:rPr>
        <w:t> </w:t>
      </w:r>
      <w:r>
        <w:rPr/>
        <w:t>chalcones</w:t>
        <w:tab/>
        <w:t>47</w:t>
      </w:r>
    </w:p>
    <w:p>
      <w:pPr>
        <w:pStyle w:val="Heading1"/>
        <w:tabs>
          <w:tab w:pos="9047" w:val="right" w:leader="dot"/>
        </w:tabs>
        <w:spacing w:before="272"/>
      </w:pPr>
      <w:r>
        <w:rPr/>
        <w:t>Figure 3.3:</w:t>
      </w:r>
      <w:r>
        <w:rPr>
          <w:spacing w:val="2"/>
        </w:rPr>
        <w:t> </w:t>
      </w:r>
      <w:r>
        <w:rPr/>
        <w:t>Scheme for</w:t>
      </w:r>
      <w:r>
        <w:rPr>
          <w:spacing w:val="-4"/>
        </w:rPr>
        <w:t> </w:t>
      </w:r>
      <w:r>
        <w:rPr/>
        <w:t>the synthesis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substituted</w:t>
      </w:r>
      <w:r>
        <w:rPr>
          <w:spacing w:val="2"/>
        </w:rPr>
        <w:t> </w:t>
      </w:r>
      <w:r>
        <w:rPr/>
        <w:t>chalcones</w:t>
        <w:tab/>
        <w:t>48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</w:t>
      </w:r>
      <w:r>
        <w:rPr>
          <w:spacing w:val="-1"/>
        </w:rPr>
        <w:t> </w:t>
      </w:r>
      <w:r>
        <w:rPr/>
        <w:t>4.1:</w:t>
      </w:r>
      <w:r>
        <w:rPr>
          <w:spacing w:val="3"/>
        </w:rPr>
        <w:t> </w:t>
      </w:r>
      <w:r>
        <w:rPr/>
        <w:t>2”,3”,4”-tri-methoxy</w:t>
      </w:r>
      <w:r>
        <w:rPr>
          <w:spacing w:val="1"/>
        </w:rPr>
        <w:t> </w:t>
      </w:r>
      <w:r>
        <w:rPr/>
        <w:t>substituted chalcones</w:t>
      </w:r>
      <w:r>
        <w:rPr>
          <w:spacing w:val="-2"/>
        </w:rPr>
        <w:t> </w:t>
      </w:r>
      <w:r>
        <w:rPr/>
        <w:t>(P1,</w:t>
      </w:r>
      <w:r>
        <w:rPr>
          <w:spacing w:val="3"/>
        </w:rPr>
        <w:t> </w:t>
      </w:r>
      <w:r>
        <w:rPr/>
        <w:t>P2 and,</w:t>
      </w:r>
      <w:r>
        <w:rPr>
          <w:spacing w:val="3"/>
        </w:rPr>
        <w:t> </w:t>
      </w:r>
      <w:r>
        <w:rPr/>
        <w:t>P13)</w:t>
        <w:tab/>
        <w:t>66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4.2:</w:t>
      </w:r>
      <w:r>
        <w:rPr>
          <w:spacing w:val="4"/>
        </w:rPr>
        <w:t> </w:t>
      </w:r>
      <w:r>
        <w:rPr/>
        <w:t>3-quinolinyl-substituted</w:t>
      </w:r>
      <w:r>
        <w:rPr>
          <w:spacing w:val="-3"/>
        </w:rPr>
        <w:t> </w:t>
      </w:r>
      <w:r>
        <w:rPr/>
        <w:t>chalcones (P3,</w:t>
      </w:r>
      <w:r>
        <w:rPr>
          <w:spacing w:val="3"/>
        </w:rPr>
        <w:t> </w:t>
      </w:r>
      <w:r>
        <w:rPr/>
        <w:t>P4</w:t>
      </w:r>
      <w:r>
        <w:rPr>
          <w:spacing w:val="1"/>
        </w:rPr>
        <w:t> </w:t>
      </w:r>
      <w:r>
        <w:rPr/>
        <w:t>and,</w:t>
      </w:r>
      <w:r>
        <w:rPr>
          <w:spacing w:val="-2"/>
        </w:rPr>
        <w:t> </w:t>
      </w:r>
      <w:r>
        <w:rPr/>
        <w:t>P8)</w:t>
        <w:tab/>
        <w:t>68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</w:t>
      </w:r>
      <w:r>
        <w:rPr>
          <w:spacing w:val="-1"/>
        </w:rPr>
        <w:t> </w:t>
      </w:r>
      <w:r>
        <w:rPr/>
        <w:t>4.3:</w:t>
      </w:r>
      <w:r>
        <w:rPr>
          <w:spacing w:val="2"/>
        </w:rPr>
        <w:t> </w:t>
      </w:r>
      <w:r>
        <w:rPr/>
        <w:t>2”,4”-di-methoxy-substituted chalcones</w:t>
      </w:r>
      <w:r>
        <w:rPr>
          <w:spacing w:val="-1"/>
        </w:rPr>
        <w:t> </w:t>
      </w:r>
      <w:r>
        <w:rPr/>
        <w:t>(P11,</w:t>
      </w:r>
      <w:r>
        <w:rPr>
          <w:spacing w:val="3"/>
        </w:rPr>
        <w:t> </w:t>
      </w:r>
      <w:r>
        <w:rPr/>
        <w:t>P12 and,</w:t>
      </w:r>
      <w:r>
        <w:rPr>
          <w:spacing w:val="3"/>
        </w:rPr>
        <w:t> </w:t>
      </w:r>
      <w:r>
        <w:rPr/>
        <w:t>P17)</w:t>
        <w:tab/>
        <w:t>70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Figure 4.4:</w:t>
      </w:r>
      <w:r>
        <w:rPr>
          <w:spacing w:val="2"/>
        </w:rPr>
        <w:t> </w:t>
      </w:r>
      <w:r>
        <w:rPr/>
        <w:t>4”-methoxy</w:t>
      </w:r>
      <w:r>
        <w:rPr>
          <w:spacing w:val="1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chalcones</w:t>
      </w:r>
      <w:r>
        <w:rPr>
          <w:spacing w:val="-1"/>
        </w:rPr>
        <w:t> </w:t>
      </w:r>
      <w:r>
        <w:rPr/>
        <w:t>(P15,</w:t>
      </w:r>
      <w:r>
        <w:rPr>
          <w:spacing w:val="3"/>
        </w:rPr>
        <w:t> </w:t>
      </w:r>
      <w:r>
        <w:rPr/>
        <w:t>P16</w:t>
      </w:r>
      <w:r>
        <w:rPr>
          <w:spacing w:val="1"/>
        </w:rPr>
        <w:t> </w:t>
      </w:r>
      <w:r>
        <w:rPr/>
        <w:t>and,</w:t>
      </w:r>
      <w:r>
        <w:rPr>
          <w:spacing w:val="2"/>
        </w:rPr>
        <w:t> </w:t>
      </w:r>
      <w:r>
        <w:rPr/>
        <w:t>P23)</w:t>
        <w:tab/>
        <w:t>72</w:t>
      </w:r>
    </w:p>
    <w:p>
      <w:pPr>
        <w:spacing w:after="0"/>
        <w:sectPr>
          <w:headerReference w:type="default" r:id="rId20"/>
          <w:footerReference w:type="default" r:id="rId21"/>
          <w:pgSz w:w="11910" w:h="16840"/>
          <w:pgMar w:header="0" w:footer="2318" w:top="1200" w:bottom="2500" w:left="1560" w:right="600"/>
        </w:sectPr>
      </w:pPr>
    </w:p>
    <w:p>
      <w:pPr>
        <w:pStyle w:val="Heading1"/>
        <w:tabs>
          <w:tab w:pos="8807" w:val="left" w:leader="dot"/>
        </w:tabs>
        <w:spacing w:line="480" w:lineRule="auto" w:before="74"/>
        <w:ind w:right="697"/>
      </w:pPr>
      <w:r>
        <w:rPr/>
        <w:t>Figure</w:t>
      </w:r>
      <w:r>
        <w:rPr>
          <w:spacing w:val="36"/>
        </w:rPr>
        <w:t> </w:t>
      </w:r>
      <w:r>
        <w:rPr/>
        <w:t>4.5:</w:t>
      </w:r>
      <w:r>
        <w:rPr>
          <w:spacing w:val="38"/>
        </w:rPr>
        <w:t> </w:t>
      </w:r>
      <w:r>
        <w:rPr/>
        <w:t>4”-methoxy</w:t>
      </w:r>
      <w:r>
        <w:rPr>
          <w:spacing w:val="41"/>
        </w:rPr>
        <w:t> </w:t>
      </w:r>
      <w:r>
        <w:rPr/>
        <w:t>substituted</w:t>
      </w:r>
      <w:r>
        <w:rPr>
          <w:spacing w:val="37"/>
        </w:rPr>
        <w:t> </w:t>
      </w:r>
      <w:r>
        <w:rPr/>
        <w:t>chalcone</w:t>
      </w:r>
      <w:r>
        <w:rPr>
          <w:spacing w:val="36"/>
        </w:rPr>
        <w:t> </w:t>
      </w:r>
      <w:r>
        <w:rPr/>
        <w:t>(P25)</w:t>
      </w:r>
      <w:r>
        <w:rPr>
          <w:spacing w:val="38"/>
        </w:rPr>
        <w:t> </w:t>
      </w:r>
      <w:r>
        <w:rPr/>
        <w:t>and</w:t>
      </w:r>
      <w:r>
        <w:rPr>
          <w:spacing w:val="37"/>
        </w:rPr>
        <w:t> </w:t>
      </w:r>
      <w:r>
        <w:rPr/>
        <w:t>un-substituted</w:t>
      </w:r>
      <w:r>
        <w:rPr>
          <w:spacing w:val="37"/>
        </w:rPr>
        <w:t> </w:t>
      </w:r>
      <w:r>
        <w:rPr/>
        <w:t>ring</w:t>
      </w:r>
      <w:r>
        <w:rPr>
          <w:spacing w:val="37"/>
        </w:rPr>
        <w:t> </w:t>
      </w:r>
      <w:r>
        <w:rPr/>
        <w:t>A</w:t>
      </w:r>
      <w:r>
        <w:rPr>
          <w:spacing w:val="-57"/>
        </w:rPr>
        <w:t> </w:t>
      </w:r>
      <w:r>
        <w:rPr/>
        <w:t>chalcones</w:t>
      </w:r>
      <w:r>
        <w:rPr>
          <w:spacing w:val="-2"/>
        </w:rPr>
        <w:t> </w:t>
      </w:r>
      <w:r>
        <w:rPr/>
        <w:t>(P19 and,</w:t>
      </w:r>
      <w:r>
        <w:rPr>
          <w:spacing w:val="-3"/>
        </w:rPr>
        <w:t> </w:t>
      </w:r>
      <w:r>
        <w:rPr/>
        <w:t>P24)</w:t>
        <w:tab/>
      </w:r>
      <w:r>
        <w:rPr>
          <w:spacing w:val="-1"/>
        </w:rPr>
        <w:t>74</w:t>
      </w:r>
    </w:p>
    <w:p>
      <w:pPr>
        <w:pStyle w:val="Heading1"/>
        <w:tabs>
          <w:tab w:pos="8807" w:val="left" w:leader="dot"/>
        </w:tabs>
        <w:spacing w:before="1"/>
      </w:pPr>
      <w:r>
        <w:rPr/>
        <w:t>Figure</w:t>
      </w:r>
      <w:r>
        <w:rPr>
          <w:spacing w:val="-2"/>
        </w:rPr>
        <w:t> </w:t>
      </w:r>
      <w:r>
        <w:rPr/>
        <w:t>4.6: 4”</w:t>
      </w:r>
      <w:r>
        <w:rPr>
          <w:spacing w:val="-6"/>
        </w:rPr>
        <w:t> </w:t>
      </w:r>
      <w:r>
        <w:rPr/>
        <w:t>triflouromethyl</w:t>
      </w:r>
      <w:r>
        <w:rPr>
          <w:spacing w:val="-2"/>
        </w:rPr>
        <w:t> </w:t>
      </w:r>
      <w:r>
        <w:rPr/>
        <w:t>-</w:t>
      </w:r>
      <w:r>
        <w:rPr>
          <w:spacing w:val="1"/>
        </w:rPr>
        <w:t> </w:t>
      </w:r>
      <w:r>
        <w:rPr/>
        <w:t>substituted</w:t>
      </w:r>
      <w:r>
        <w:rPr>
          <w:spacing w:val="-1"/>
        </w:rPr>
        <w:t> </w:t>
      </w:r>
      <w:r>
        <w:rPr/>
        <w:t>chalcones</w:t>
      </w:r>
      <w:r>
        <w:rPr>
          <w:spacing w:val="-3"/>
        </w:rPr>
        <w:t> </w:t>
      </w:r>
      <w:r>
        <w:rPr/>
        <w:t>(P21</w:t>
      </w:r>
      <w:r>
        <w:rPr>
          <w:spacing w:val="-1"/>
        </w:rPr>
        <w:t> </w:t>
      </w:r>
      <w:r>
        <w:rPr/>
        <w:t>and,</w:t>
      </w:r>
      <w:r>
        <w:rPr>
          <w:spacing w:val="-3"/>
        </w:rPr>
        <w:t> </w:t>
      </w:r>
      <w:r>
        <w:rPr/>
        <w:t>P22)</w:t>
        <w:tab/>
        <w:t>76</w:t>
      </w:r>
    </w:p>
    <w:p>
      <w:pPr>
        <w:pStyle w:val="Heading1"/>
        <w:tabs>
          <w:tab w:pos="8807" w:val="left" w:leader="dot"/>
        </w:tabs>
        <w:spacing w:line="480" w:lineRule="auto" w:before="276"/>
        <w:ind w:right="692"/>
      </w:pPr>
      <w:r>
        <w:rPr/>
        <w:t>Figure</w:t>
      </w:r>
      <w:r>
        <w:rPr>
          <w:spacing w:val="12"/>
        </w:rPr>
        <w:t> </w:t>
      </w:r>
      <w:r>
        <w:rPr/>
        <w:t>4.7:</w:t>
      </w:r>
      <w:r>
        <w:rPr>
          <w:spacing w:val="16"/>
        </w:rPr>
        <w:t> </w:t>
      </w:r>
      <w:r>
        <w:rPr/>
        <w:t>Effect</w:t>
      </w:r>
      <w:r>
        <w:rPr>
          <w:spacing w:val="16"/>
        </w:rPr>
        <w:t> </w:t>
      </w:r>
      <w:r>
        <w:rPr/>
        <w:t>of</w:t>
      </w:r>
      <w:r>
        <w:rPr>
          <w:spacing w:val="11"/>
        </w:rPr>
        <w:t> </w:t>
      </w:r>
      <w:r>
        <w:rPr/>
        <w:t>P1,</w:t>
      </w:r>
      <w:r>
        <w:rPr>
          <w:spacing w:val="15"/>
        </w:rPr>
        <w:t> </w:t>
      </w:r>
      <w:r>
        <w:rPr/>
        <w:t>P2,</w:t>
      </w:r>
      <w:r>
        <w:rPr>
          <w:spacing w:val="16"/>
        </w:rPr>
        <w:t> </w:t>
      </w:r>
      <w:r>
        <w:rPr/>
        <w:t>P3,</w:t>
      </w:r>
      <w:r>
        <w:rPr>
          <w:spacing w:val="16"/>
        </w:rPr>
        <w:t> </w:t>
      </w:r>
      <w:r>
        <w:rPr/>
        <w:t>P4,</w:t>
      </w:r>
      <w:r>
        <w:rPr>
          <w:spacing w:val="16"/>
        </w:rPr>
        <w:t> </w:t>
      </w:r>
      <w:r>
        <w:rPr/>
        <w:t>P8,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P23-P25</w:t>
      </w:r>
      <w:r>
        <w:rPr>
          <w:spacing w:val="14"/>
        </w:rPr>
        <w:t> </w: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13"/>
        </w:rPr>
        <w:t> </w:t>
      </w:r>
      <w:r>
        <w:rPr/>
        <w:t>parasitaemia</w:t>
      </w:r>
      <w:r>
        <w:rPr>
          <w:spacing w:val="18"/>
        </w:rPr>
        <w:t> </w:t>
      </w:r>
      <w:r>
        <w:rPr/>
        <w:t>level</w:t>
      </w:r>
      <w:r>
        <w:rPr>
          <w:spacing w:val="10"/>
        </w:rPr>
        <w:t> </w:t>
      </w:r>
      <w:r>
        <w:rPr/>
        <w:t>of</w:t>
      </w:r>
      <w:r>
        <w:rPr>
          <w:spacing w:val="16"/>
        </w:rPr>
        <w:t> </w:t>
      </w:r>
      <w:r>
        <w:rPr>
          <w:i/>
        </w:rPr>
        <w:t>P.</w:t>
      </w:r>
      <w:r>
        <w:rPr>
          <w:i/>
          <w:spacing w:val="-57"/>
        </w:rPr>
        <w:t> </w:t>
      </w:r>
      <w:r>
        <w:rPr>
          <w:i/>
        </w:rPr>
        <w:t>bergheii</w:t>
      </w:r>
      <w:r>
        <w:rPr>
          <w:i/>
          <w:spacing w:val="-1"/>
        </w:rPr>
        <w:t> </w:t>
      </w:r>
      <w:r>
        <w:rPr/>
        <w:t>infected</w:t>
      </w:r>
      <w:r>
        <w:rPr>
          <w:spacing w:val="-1"/>
        </w:rPr>
        <w:t> </w:t>
      </w:r>
      <w:r>
        <w:rPr/>
        <w:t>mice</w:t>
        <w:tab/>
        <w:t>80</w:t>
      </w:r>
    </w:p>
    <w:p>
      <w:pPr>
        <w:pStyle w:val="Heading1"/>
        <w:tabs>
          <w:tab w:pos="8807" w:val="left" w:leader="dot"/>
        </w:tabs>
        <w:spacing w:line="480" w:lineRule="auto" w:before="1"/>
        <w:ind w:right="692"/>
      </w:pPr>
      <w:r>
        <w:rPr/>
        <w:t>Figure</w:t>
      </w:r>
      <w:r>
        <w:rPr>
          <w:spacing w:val="7"/>
        </w:rPr>
        <w:t> </w:t>
      </w:r>
      <w:r>
        <w:rPr/>
        <w:t>4.8:</w:t>
      </w:r>
      <w:r>
        <w:rPr>
          <w:spacing w:val="10"/>
        </w:rPr>
        <w:t> </w:t>
      </w:r>
      <w:r>
        <w:rPr/>
        <w:t>Effect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P11,</w:t>
      </w:r>
      <w:r>
        <w:rPr>
          <w:spacing w:val="11"/>
        </w:rPr>
        <w:t> </w:t>
      </w:r>
      <w:r>
        <w:rPr/>
        <w:t>P13,</w:t>
      </w:r>
      <w:r>
        <w:rPr>
          <w:spacing w:val="10"/>
        </w:rPr>
        <w:t> </w:t>
      </w:r>
      <w:r>
        <w:rPr/>
        <w:t>P17,</w:t>
      </w:r>
      <w:r>
        <w:rPr>
          <w:spacing w:val="10"/>
        </w:rPr>
        <w:t> </w:t>
      </w:r>
      <w:r>
        <w:rPr/>
        <w:t>P18,</w:t>
      </w:r>
      <w:r>
        <w:rPr>
          <w:spacing w:val="11"/>
        </w:rPr>
        <w:t> </w:t>
      </w:r>
      <w:r>
        <w:rPr/>
        <w:t>and</w:t>
      </w:r>
      <w:r>
        <w:rPr>
          <w:spacing w:val="9"/>
        </w:rPr>
        <w:t> </w:t>
      </w:r>
      <w:r>
        <w:rPr/>
        <w:t>P21-P22</w:t>
      </w:r>
      <w:r>
        <w:rPr>
          <w:spacing w:val="9"/>
        </w:rPr>
        <w:t> </w:t>
      </w:r>
      <w:r>
        <w:rPr/>
        <w:t>on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parasitaemia</w:t>
      </w:r>
      <w:r>
        <w:rPr>
          <w:spacing w:val="9"/>
        </w:rPr>
        <w:t> </w:t>
      </w:r>
      <w:r>
        <w:rPr/>
        <w:t>level</w:t>
      </w:r>
      <w:r>
        <w:rPr>
          <w:spacing w:val="5"/>
        </w:rPr>
        <w:t> </w:t>
      </w:r>
      <w:r>
        <w:rPr/>
        <w:t>of</w:t>
      </w:r>
      <w:r>
        <w:rPr>
          <w:spacing w:val="10"/>
        </w:rPr>
        <w:t> </w:t>
      </w:r>
      <w:r>
        <w:rPr>
          <w:i/>
        </w:rPr>
        <w:t>P.</w:t>
      </w:r>
      <w:r>
        <w:rPr>
          <w:i/>
          <w:spacing w:val="-57"/>
        </w:rPr>
        <w:t> </w:t>
      </w:r>
      <w:r>
        <w:rPr>
          <w:i/>
        </w:rPr>
        <w:t>bergheii</w:t>
      </w:r>
      <w:r>
        <w:rPr>
          <w:i/>
          <w:spacing w:val="-1"/>
        </w:rPr>
        <w:t> </w:t>
      </w:r>
      <w:r>
        <w:rPr/>
        <w:t>infected</w:t>
      </w:r>
      <w:r>
        <w:rPr>
          <w:spacing w:val="-1"/>
        </w:rPr>
        <w:t> </w:t>
      </w:r>
      <w:r>
        <w:rPr/>
        <w:t>mice</w:t>
        <w:tab/>
        <w:t>81</w:t>
      </w:r>
    </w:p>
    <w:p>
      <w:pPr>
        <w:pStyle w:val="Heading1"/>
        <w:tabs>
          <w:tab w:pos="8807" w:val="left" w:leader="dot"/>
        </w:tabs>
        <w:spacing w:before="0"/>
      </w:pPr>
      <w:r>
        <w:rPr/>
        <w:t>Figure</w:t>
      </w:r>
      <w:r>
        <w:rPr>
          <w:spacing w:val="-1"/>
        </w:rPr>
        <w:t> </w:t>
      </w:r>
      <w:r>
        <w:rPr/>
        <w:t>4.9: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binding</w:t>
      </w:r>
      <w:r>
        <w:rPr>
          <w:spacing w:val="-5"/>
        </w:rPr>
        <w:t> </w:t>
      </w:r>
      <w:r>
        <w:rPr/>
        <w:t>energies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 ligands</w:t>
      </w:r>
      <w:r>
        <w:rPr>
          <w:spacing w:val="-2"/>
        </w:rPr>
        <w:t> </w:t>
      </w:r>
      <w:r>
        <w:rPr/>
        <w:t>across</w:t>
      </w:r>
      <w:r>
        <w:rPr>
          <w:spacing w:val="-1"/>
        </w:rPr>
        <w:t> </w:t>
      </w:r>
      <w:r>
        <w:rPr/>
        <w:t>all</w:t>
      </w:r>
      <w:r>
        <w:rPr>
          <w:spacing w:val="-4"/>
        </w:rPr>
        <w:t> </w:t>
      </w:r>
      <w:r>
        <w:rPr/>
        <w:t>the enzymes</w:t>
        <w:tab/>
        <w:t>87</w:t>
      </w:r>
    </w:p>
    <w:p>
      <w:pPr>
        <w:pStyle w:val="Heading1"/>
        <w:tabs>
          <w:tab w:pos="1233" w:val="left" w:leader="none"/>
          <w:tab w:pos="1982" w:val="left" w:leader="none"/>
          <w:tab w:pos="3377" w:val="left" w:leader="none"/>
          <w:tab w:pos="3886" w:val="left" w:leader="none"/>
          <w:tab w:pos="8858" w:val="left" w:leader="none"/>
        </w:tabs>
        <w:spacing w:before="276"/>
      </w:pPr>
      <w:r>
        <w:rPr/>
        <w:t>Figure</w:t>
        <w:tab/>
        <w:t>4.10:</w:t>
        <w:tab/>
        <w:t>Compound</w:t>
        <w:tab/>
        <w:t>P3</w:t>
        <w:tab/>
        <w:t>[(E)-3-(2-chloro-6-methoxyquinolin-3-yl)-1-(2,</w:t>
        <w:tab/>
        <w:t>4-</w:t>
      </w:r>
    </w:p>
    <w:p>
      <w:pPr>
        <w:pStyle w:val="Heading1"/>
        <w:tabs>
          <w:tab w:pos="8807" w:val="left" w:leader="dot"/>
        </w:tabs>
        <w:spacing w:before="276"/>
      </w:pPr>
      <w:r>
        <w:rPr/>
        <w:t>dimethoxyphenyl) prop-2-en-1-one]</w:t>
        <w:tab/>
        <w:t>88</w:t>
      </w:r>
    </w:p>
    <w:p>
      <w:pPr>
        <w:pStyle w:val="Heading1"/>
        <w:tabs>
          <w:tab w:pos="8807" w:val="left" w:leader="dot"/>
        </w:tabs>
        <w:spacing w:line="480" w:lineRule="auto" w:before="276"/>
        <w:ind w:right="699"/>
      </w:pPr>
      <w:r>
        <w:rPr/>
        <w:t>Figure</w:t>
      </w:r>
      <w:r>
        <w:rPr>
          <w:spacing w:val="38"/>
        </w:rPr>
        <w:t> </w:t>
      </w:r>
      <w:r>
        <w:rPr/>
        <w:t>4.11:</w:t>
      </w:r>
      <w:r>
        <w:rPr>
          <w:spacing w:val="41"/>
        </w:rPr>
        <w:t> </w:t>
      </w:r>
      <w:r>
        <w:rPr/>
        <w:t>Compound</w:t>
      </w:r>
      <w:r>
        <w:rPr>
          <w:spacing w:val="36"/>
        </w:rPr>
        <w:t> </w:t>
      </w:r>
      <w:r>
        <w:rPr/>
        <w:t>P4</w:t>
      </w:r>
      <w:r>
        <w:rPr>
          <w:spacing w:val="39"/>
        </w:rPr>
        <w:t> </w:t>
      </w:r>
      <w:r>
        <w:rPr/>
        <w:t>[(E)-3-(2-chloroquinolin-3-yl)-1-(2,</w:t>
      </w:r>
      <w:r>
        <w:rPr>
          <w:spacing w:val="37"/>
        </w:rPr>
        <w:t> </w:t>
      </w:r>
      <w:r>
        <w:rPr/>
        <w:t>4</w:t>
      </w:r>
      <w:r>
        <w:rPr>
          <w:spacing w:val="39"/>
        </w:rPr>
        <w:t> </w:t>
      </w:r>
      <w:r>
        <w:rPr/>
        <w:t>dimethoxyphenyl)</w:t>
      </w:r>
      <w:r>
        <w:rPr>
          <w:spacing w:val="-57"/>
        </w:rPr>
        <w:t> </w:t>
      </w:r>
      <w:r>
        <w:rPr/>
        <w:t>prop-2-en-1-one</w:t>
        <w:tab/>
      </w:r>
      <w:r>
        <w:rPr>
          <w:spacing w:val="-2"/>
        </w:rPr>
        <w:t>89</w:t>
      </w:r>
    </w:p>
    <w:p>
      <w:pPr>
        <w:pStyle w:val="Heading1"/>
        <w:tabs>
          <w:tab w:pos="8807" w:val="left" w:leader="dot"/>
        </w:tabs>
        <w:spacing w:line="480" w:lineRule="auto" w:before="1"/>
        <w:ind w:right="699"/>
      </w:pPr>
      <w:r>
        <w:rPr/>
        <w:t>Figure</w:t>
      </w:r>
      <w:r>
        <w:rPr>
          <w:spacing w:val="4"/>
        </w:rPr>
        <w:t> </w:t>
      </w:r>
      <w:r>
        <w:rPr/>
        <w:t>4.12</w:t>
      </w:r>
      <w:r>
        <w:rPr>
          <w:spacing w:val="4"/>
        </w:rPr>
        <w:t> </w:t>
      </w:r>
      <w:r>
        <w:rPr/>
        <w:t>:</w:t>
      </w:r>
      <w:r>
        <w:rPr>
          <w:spacing w:val="6"/>
        </w:rPr>
        <w:t> </w:t>
      </w:r>
      <w:r>
        <w:rPr/>
        <w:t>3D</w:t>
      </w:r>
      <w:r>
        <w:rPr>
          <w:spacing w:val="5"/>
        </w:rPr>
        <w:t> </w:t>
      </w:r>
      <w:r>
        <w:rPr/>
        <w:t>binding</w:t>
      </w:r>
      <w:r>
        <w:rPr>
          <w:spacing w:val="4"/>
        </w:rPr>
        <w:t> </w:t>
      </w:r>
      <w:r>
        <w:rPr/>
        <w:t>pose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interaction</w:t>
      </w:r>
      <w:r>
        <w:rPr>
          <w:spacing w:val="6"/>
        </w:rPr>
        <w:t> </w:t>
      </w:r>
      <w:r>
        <w:rPr/>
        <w:t>of</w:t>
      </w:r>
      <w:r>
        <w:rPr>
          <w:spacing w:val="2"/>
        </w:rPr>
        <w:t> </w:t>
      </w:r>
      <w:r>
        <w:rPr/>
        <w:t>P3</w:t>
      </w:r>
      <w:r>
        <w:rPr>
          <w:spacing w:val="4"/>
        </w:rPr>
        <w:t> </w:t>
      </w:r>
      <w:r>
        <w:rPr/>
        <w:t>and</w:t>
      </w:r>
      <w:r>
        <w:rPr>
          <w:spacing w:val="10"/>
        </w:rPr>
        <w:t> </w:t>
      </w:r>
      <w:r>
        <w:rPr/>
        <w:t>P4</w:t>
      </w:r>
      <w:r>
        <w:rPr>
          <w:spacing w:val="4"/>
        </w:rPr>
        <w:t> </w:t>
      </w:r>
      <w:r>
        <w:rPr/>
        <w:t>in</w:t>
      </w:r>
      <w:r>
        <w:rPr>
          <w:spacing w:val="11"/>
        </w:rPr>
        <w:t> </w:t>
      </w:r>
      <w:r>
        <w:rPr/>
        <w:t>relation</w:t>
      </w:r>
      <w:r>
        <w:rPr>
          <w:spacing w:val="6"/>
        </w:rPr>
        <w:t> </w:t>
      </w:r>
      <w:r>
        <w:rPr/>
        <w:t>to</w:t>
      </w:r>
      <w:r>
        <w:rPr>
          <w:spacing w:val="4"/>
        </w:rPr>
        <w:t> </w:t>
      </w:r>
      <w:r>
        <w:rPr/>
        <w:t>various</w:t>
      </w:r>
      <w:r>
        <w:rPr>
          <w:spacing w:val="7"/>
        </w:rPr>
        <w:t> </w:t>
      </w:r>
      <w:r>
        <w:rPr/>
        <w:t>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FP-2</w:t>
      </w:r>
      <w:r>
        <w:rPr>
          <w:spacing w:val="1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</w:t>
        <w:tab/>
      </w:r>
      <w:r>
        <w:rPr>
          <w:spacing w:val="-2"/>
        </w:rPr>
        <w:t>91</w:t>
      </w:r>
    </w:p>
    <w:p>
      <w:pPr>
        <w:pStyle w:val="Heading1"/>
        <w:tabs>
          <w:tab w:pos="8807" w:val="left" w:leader="dot"/>
        </w:tabs>
        <w:spacing w:line="480" w:lineRule="auto" w:before="0"/>
        <w:ind w:right="696"/>
      </w:pPr>
      <w:r>
        <w:rPr/>
        <w:t>Figure</w:t>
      </w:r>
      <w:r>
        <w:rPr>
          <w:spacing w:val="14"/>
        </w:rPr>
        <w:t> </w:t>
      </w:r>
      <w:r>
        <w:rPr/>
        <w:t>4.13:</w:t>
      </w:r>
      <w:r>
        <w:rPr>
          <w:spacing w:val="17"/>
        </w:rPr>
        <w:t> </w:t>
      </w:r>
      <w:r>
        <w:rPr/>
        <w:t>(A)</w:t>
      </w:r>
      <w:r>
        <w:rPr>
          <w:spacing w:val="16"/>
        </w:rPr>
        <w:t> </w:t>
      </w:r>
      <w:r>
        <w:rPr/>
        <w:t>2D</w:t>
      </w:r>
      <w:r>
        <w:rPr>
          <w:spacing w:val="15"/>
        </w:rPr>
        <w:t> </w:t>
      </w:r>
      <w:r>
        <w:rPr/>
        <w:t>interaction</w:t>
      </w:r>
      <w:r>
        <w:rPr>
          <w:spacing w:val="16"/>
        </w:rPr>
        <w:t> </w:t>
      </w:r>
      <w:r>
        <w:rPr/>
        <w:t>diagram</w:t>
      </w:r>
      <w:r>
        <w:rPr>
          <w:spacing w:val="12"/>
        </w:rPr>
        <w:t> </w:t>
      </w:r>
      <w:r>
        <w:rPr/>
        <w:t>of</w:t>
      </w:r>
      <w:r>
        <w:rPr>
          <w:spacing w:val="17"/>
        </w:rPr>
        <w:t> </w:t>
      </w:r>
      <w:r>
        <w:rPr/>
        <w:t>FP-2</w:t>
      </w:r>
      <w:r>
        <w:rPr>
          <w:spacing w:val="15"/>
        </w:rPr>
        <w:t> </w:t>
      </w:r>
      <w:r>
        <w:rPr/>
        <w:t>and</w:t>
      </w:r>
      <w:r>
        <w:rPr>
          <w:spacing w:val="16"/>
        </w:rPr>
        <w:t> </w:t>
      </w:r>
      <w:r>
        <w:rPr/>
        <w:t>P3</w:t>
      </w:r>
      <w:r>
        <w:rPr>
          <w:spacing w:val="15"/>
        </w:rPr>
        <w:t> </w:t>
      </w:r>
      <w:r>
        <w:rPr/>
        <w:t>(B)</w:t>
      </w:r>
      <w:r>
        <w:rPr>
          <w:spacing w:val="17"/>
        </w:rPr>
        <w:t> </w:t>
      </w:r>
      <w:r>
        <w:rPr/>
        <w:t>2D</w:t>
      </w:r>
      <w:r>
        <w:rPr>
          <w:spacing w:val="15"/>
        </w:rPr>
        <w:t> </w:t>
      </w:r>
      <w:r>
        <w:rPr/>
        <w:t>interaction</w:t>
      </w:r>
      <w:r>
        <w:rPr>
          <w:spacing w:val="16"/>
        </w:rPr>
        <w:t> </w:t>
      </w:r>
      <w:r>
        <w:rPr/>
        <w:t>diagram</w:t>
      </w:r>
      <w:r>
        <w:rPr>
          <w:spacing w:val="-57"/>
        </w:rPr>
        <w:t> </w:t>
      </w:r>
      <w:r>
        <w:rPr/>
        <w:t>of</w:t>
      </w:r>
      <w:r>
        <w:rPr>
          <w:spacing w:val="-3"/>
        </w:rPr>
        <w:t> </w:t>
      </w:r>
      <w:r>
        <w:rPr/>
        <w:t>FP-2 and</w:t>
      </w:r>
      <w:r>
        <w:rPr>
          <w:spacing w:val="1"/>
        </w:rPr>
        <w:t> </w:t>
      </w:r>
      <w:r>
        <w:rPr/>
        <w:t>P4.</w:t>
        <w:tab/>
      </w:r>
      <w:r>
        <w:rPr>
          <w:spacing w:val="-1"/>
        </w:rPr>
        <w:t>92</w:t>
      </w:r>
    </w:p>
    <w:p>
      <w:pPr>
        <w:pStyle w:val="Heading1"/>
        <w:tabs>
          <w:tab w:pos="8807" w:val="left" w:leader="dot"/>
        </w:tabs>
        <w:spacing w:line="480" w:lineRule="auto" w:before="0"/>
        <w:ind w:right="699"/>
      </w:pPr>
      <w:r>
        <w:rPr/>
        <w:t>Figure</w:t>
      </w:r>
      <w:r>
        <w:rPr>
          <w:spacing w:val="8"/>
        </w:rPr>
        <w:t> </w:t>
      </w:r>
      <w:r>
        <w:rPr/>
        <w:t>4.14:</w:t>
      </w:r>
      <w:r>
        <w:rPr>
          <w:spacing w:val="11"/>
        </w:rPr>
        <w:t> </w:t>
      </w:r>
      <w:r>
        <w:rPr/>
        <w:t>3D</w:t>
      </w:r>
      <w:r>
        <w:rPr>
          <w:spacing w:val="9"/>
        </w:rPr>
        <w:t> </w:t>
      </w:r>
      <w:r>
        <w:rPr/>
        <w:t>binding</w:t>
      </w:r>
      <w:r>
        <w:rPr>
          <w:spacing w:val="9"/>
        </w:rPr>
        <w:t> </w:t>
      </w:r>
      <w:r>
        <w:rPr/>
        <w:t>pose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interaction</w:t>
      </w:r>
      <w:r>
        <w:rPr>
          <w:spacing w:val="11"/>
        </w:rPr>
        <w:t> </w:t>
      </w:r>
      <w:r>
        <w:rPr/>
        <w:t>of</w:t>
      </w:r>
      <w:r>
        <w:rPr>
          <w:spacing w:val="6"/>
        </w:rPr>
        <w:t> </w:t>
      </w:r>
      <w:r>
        <w:rPr/>
        <w:t>P3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P4</w:t>
      </w:r>
      <w:r>
        <w:rPr>
          <w:spacing w:val="9"/>
        </w:rPr>
        <w:t> </w:t>
      </w:r>
      <w:r>
        <w:rPr/>
        <w:t>in</w:t>
      </w:r>
      <w:r>
        <w:rPr>
          <w:spacing w:val="15"/>
        </w:rPr>
        <w:t> </w:t>
      </w:r>
      <w:r>
        <w:rPr/>
        <w:t>relation</w:t>
      </w:r>
      <w:r>
        <w:rPr>
          <w:spacing w:val="10"/>
        </w:rPr>
        <w:t> </w:t>
      </w:r>
      <w:r>
        <w:rPr/>
        <w:t>to</w:t>
      </w:r>
      <w:r>
        <w:rPr>
          <w:spacing w:val="9"/>
        </w:rPr>
        <w:t> </w:t>
      </w:r>
      <w:r>
        <w:rPr/>
        <w:t>various</w:t>
      </w:r>
      <w:r>
        <w:rPr>
          <w:spacing w:val="8"/>
        </w:rPr>
        <w:t> </w:t>
      </w:r>
      <w:r>
        <w:rPr/>
        <w:t>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FP-3</w:t>
      </w:r>
      <w:r>
        <w:rPr>
          <w:spacing w:val="1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</w:t>
        <w:tab/>
      </w:r>
      <w:r>
        <w:rPr>
          <w:spacing w:val="-2"/>
        </w:rPr>
        <w:t>93</w:t>
      </w:r>
    </w:p>
    <w:p>
      <w:pPr>
        <w:pStyle w:val="Heading1"/>
        <w:tabs>
          <w:tab w:pos="8807" w:val="left" w:leader="dot"/>
        </w:tabs>
        <w:spacing w:line="480" w:lineRule="auto" w:before="1"/>
        <w:ind w:right="696"/>
      </w:pPr>
      <w:r>
        <w:rPr/>
        <w:t>Figure</w:t>
      </w:r>
      <w:r>
        <w:rPr>
          <w:spacing w:val="14"/>
        </w:rPr>
        <w:t> </w:t>
      </w:r>
      <w:r>
        <w:rPr/>
        <w:t>4.15:</w:t>
      </w:r>
      <w:r>
        <w:rPr>
          <w:spacing w:val="17"/>
        </w:rPr>
        <w:t> </w:t>
      </w:r>
      <w:r>
        <w:rPr/>
        <w:t>(A)</w:t>
      </w:r>
      <w:r>
        <w:rPr>
          <w:spacing w:val="16"/>
        </w:rPr>
        <w:t> </w:t>
      </w:r>
      <w:r>
        <w:rPr/>
        <w:t>2D</w:t>
      </w:r>
      <w:r>
        <w:rPr>
          <w:spacing w:val="15"/>
        </w:rPr>
        <w:t> </w:t>
      </w:r>
      <w:r>
        <w:rPr/>
        <w:t>interaction</w:t>
      </w:r>
      <w:r>
        <w:rPr>
          <w:spacing w:val="16"/>
        </w:rPr>
        <w:t> </w:t>
      </w:r>
      <w:r>
        <w:rPr/>
        <w:t>diagram</w:t>
      </w:r>
      <w:r>
        <w:rPr>
          <w:spacing w:val="12"/>
        </w:rPr>
        <w:t> </w:t>
      </w:r>
      <w:r>
        <w:rPr/>
        <w:t>of</w:t>
      </w:r>
      <w:r>
        <w:rPr>
          <w:spacing w:val="17"/>
        </w:rPr>
        <w:t> </w:t>
      </w:r>
      <w:r>
        <w:rPr/>
        <w:t>FP-3</w:t>
      </w:r>
      <w:r>
        <w:rPr>
          <w:spacing w:val="15"/>
        </w:rPr>
        <w:t> </w:t>
      </w:r>
      <w:r>
        <w:rPr/>
        <w:t>and</w:t>
      </w:r>
      <w:r>
        <w:rPr>
          <w:spacing w:val="16"/>
        </w:rPr>
        <w:t> </w:t>
      </w:r>
      <w:r>
        <w:rPr/>
        <w:t>P3</w:t>
      </w:r>
      <w:r>
        <w:rPr>
          <w:spacing w:val="15"/>
        </w:rPr>
        <w:t> </w:t>
      </w:r>
      <w:r>
        <w:rPr/>
        <w:t>(B)</w:t>
      </w:r>
      <w:r>
        <w:rPr>
          <w:spacing w:val="17"/>
        </w:rPr>
        <w:t> </w:t>
      </w:r>
      <w:r>
        <w:rPr/>
        <w:t>2D</w:t>
      </w:r>
      <w:r>
        <w:rPr>
          <w:spacing w:val="15"/>
        </w:rPr>
        <w:t> </w:t>
      </w:r>
      <w:r>
        <w:rPr/>
        <w:t>interaction</w:t>
      </w:r>
      <w:r>
        <w:rPr>
          <w:spacing w:val="16"/>
        </w:rPr>
        <w:t> </w:t>
      </w:r>
      <w:r>
        <w:rPr/>
        <w:t>diagram</w:t>
      </w:r>
      <w:r>
        <w:rPr>
          <w:spacing w:val="-57"/>
        </w:rPr>
        <w:t> </w:t>
      </w:r>
      <w:r>
        <w:rPr/>
        <w:t>of</w:t>
      </w:r>
      <w:r>
        <w:rPr>
          <w:spacing w:val="-3"/>
        </w:rPr>
        <w:t> </w:t>
      </w:r>
      <w:r>
        <w:rPr/>
        <w:t>FP-3 and</w:t>
      </w:r>
      <w:r>
        <w:rPr>
          <w:spacing w:val="1"/>
        </w:rPr>
        <w:t> </w:t>
      </w:r>
      <w:r>
        <w:rPr/>
        <w:t>P4.</w:t>
        <w:tab/>
      </w:r>
      <w:r>
        <w:rPr>
          <w:spacing w:val="-1"/>
        </w:rPr>
        <w:t>94</w:t>
      </w:r>
    </w:p>
    <w:p>
      <w:pPr>
        <w:pStyle w:val="Heading1"/>
        <w:tabs>
          <w:tab w:pos="8807" w:val="left" w:leader="dot"/>
        </w:tabs>
        <w:spacing w:line="480" w:lineRule="auto" w:before="1"/>
        <w:ind w:right="699"/>
      </w:pPr>
      <w:r>
        <w:rPr/>
        <w:t>Figure</w:t>
      </w:r>
      <w:r>
        <w:rPr>
          <w:spacing w:val="3"/>
        </w:rPr>
        <w:t> </w:t>
      </w:r>
      <w:r>
        <w:rPr/>
        <w:t>4.16:</w:t>
      </w:r>
      <w:r>
        <w:rPr>
          <w:spacing w:val="6"/>
        </w:rPr>
        <w:t> </w:t>
      </w:r>
      <w:r>
        <w:rPr/>
        <w:t>3D</w:t>
      </w:r>
      <w:r>
        <w:rPr>
          <w:spacing w:val="4"/>
        </w:rPr>
        <w:t> </w:t>
      </w:r>
      <w:r>
        <w:rPr/>
        <w:t>binding pose</w:t>
      </w:r>
      <w:r>
        <w:rPr>
          <w:spacing w:val="4"/>
        </w:rPr>
        <w:t> </w:t>
      </w:r>
      <w:r>
        <w:rPr/>
        <w:t>and</w:t>
      </w:r>
      <w:r>
        <w:rPr>
          <w:spacing w:val="5"/>
        </w:rPr>
        <w:t> </w:t>
      </w:r>
      <w:r>
        <w:rPr/>
        <w:t>interactions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P3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P4</w:t>
      </w:r>
      <w:r>
        <w:rPr>
          <w:spacing w:val="4"/>
        </w:rPr>
        <w:t> </w:t>
      </w:r>
      <w:r>
        <w:rPr/>
        <w:t>in</w:t>
      </w:r>
      <w:r>
        <w:rPr>
          <w:spacing w:val="6"/>
        </w:rPr>
        <w:t> </w:t>
      </w:r>
      <w:r>
        <w:rPr/>
        <w:t>relation</w:t>
      </w:r>
      <w:r>
        <w:rPr>
          <w:spacing w:val="6"/>
        </w:rPr>
        <w:t> </w:t>
      </w:r>
      <w:r>
        <w:rPr/>
        <w:t>to</w:t>
      </w:r>
      <w:r>
        <w:rPr>
          <w:spacing w:val="4"/>
        </w:rPr>
        <w:t> </w:t>
      </w:r>
      <w:r>
        <w:rPr/>
        <w:t>various</w:t>
      </w:r>
      <w:r>
        <w:rPr>
          <w:spacing w:val="2"/>
        </w:rPr>
        <w:t> </w:t>
      </w:r>
      <w:r>
        <w:rPr/>
        <w:t>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Plm-II</w:t>
      </w:r>
      <w:r>
        <w:rPr>
          <w:spacing w:val="-1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</w:t>
        <w:tab/>
      </w:r>
      <w:r>
        <w:rPr>
          <w:spacing w:val="-2"/>
        </w:rPr>
        <w:t>95</w:t>
      </w:r>
    </w:p>
    <w:p>
      <w:pPr>
        <w:pStyle w:val="Heading1"/>
        <w:spacing w:before="0"/>
      </w:pPr>
      <w:r>
        <w:rPr/>
        <w:t>Figure 4.17:</w:t>
      </w:r>
      <w:r>
        <w:rPr>
          <w:spacing w:val="2"/>
        </w:rPr>
        <w:t> </w:t>
      </w:r>
      <w:r>
        <w:rPr/>
        <w:t>(A)</w:t>
      </w:r>
      <w:r>
        <w:rPr>
          <w:spacing w:val="2"/>
        </w:rPr>
        <w:t> </w:t>
      </w:r>
      <w:r>
        <w:rPr/>
        <w:t>2D interaction</w:t>
      </w:r>
      <w:r>
        <w:rPr>
          <w:spacing w:val="2"/>
        </w:rPr>
        <w:t> </w:t>
      </w:r>
      <w:r>
        <w:rPr/>
        <w:t>diagram</w:t>
      </w:r>
      <w:r>
        <w:rPr>
          <w:spacing w:val="-2"/>
        </w:rPr>
        <w:t> </w:t>
      </w:r>
      <w:r>
        <w:rPr/>
        <w:t>of</w:t>
      </w:r>
      <w:r>
        <w:rPr>
          <w:spacing w:val="2"/>
        </w:rPr>
        <w:t> </w:t>
      </w:r>
      <w:r>
        <w:rPr/>
        <w:t>Plm-II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P3</w:t>
      </w:r>
      <w:r>
        <w:rPr>
          <w:spacing w:val="1"/>
        </w:rPr>
        <w:t> </w:t>
      </w:r>
      <w:r>
        <w:rPr/>
        <w:t>(B)</w:t>
      </w:r>
      <w:r>
        <w:rPr>
          <w:spacing w:val="2"/>
        </w:rPr>
        <w:t> </w:t>
      </w:r>
      <w:r>
        <w:rPr/>
        <w:t>2D interaction</w:t>
      </w:r>
      <w:r>
        <w:rPr>
          <w:spacing w:val="2"/>
        </w:rPr>
        <w:t> </w:t>
      </w:r>
      <w:r>
        <w:rPr/>
        <w:t>diagram</w:t>
      </w:r>
    </w:p>
    <w:p>
      <w:pPr>
        <w:pStyle w:val="Heading1"/>
        <w:tabs>
          <w:tab w:pos="8807" w:val="left" w:leader="dot"/>
        </w:tabs>
        <w:spacing w:before="276"/>
      </w:pPr>
      <w:r>
        <w:rPr/>
        <w:t>of</w:t>
      </w:r>
      <w:r>
        <w:rPr>
          <w:spacing w:val="-3"/>
        </w:rPr>
        <w:t> </w:t>
      </w:r>
      <w:r>
        <w:rPr/>
        <w:t>Plm-II</w:t>
      </w:r>
      <w:r>
        <w:rPr>
          <w:spacing w:val="-1"/>
        </w:rPr>
        <w:t> </w:t>
      </w:r>
      <w:r>
        <w:rPr/>
        <w:t>and P4.</w:t>
        <w:tab/>
        <w:t>96</w:t>
      </w:r>
    </w:p>
    <w:p>
      <w:pPr>
        <w:spacing w:after="0"/>
        <w:sectPr>
          <w:headerReference w:type="default" r:id="rId22"/>
          <w:footerReference w:type="default" r:id="rId23"/>
          <w:pgSz w:w="11910" w:h="16840"/>
          <w:pgMar w:header="0" w:footer="2289" w:top="1200" w:bottom="2480" w:left="1560" w:right="600"/>
        </w:sectPr>
      </w:pPr>
    </w:p>
    <w:p>
      <w:pPr>
        <w:pStyle w:val="Heading1"/>
        <w:tabs>
          <w:tab w:pos="9047" w:val="right" w:leader="dot"/>
        </w:tabs>
        <w:spacing w:line="480" w:lineRule="auto" w:before="74"/>
        <w:ind w:right="699"/>
      </w:pPr>
      <w:r>
        <w:rPr/>
        <w:t>Figure</w:t>
      </w:r>
      <w:r>
        <w:rPr>
          <w:spacing w:val="8"/>
        </w:rPr>
        <w:t> </w:t>
      </w:r>
      <w:r>
        <w:rPr/>
        <w:t>4.18:</w:t>
      </w:r>
      <w:r>
        <w:rPr>
          <w:spacing w:val="11"/>
        </w:rPr>
        <w:t> </w:t>
      </w:r>
      <w:r>
        <w:rPr/>
        <w:t>3D</w:t>
      </w:r>
      <w:r>
        <w:rPr>
          <w:spacing w:val="9"/>
        </w:rPr>
        <w:t> </w:t>
      </w:r>
      <w:r>
        <w:rPr/>
        <w:t>binding</w:t>
      </w:r>
      <w:r>
        <w:rPr>
          <w:spacing w:val="9"/>
        </w:rPr>
        <w:t> </w:t>
      </w:r>
      <w:r>
        <w:rPr/>
        <w:t>pose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interaction</w:t>
      </w:r>
      <w:r>
        <w:rPr>
          <w:spacing w:val="11"/>
        </w:rPr>
        <w:t> </w:t>
      </w:r>
      <w:r>
        <w:rPr/>
        <w:t>of</w:t>
      </w:r>
      <w:r>
        <w:rPr>
          <w:spacing w:val="6"/>
        </w:rPr>
        <w:t> </w:t>
      </w:r>
      <w:r>
        <w:rPr/>
        <w:t>P3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P4</w:t>
      </w:r>
      <w:r>
        <w:rPr>
          <w:spacing w:val="9"/>
        </w:rPr>
        <w:t> </w:t>
      </w:r>
      <w:r>
        <w:rPr/>
        <w:t>in</w:t>
      </w:r>
      <w:r>
        <w:rPr>
          <w:spacing w:val="15"/>
        </w:rPr>
        <w:t> </w:t>
      </w:r>
      <w:r>
        <w:rPr/>
        <w:t>relation</w:t>
      </w:r>
      <w:r>
        <w:rPr>
          <w:spacing w:val="10"/>
        </w:rPr>
        <w:t> </w:t>
      </w:r>
      <w:r>
        <w:rPr/>
        <w:t>to</w:t>
      </w:r>
      <w:r>
        <w:rPr>
          <w:spacing w:val="9"/>
        </w:rPr>
        <w:t> </w:t>
      </w:r>
      <w:r>
        <w:rPr/>
        <w:t>various</w:t>
      </w:r>
      <w:r>
        <w:rPr>
          <w:spacing w:val="8"/>
        </w:rPr>
        <w:t> </w:t>
      </w:r>
      <w:r>
        <w:rPr/>
        <w:t>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Plm-IV</w:t>
      </w:r>
      <w:r>
        <w:rPr>
          <w:spacing w:val="1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cavity.</w:t>
        <w:tab/>
        <w:t>97</w:t>
      </w:r>
    </w:p>
    <w:p>
      <w:pPr>
        <w:pStyle w:val="Heading1"/>
        <w:tabs>
          <w:tab w:pos="9047" w:val="right" w:leader="dot"/>
        </w:tabs>
        <w:spacing w:line="480" w:lineRule="auto" w:before="1"/>
        <w:ind w:right="695"/>
      </w:pPr>
      <w:r>
        <w:rPr/>
        <w:t>Figure</w:t>
      </w:r>
      <w:r>
        <w:rPr>
          <w:spacing w:val="12"/>
        </w:rPr>
        <w:t> </w:t>
      </w:r>
      <w:r>
        <w:rPr/>
        <w:t>4.19:</w:t>
      </w:r>
      <w:r>
        <w:rPr>
          <w:spacing w:val="14"/>
        </w:rPr>
        <w:t> </w:t>
      </w:r>
      <w:r>
        <w:rPr/>
        <w:t>(A)</w:t>
      </w:r>
      <w:r>
        <w:rPr>
          <w:spacing w:val="14"/>
        </w:rPr>
        <w:t> </w:t>
      </w:r>
      <w:r>
        <w:rPr/>
        <w:t>2D</w:t>
      </w:r>
      <w:r>
        <w:rPr>
          <w:spacing w:val="7"/>
        </w:rPr>
        <w:t> </w:t>
      </w:r>
      <w:r>
        <w:rPr/>
        <w:t>interaction</w:t>
      </w:r>
      <w:r>
        <w:rPr>
          <w:spacing w:val="14"/>
        </w:rPr>
        <w:t> </w:t>
      </w:r>
      <w:r>
        <w:rPr/>
        <w:t>diagram</w:t>
      </w:r>
      <w:r>
        <w:rPr>
          <w:spacing w:val="10"/>
        </w:rPr>
        <w:t> </w:t>
      </w:r>
      <w:r>
        <w:rPr/>
        <w:t>of</w:t>
      </w:r>
      <w:r>
        <w:rPr>
          <w:spacing w:val="14"/>
        </w:rPr>
        <w:t> </w:t>
      </w:r>
      <w:r>
        <w:rPr/>
        <w:t>Plm-IV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P3</w:t>
      </w:r>
      <w:r>
        <w:rPr>
          <w:spacing w:val="13"/>
        </w:rPr>
        <w:t> </w:t>
      </w:r>
      <w:r>
        <w:rPr/>
        <w:t>(B)</w:t>
      </w:r>
      <w:r>
        <w:rPr>
          <w:spacing w:val="14"/>
        </w:rPr>
        <w:t> </w:t>
      </w:r>
      <w:r>
        <w:rPr/>
        <w:t>2D</w:t>
      </w:r>
      <w:r>
        <w:rPr>
          <w:spacing w:val="12"/>
        </w:rPr>
        <w:t> </w:t>
      </w:r>
      <w:r>
        <w:rPr/>
        <w:t>interaction</w:t>
      </w:r>
      <w:r>
        <w:rPr>
          <w:spacing w:val="-57"/>
        </w:rPr>
        <w:t> </w:t>
      </w:r>
      <w:r>
        <w:rPr/>
        <w:t>diagram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Plm-IV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P4.</w:t>
        <w:tab/>
        <w:t>98</w:t>
      </w:r>
    </w:p>
    <w:p>
      <w:pPr>
        <w:pStyle w:val="Heading1"/>
        <w:tabs>
          <w:tab w:pos="9047" w:val="right" w:leader="dot"/>
        </w:tabs>
        <w:spacing w:line="480" w:lineRule="auto" w:before="0"/>
        <w:ind w:right="688"/>
      </w:pPr>
      <w:r>
        <w:rPr/>
        <w:t>Figure</w:t>
      </w:r>
      <w:r>
        <w:rPr>
          <w:spacing w:val="38"/>
        </w:rPr>
        <w:t> </w:t>
      </w:r>
      <w:r>
        <w:rPr/>
        <w:t>4.20:</w:t>
      </w:r>
      <w:r>
        <w:rPr>
          <w:spacing w:val="41"/>
        </w:rPr>
        <w:t> </w:t>
      </w:r>
      <w:r>
        <w:rPr/>
        <w:t>RMSD</w:t>
      </w:r>
      <w:r>
        <w:rPr>
          <w:spacing w:val="39"/>
        </w:rPr>
        <w:t> </w:t>
      </w:r>
      <w:r>
        <w:rPr/>
        <w:t>plot</w:t>
      </w:r>
      <w:r>
        <w:rPr>
          <w:spacing w:val="42"/>
        </w:rPr>
        <w:t> </w:t>
      </w:r>
      <w:r>
        <w:rPr/>
        <w:t>of</w:t>
      </w:r>
      <w:r>
        <w:rPr>
          <w:spacing w:val="36"/>
        </w:rPr>
        <w:t> </w:t>
      </w:r>
      <w:r>
        <w:rPr/>
        <w:t>FP-2</w:t>
      </w:r>
      <w:r>
        <w:rPr>
          <w:spacing w:val="39"/>
        </w:rPr>
        <w:t> </w:t>
      </w:r>
      <w:r>
        <w:rPr/>
        <w:t>(A);</w:t>
      </w:r>
      <w:r>
        <w:rPr>
          <w:spacing w:val="42"/>
        </w:rPr>
        <w:t> </w:t>
      </w:r>
      <w:r>
        <w:rPr/>
        <w:t>FP-3</w:t>
      </w:r>
      <w:r>
        <w:rPr>
          <w:spacing w:val="39"/>
        </w:rPr>
        <w:t> </w:t>
      </w:r>
      <w:r>
        <w:rPr/>
        <w:t>(B);</w:t>
      </w:r>
      <w:r>
        <w:rPr>
          <w:spacing w:val="41"/>
        </w:rPr>
        <w:t> </w:t>
      </w:r>
      <w:r>
        <w:rPr/>
        <w:t>Plm-II</w:t>
      </w:r>
      <w:r>
        <w:rPr>
          <w:spacing w:val="38"/>
        </w:rPr>
        <w:t> </w:t>
      </w:r>
      <w:r>
        <w:rPr/>
        <w:t>(C);</w:t>
      </w:r>
      <w:r>
        <w:rPr>
          <w:spacing w:val="41"/>
        </w:rPr>
        <w:t> </w:t>
      </w:r>
      <w:r>
        <w:rPr/>
        <w:t>Plm-IV</w:t>
      </w:r>
      <w:r>
        <w:rPr>
          <w:spacing w:val="39"/>
        </w:rPr>
        <w:t> </w:t>
      </w:r>
      <w:r>
        <w:rPr/>
        <w:t>(D)</w:t>
      </w:r>
      <w:r>
        <w:rPr>
          <w:spacing w:val="41"/>
        </w:rPr>
        <w:t> </w:t>
      </w:r>
      <w:r>
        <w:rPr/>
        <w:t>bound</w:t>
      </w:r>
      <w:r>
        <w:rPr>
          <w:spacing w:val="40"/>
        </w:rPr>
        <w:t> </w:t>
      </w:r>
      <w:r>
        <w:rPr/>
        <w:t>to</w:t>
      </w:r>
      <w:r>
        <w:rPr>
          <w:spacing w:val="-57"/>
        </w:rPr>
        <w:t> </w:t>
      </w:r>
      <w:r>
        <w:rPr/>
        <w:t>compound</w:t>
      </w:r>
      <w:r>
        <w:rPr>
          <w:spacing w:val="1"/>
        </w:rPr>
        <w:t> </w:t>
      </w:r>
      <w:r>
        <w:rPr/>
        <w:t>P3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P4.</w:t>
        <w:tab/>
        <w:t>101</w:t>
      </w:r>
    </w:p>
    <w:p>
      <w:pPr>
        <w:pStyle w:val="Heading1"/>
        <w:tabs>
          <w:tab w:pos="9047" w:val="right" w:leader="dot"/>
        </w:tabs>
        <w:spacing w:line="480" w:lineRule="auto" w:before="1"/>
        <w:ind w:right="688"/>
      </w:pPr>
      <w:r>
        <w:rPr/>
        <w:t>Figure</w:t>
      </w:r>
      <w:r>
        <w:rPr>
          <w:spacing w:val="7"/>
        </w:rPr>
        <w:t> </w:t>
      </w:r>
      <w:r>
        <w:rPr/>
        <w:t>4.21</w:t>
      </w:r>
      <w:r>
        <w:rPr>
          <w:spacing w:val="9"/>
        </w:rPr>
        <w:t> </w:t>
      </w:r>
      <w:r>
        <w:rPr/>
        <w:t>:</w:t>
      </w:r>
      <w:r>
        <w:rPr>
          <w:spacing w:val="5"/>
        </w:rPr>
        <w:t> </w:t>
      </w:r>
      <w:r>
        <w:rPr/>
        <w:t>C-α</w:t>
      </w:r>
      <w:r>
        <w:rPr>
          <w:spacing w:val="5"/>
        </w:rPr>
        <w:t> </w:t>
      </w:r>
      <w:r>
        <w:rPr/>
        <w:t>RoG</w:t>
      </w:r>
      <w:r>
        <w:rPr>
          <w:spacing w:val="8"/>
        </w:rPr>
        <w:t> </w:t>
      </w:r>
      <w:r>
        <w:rPr/>
        <w:t>plot</w:t>
      </w:r>
      <w:r>
        <w:rPr>
          <w:spacing w:val="11"/>
        </w:rPr>
        <w:t> </w:t>
      </w:r>
      <w:r>
        <w:rPr/>
        <w:t>of</w:t>
      </w:r>
      <w:r>
        <w:rPr>
          <w:spacing w:val="5"/>
        </w:rPr>
        <w:t> </w:t>
      </w:r>
      <w:r>
        <w:rPr/>
        <w:t>FP-2</w:t>
      </w:r>
      <w:r>
        <w:rPr>
          <w:spacing w:val="10"/>
        </w:rPr>
        <w:t> </w:t>
      </w:r>
      <w:r>
        <w:rPr/>
        <w:t>(A),</w:t>
      </w:r>
      <w:r>
        <w:rPr>
          <w:spacing w:val="10"/>
        </w:rPr>
        <w:t> </w:t>
      </w:r>
      <w:r>
        <w:rPr/>
        <w:t>FP-3(B),</w:t>
      </w:r>
      <w:r>
        <w:rPr>
          <w:spacing w:val="11"/>
        </w:rPr>
        <w:t> </w:t>
      </w:r>
      <w:r>
        <w:rPr/>
        <w:t>Plm-II</w:t>
      </w:r>
      <w:r>
        <w:rPr>
          <w:spacing w:val="6"/>
        </w:rPr>
        <w:t> </w:t>
      </w:r>
      <w:r>
        <w:rPr/>
        <w:t>(C)</w:t>
      </w:r>
      <w:r>
        <w:rPr>
          <w:spacing w:val="10"/>
        </w:rPr>
        <w:t> </w:t>
      </w:r>
      <w:r>
        <w:rPr/>
        <w:t>and,</w:t>
      </w:r>
      <w:r>
        <w:rPr>
          <w:spacing w:val="7"/>
        </w:rPr>
        <w:t> </w:t>
      </w:r>
      <w:r>
        <w:rPr/>
        <w:t>Plm-IV</w:t>
      </w:r>
      <w:r>
        <w:rPr>
          <w:spacing w:val="8"/>
        </w:rPr>
        <w:t> </w:t>
      </w:r>
      <w:r>
        <w:rPr/>
        <w:t>(D)</w:t>
      </w:r>
      <w:r>
        <w:rPr>
          <w:spacing w:val="10"/>
        </w:rPr>
        <w:t> </w:t>
      </w:r>
      <w:r>
        <w:rPr/>
        <w:t>both</w:t>
      </w:r>
      <w:r>
        <w:rPr>
          <w:spacing w:val="9"/>
        </w:rPr>
        <w:t> </w:t>
      </w:r>
      <w:r>
        <w:rPr/>
        <w:t>in</w:t>
      </w:r>
      <w:r>
        <w:rPr>
          <w:spacing w:val="-57"/>
        </w:rPr>
        <w:t> </w:t>
      </w:r>
      <w:r>
        <w:rPr/>
        <w:t>complex</w:t>
      </w:r>
      <w:r>
        <w:rPr>
          <w:spacing w:val="-4"/>
        </w:rPr>
        <w:t> </w:t>
      </w:r>
      <w:r>
        <w:rPr/>
        <w:t>with</w:t>
      </w:r>
      <w:r>
        <w:rPr>
          <w:spacing w:val="2"/>
        </w:rPr>
        <w:t> </w:t>
      </w:r>
      <w:r>
        <w:rPr/>
        <w:t>P3</w:t>
      </w:r>
      <w:r>
        <w:rPr>
          <w:spacing w:val="2"/>
        </w:rPr>
        <w:t> </w:t>
      </w:r>
      <w:r>
        <w:rPr/>
        <w:t>and</w:t>
      </w:r>
      <w:r>
        <w:rPr>
          <w:spacing w:val="-2"/>
        </w:rPr>
        <w:t> </w:t>
      </w:r>
      <w:r>
        <w:rPr/>
        <w:t>P4.</w:t>
        <w:tab/>
        <w:t>102</w:t>
      </w:r>
    </w:p>
    <w:p>
      <w:pPr>
        <w:pStyle w:val="Heading1"/>
        <w:tabs>
          <w:tab w:pos="9047" w:val="right" w:leader="dot"/>
        </w:tabs>
        <w:spacing w:line="480" w:lineRule="auto" w:before="0"/>
        <w:ind w:right="693"/>
      </w:pPr>
      <w:r>
        <w:rPr/>
        <w:t>Figure</w:t>
      </w:r>
      <w:r>
        <w:rPr>
          <w:spacing w:val="24"/>
        </w:rPr>
        <w:t> </w:t>
      </w:r>
      <w:r>
        <w:rPr/>
        <w:t>4.22</w:t>
      </w:r>
      <w:r>
        <w:rPr>
          <w:spacing w:val="26"/>
        </w:rPr>
        <w:t> </w:t>
      </w:r>
      <w:r>
        <w:rPr/>
        <w:t>:</w:t>
      </w:r>
      <w:r>
        <w:rPr>
          <w:spacing w:val="26"/>
        </w:rPr>
        <w:t> </w:t>
      </w:r>
      <w:r>
        <w:rPr/>
        <w:t>C-α</w:t>
      </w:r>
      <w:r>
        <w:rPr>
          <w:spacing w:val="26"/>
        </w:rPr>
        <w:t> </w:t>
      </w:r>
      <w:r>
        <w:rPr/>
        <w:t>RMSF</w:t>
      </w:r>
      <w:r>
        <w:rPr>
          <w:spacing w:val="22"/>
        </w:rPr>
        <w:t> </w:t>
      </w:r>
      <w:r>
        <w:rPr/>
        <w:t>of</w:t>
      </w:r>
      <w:r>
        <w:rPr>
          <w:spacing w:val="27"/>
        </w:rPr>
        <w:t> </w:t>
      </w:r>
      <w:r>
        <w:rPr/>
        <w:t>FP-2</w:t>
      </w:r>
      <w:r>
        <w:rPr>
          <w:spacing w:val="26"/>
        </w:rPr>
        <w:t> </w:t>
      </w:r>
      <w:r>
        <w:rPr/>
        <w:t>(A),</w:t>
      </w:r>
      <w:r>
        <w:rPr>
          <w:spacing w:val="27"/>
        </w:rPr>
        <w:t> </w:t>
      </w:r>
      <w:r>
        <w:rPr/>
        <w:t>FP-3(B),</w:t>
      </w:r>
      <w:r>
        <w:rPr>
          <w:spacing w:val="23"/>
        </w:rPr>
        <w:t> </w:t>
      </w:r>
      <w:r>
        <w:rPr/>
        <w:t>Plm-II</w:t>
      </w:r>
      <w:r>
        <w:rPr>
          <w:spacing w:val="23"/>
        </w:rPr>
        <w:t> </w:t>
      </w:r>
      <w:r>
        <w:rPr/>
        <w:t>(C)</w:t>
      </w:r>
      <w:r>
        <w:rPr>
          <w:spacing w:val="27"/>
        </w:rPr>
        <w:t> </w:t>
      </w:r>
      <w:r>
        <w:rPr/>
        <w:t>and,</w:t>
      </w:r>
      <w:r>
        <w:rPr>
          <w:spacing w:val="27"/>
        </w:rPr>
        <w:t> </w:t>
      </w:r>
      <w:r>
        <w:rPr/>
        <w:t>Plm-IV</w:t>
      </w:r>
      <w:r>
        <w:rPr>
          <w:spacing w:val="30"/>
        </w:rPr>
        <w:t> </w:t>
      </w:r>
      <w:r>
        <w:rPr/>
        <w:t>(D)</w:t>
      </w:r>
      <w:r>
        <w:rPr>
          <w:spacing w:val="27"/>
        </w:rPr>
        <w:t> </w:t>
      </w:r>
      <w:r>
        <w:rPr/>
        <w:t>both</w:t>
      </w:r>
      <w:r>
        <w:rPr>
          <w:spacing w:val="25"/>
        </w:rPr>
        <w:t> </w:t>
      </w:r>
      <w:r>
        <w:rPr/>
        <w:t>in</w:t>
      </w:r>
      <w:r>
        <w:rPr>
          <w:spacing w:val="-57"/>
        </w:rPr>
        <w:t> </w:t>
      </w:r>
      <w:r>
        <w:rPr/>
        <w:t>complex</w:t>
      </w:r>
      <w:r>
        <w:rPr>
          <w:spacing w:val="-4"/>
        </w:rPr>
        <w:t> </w:t>
      </w:r>
      <w:r>
        <w:rPr/>
        <w:t>with</w:t>
      </w:r>
      <w:r>
        <w:rPr>
          <w:spacing w:val="2"/>
        </w:rPr>
        <w:t> </w:t>
      </w:r>
      <w:r>
        <w:rPr/>
        <w:t>P3</w:t>
      </w:r>
      <w:r>
        <w:rPr>
          <w:spacing w:val="2"/>
        </w:rPr>
        <w:t> </w:t>
      </w:r>
      <w:r>
        <w:rPr/>
        <w:t>and</w:t>
      </w:r>
      <w:r>
        <w:rPr>
          <w:spacing w:val="-2"/>
        </w:rPr>
        <w:t> </w:t>
      </w:r>
      <w:r>
        <w:rPr/>
        <w:t>P4.</w:t>
        <w:tab/>
        <w:t>103</w:t>
      </w:r>
    </w:p>
    <w:p>
      <w:pPr>
        <w:pStyle w:val="Heading1"/>
        <w:tabs>
          <w:tab w:pos="9047" w:val="right" w:leader="dot"/>
        </w:tabs>
        <w:spacing w:line="480" w:lineRule="auto" w:before="1"/>
        <w:ind w:right="694"/>
      </w:pPr>
      <w:r>
        <w:rPr/>
        <w:t>Figure</w:t>
      </w:r>
      <w:r>
        <w:rPr>
          <w:spacing w:val="14"/>
        </w:rPr>
        <w:t> </w:t>
      </w:r>
      <w:r>
        <w:rPr/>
        <w:t>4.23</w:t>
      </w:r>
      <w:r>
        <w:rPr>
          <w:spacing w:val="16"/>
        </w:rPr>
        <w:t> </w:t>
      </w:r>
      <w:r>
        <w:rPr/>
        <w:t>:</w:t>
      </w:r>
      <w:r>
        <w:rPr>
          <w:spacing w:val="18"/>
        </w:rPr>
        <w:t> </w:t>
      </w:r>
      <w:r>
        <w:rPr/>
        <w:t>Per</w:t>
      </w:r>
      <w:r>
        <w:rPr>
          <w:spacing w:val="14"/>
        </w:rPr>
        <w:t> </w:t>
      </w:r>
      <w:r>
        <w:rPr/>
        <w:t>residue</w:t>
      </w:r>
      <w:r>
        <w:rPr>
          <w:spacing w:val="15"/>
        </w:rPr>
        <w:t> </w:t>
      </w:r>
      <w:r>
        <w:rPr/>
        <w:t>energy</w:t>
      </w:r>
      <w:r>
        <w:rPr>
          <w:spacing w:val="16"/>
        </w:rPr>
        <w:t> </w:t>
      </w:r>
      <w:r>
        <w:rPr/>
        <w:t>decomposition</w:t>
      </w:r>
      <w:r>
        <w:rPr>
          <w:spacing w:val="16"/>
        </w:rPr>
        <w:t> </w:t>
      </w:r>
      <w:r>
        <w:rPr/>
        <w:t>plot</w:t>
      </w:r>
      <w:r>
        <w:rPr>
          <w:spacing w:val="18"/>
        </w:rPr>
        <w:t> </w:t>
      </w:r>
      <w:r>
        <w:rPr/>
        <w:t>of</w:t>
      </w:r>
      <w:r>
        <w:rPr>
          <w:spacing w:val="13"/>
        </w:rPr>
        <w:t> </w:t>
      </w:r>
      <w:r>
        <w:rPr/>
        <w:t>(A)</w:t>
      </w:r>
      <w:r>
        <w:rPr>
          <w:spacing w:val="16"/>
        </w:rPr>
        <w:t> </w:t>
      </w:r>
      <w:r>
        <w:rPr/>
        <w:t>FP-2</w:t>
      </w:r>
      <w:r>
        <w:rPr>
          <w:spacing w:val="16"/>
        </w:rPr>
        <w:t> </w:t>
      </w:r>
      <w:r>
        <w:rPr/>
        <w:t>in</w:t>
      </w:r>
      <w:r>
        <w:rPr>
          <w:spacing w:val="17"/>
        </w:rPr>
        <w:t> </w:t>
      </w:r>
      <w:r>
        <w:rPr/>
        <w:t>complex</w:t>
      </w:r>
      <w:r>
        <w:rPr>
          <w:spacing w:val="10"/>
        </w:rPr>
        <w:t> </w:t>
      </w:r>
      <w:r>
        <w:rPr/>
        <w:t>with</w:t>
      </w:r>
      <w:r>
        <w:rPr>
          <w:spacing w:val="17"/>
        </w:rPr>
        <w:t> </w:t>
      </w:r>
      <w:r>
        <w:rPr/>
        <w:t>P3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(B)</w:t>
      </w:r>
      <w:r>
        <w:rPr>
          <w:spacing w:val="-1"/>
        </w:rPr>
        <w:t> </w:t>
      </w:r>
      <w:r>
        <w:rPr/>
        <w:t>FP-2</w:t>
      </w:r>
      <w:r>
        <w:rPr>
          <w:spacing w:val="2"/>
        </w:rPr>
        <w:t> </w:t>
      </w:r>
      <w:r>
        <w:rPr/>
        <w:t>in</w:t>
      </w:r>
      <w:r>
        <w:rPr>
          <w:spacing w:val="3"/>
        </w:rPr>
        <w:t> </w:t>
      </w:r>
      <w:r>
        <w:rPr/>
        <w:t>complex</w:t>
      </w:r>
      <w:r>
        <w:rPr>
          <w:spacing w:val="-4"/>
        </w:rPr>
        <w:t> </w:t>
      </w:r>
      <w:r>
        <w:rPr/>
        <w:t>with</w:t>
      </w:r>
      <w:r>
        <w:rPr>
          <w:spacing w:val="2"/>
        </w:rPr>
        <w:t> </w:t>
      </w:r>
      <w:r>
        <w:rPr/>
        <w:t>P4</w:t>
        <w:tab/>
        <w:t>105</w:t>
      </w:r>
    </w:p>
    <w:p>
      <w:pPr>
        <w:pStyle w:val="Heading1"/>
        <w:tabs>
          <w:tab w:pos="9047" w:val="right" w:leader="dot"/>
        </w:tabs>
        <w:spacing w:line="480" w:lineRule="auto" w:before="0"/>
        <w:ind w:right="697"/>
      </w:pPr>
      <w:r>
        <w:rPr/>
        <w:t>Figure</w:t>
      </w:r>
      <w:r>
        <w:rPr>
          <w:spacing w:val="19"/>
        </w:rPr>
        <w:t> </w:t>
      </w:r>
      <w:r>
        <w:rPr/>
        <w:t>4.24:</w:t>
      </w:r>
      <w:r>
        <w:rPr>
          <w:spacing w:val="22"/>
        </w:rPr>
        <w:t> </w:t>
      </w:r>
      <w:r>
        <w:rPr/>
        <w:t>Per</w:t>
      </w:r>
      <w:r>
        <w:rPr>
          <w:spacing w:val="24"/>
        </w:rPr>
        <w:t> </w:t>
      </w:r>
      <w:r>
        <w:rPr/>
        <w:t>residue</w:t>
      </w:r>
      <w:r>
        <w:rPr>
          <w:spacing w:val="20"/>
        </w:rPr>
        <w:t> </w:t>
      </w:r>
      <w:r>
        <w:rPr/>
        <w:t>energy</w:t>
      </w:r>
      <w:r>
        <w:rPr>
          <w:spacing w:val="21"/>
        </w:rPr>
        <w:t> </w:t>
      </w:r>
      <w:r>
        <w:rPr/>
        <w:t>decomposition</w:t>
      </w:r>
      <w:r>
        <w:rPr>
          <w:spacing w:val="26"/>
        </w:rPr>
        <w:t> </w:t>
      </w:r>
      <w:r>
        <w:rPr/>
        <w:t>plot</w:t>
      </w:r>
      <w:r>
        <w:rPr>
          <w:spacing w:val="22"/>
        </w:rPr>
        <w:t> </w:t>
      </w:r>
      <w:r>
        <w:rPr/>
        <w:t>of</w:t>
      </w:r>
      <w:r>
        <w:rPr>
          <w:spacing w:val="18"/>
        </w:rPr>
        <w:t> </w:t>
      </w:r>
      <w:r>
        <w:rPr/>
        <w:t>(A)</w:t>
      </w:r>
      <w:r>
        <w:rPr>
          <w:spacing w:val="21"/>
        </w:rPr>
        <w:t> </w:t>
      </w:r>
      <w:r>
        <w:rPr/>
        <w:t>FP-3</w:t>
      </w:r>
      <w:r>
        <w:rPr>
          <w:spacing w:val="21"/>
        </w:rPr>
        <w:t> </w:t>
      </w:r>
      <w:r>
        <w:rPr/>
        <w:t>in</w:t>
      </w:r>
      <w:r>
        <w:rPr>
          <w:spacing w:val="22"/>
        </w:rPr>
        <w:t> </w:t>
      </w:r>
      <w:r>
        <w:rPr/>
        <w:t>complex</w:t>
      </w:r>
      <w:r>
        <w:rPr>
          <w:spacing w:val="15"/>
        </w:rPr>
        <w:t> </w:t>
      </w:r>
      <w:r>
        <w:rPr/>
        <w:t>with</w:t>
      </w:r>
      <w:r>
        <w:rPr>
          <w:spacing w:val="22"/>
        </w:rPr>
        <w:t> </w:t>
      </w:r>
      <w:r>
        <w:rPr/>
        <w:t>P3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(B) FP-3</w:t>
      </w:r>
      <w:r>
        <w:rPr>
          <w:spacing w:val="2"/>
        </w:rPr>
        <w:t> </w:t>
      </w:r>
      <w:r>
        <w:rPr/>
        <w:t>in</w:t>
      </w:r>
      <w:r>
        <w:rPr>
          <w:spacing w:val="3"/>
        </w:rPr>
        <w:t> </w:t>
      </w:r>
      <w:r>
        <w:rPr/>
        <w:t>complex</w:t>
      </w:r>
      <w:r>
        <w:rPr>
          <w:spacing w:val="-4"/>
        </w:rPr>
        <w:t> </w:t>
      </w:r>
      <w:r>
        <w:rPr/>
        <w:t>with</w:t>
      </w:r>
      <w:r>
        <w:rPr>
          <w:spacing w:val="2"/>
        </w:rPr>
        <w:t> </w:t>
      </w:r>
      <w:r>
        <w:rPr/>
        <w:t>P4</w:t>
        <w:tab/>
        <w:t>106</w:t>
      </w:r>
    </w:p>
    <w:p>
      <w:pPr>
        <w:pStyle w:val="Heading1"/>
        <w:tabs>
          <w:tab w:pos="9047" w:val="right" w:leader="dot"/>
        </w:tabs>
        <w:spacing w:line="480" w:lineRule="auto" w:before="0"/>
        <w:ind w:right="692"/>
      </w:pPr>
      <w:r>
        <w:rPr/>
        <w:t>Figure 4.25:</w:t>
      </w:r>
      <w:r>
        <w:rPr>
          <w:spacing w:val="3"/>
        </w:rPr>
        <w:t> </w:t>
      </w:r>
      <w:r>
        <w:rPr/>
        <w:t>Per residue</w:t>
      </w:r>
      <w:r>
        <w:rPr>
          <w:spacing w:val="1"/>
        </w:rPr>
        <w:t> </w:t>
      </w:r>
      <w:r>
        <w:rPr/>
        <w:t>decomposition</w:t>
      </w:r>
      <w:r>
        <w:rPr>
          <w:spacing w:val="3"/>
        </w:rPr>
        <w:t> </w:t>
      </w:r>
      <w:r>
        <w:rPr/>
        <w:t>plot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(A)</w:t>
      </w:r>
      <w:r>
        <w:rPr>
          <w:spacing w:val="2"/>
        </w:rPr>
        <w:t> </w:t>
      </w:r>
      <w:r>
        <w:rPr/>
        <w:t>Plm-II in</w:t>
      </w:r>
      <w:r>
        <w:rPr>
          <w:spacing w:val="3"/>
        </w:rPr>
        <w:t> </w:t>
      </w:r>
      <w:r>
        <w:rPr/>
        <w:t>complex</w:t>
      </w:r>
      <w:r>
        <w:rPr>
          <w:spacing w:val="-4"/>
        </w:rPr>
        <w:t> </w:t>
      </w:r>
      <w:r>
        <w:rPr/>
        <w:t>with</w:t>
      </w:r>
      <w:r>
        <w:rPr>
          <w:spacing w:val="2"/>
        </w:rPr>
        <w:t> </w:t>
      </w:r>
      <w:r>
        <w:rPr/>
        <w:t>P3</w:t>
      </w:r>
      <w:r>
        <w:rPr>
          <w:spacing w:val="5"/>
        </w:rPr>
        <w:t> </w:t>
      </w:r>
      <w:r>
        <w:rPr/>
        <w:t>and</w:t>
      </w:r>
      <w:r>
        <w:rPr>
          <w:spacing w:val="2"/>
        </w:rPr>
        <w:t> </w:t>
      </w:r>
      <w:r>
        <w:rPr/>
        <w:t>(B)</w:t>
      </w:r>
      <w:r>
        <w:rPr>
          <w:spacing w:val="-57"/>
        </w:rPr>
        <w:t> </w:t>
      </w:r>
      <w:r>
        <w:rPr/>
        <w:t>Plm-II</w:t>
      </w:r>
      <w:r>
        <w:rPr>
          <w:spacing w:val="-1"/>
        </w:rPr>
        <w:t> </w:t>
      </w:r>
      <w:r>
        <w:rPr/>
        <w:t>in</w:t>
      </w:r>
      <w:r>
        <w:rPr>
          <w:spacing w:val="3"/>
        </w:rPr>
        <w:t> </w:t>
      </w:r>
      <w:r>
        <w:rPr/>
        <w:t>complex</w:t>
      </w:r>
      <w:r>
        <w:rPr>
          <w:spacing w:val="-1"/>
        </w:rPr>
        <w:t> </w:t>
      </w:r>
      <w:r>
        <w:rPr/>
        <w:t>with</w:t>
      </w:r>
      <w:r>
        <w:rPr>
          <w:spacing w:val="2"/>
        </w:rPr>
        <w:t> </w:t>
      </w:r>
      <w:r>
        <w:rPr/>
        <w:t>P4.</w:t>
        <w:tab/>
        <w:t>107</w:t>
      </w:r>
    </w:p>
    <w:p>
      <w:pPr>
        <w:pStyle w:val="Heading1"/>
        <w:tabs>
          <w:tab w:pos="9047" w:val="right" w:leader="dot"/>
        </w:tabs>
        <w:spacing w:line="480" w:lineRule="auto" w:before="1"/>
        <w:ind w:right="698"/>
      </w:pPr>
      <w:r>
        <w:rPr/>
        <w:t>Figure</w:t>
      </w:r>
      <w:r>
        <w:rPr>
          <w:spacing w:val="19"/>
        </w:rPr>
        <w:t> </w:t>
      </w:r>
      <w:r>
        <w:rPr/>
        <w:t>4.26</w:t>
      </w:r>
      <w:r>
        <w:rPr>
          <w:spacing w:val="21"/>
        </w:rPr>
        <w:t> </w:t>
      </w:r>
      <w:r>
        <w:rPr/>
        <w:t>:</w:t>
      </w:r>
      <w:r>
        <w:rPr>
          <w:spacing w:val="21"/>
        </w:rPr>
        <w:t> </w:t>
      </w:r>
      <w:r>
        <w:rPr/>
        <w:t>Per</w:t>
      </w:r>
      <w:r>
        <w:rPr>
          <w:spacing w:val="20"/>
        </w:rPr>
        <w:t> </w:t>
      </w:r>
      <w:r>
        <w:rPr/>
        <w:t>residue</w:t>
      </w:r>
      <w:r>
        <w:rPr>
          <w:spacing w:val="19"/>
        </w:rPr>
        <w:t> </w:t>
      </w:r>
      <w:r>
        <w:rPr/>
        <w:t>energy</w:t>
      </w:r>
      <w:r>
        <w:rPr>
          <w:spacing w:val="25"/>
        </w:rPr>
        <w:t> </w:t>
      </w:r>
      <w:r>
        <w:rPr/>
        <w:t>decomposition</w:t>
      </w:r>
      <w:r>
        <w:rPr>
          <w:spacing w:val="22"/>
        </w:rPr>
        <w:t> </w:t>
      </w:r>
      <w:r>
        <w:rPr/>
        <w:t>plot</w:t>
      </w:r>
      <w:r>
        <w:rPr>
          <w:spacing w:val="21"/>
        </w:rPr>
        <w:t> </w:t>
      </w:r>
      <w:r>
        <w:rPr/>
        <w:t>of</w:t>
      </w:r>
      <w:r>
        <w:rPr>
          <w:spacing w:val="22"/>
        </w:rPr>
        <w:t> </w:t>
      </w:r>
      <w:r>
        <w:rPr/>
        <w:t>(A)</w:t>
      </w:r>
      <w:r>
        <w:rPr>
          <w:spacing w:val="21"/>
        </w:rPr>
        <w:t> </w:t>
      </w:r>
      <w:r>
        <w:rPr/>
        <w:t>Plm-IV</w:t>
      </w:r>
      <w:r>
        <w:rPr>
          <w:spacing w:val="20"/>
        </w:rPr>
        <w:t> </w:t>
      </w:r>
      <w:r>
        <w:rPr/>
        <w:t>in</w:t>
      </w:r>
      <w:r>
        <w:rPr>
          <w:spacing w:val="21"/>
        </w:rPr>
        <w:t> </w:t>
      </w:r>
      <w:r>
        <w:rPr/>
        <w:t>complex</w:t>
      </w:r>
      <w:r>
        <w:rPr>
          <w:spacing w:val="16"/>
        </w:rPr>
        <w:t> </w:t>
      </w:r>
      <w:r>
        <w:rPr/>
        <w:t>with</w:t>
      </w:r>
      <w:r>
        <w:rPr>
          <w:spacing w:val="-57"/>
        </w:rPr>
        <w:t> </w:t>
      </w:r>
      <w:r>
        <w:rPr/>
        <w:t>P3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(B)</w:t>
      </w:r>
      <w:r>
        <w:rPr>
          <w:spacing w:val="-1"/>
        </w:rPr>
        <w:t> </w:t>
      </w:r>
      <w:r>
        <w:rPr/>
        <w:t>Plm-IV in</w:t>
      </w:r>
      <w:r>
        <w:rPr>
          <w:spacing w:val="3"/>
        </w:rPr>
        <w:t> </w:t>
      </w:r>
      <w:r>
        <w:rPr/>
        <w:t>complex</w:t>
      </w:r>
      <w:r>
        <w:rPr>
          <w:spacing w:val="-3"/>
        </w:rPr>
        <w:t> </w:t>
      </w:r>
      <w:r>
        <w:rPr/>
        <w:t>with</w:t>
      </w:r>
      <w:r>
        <w:rPr>
          <w:spacing w:val="2"/>
        </w:rPr>
        <w:t> </w:t>
      </w:r>
      <w:r>
        <w:rPr/>
        <w:t>P4</w:t>
        <w:tab/>
        <w:t>108</w:t>
      </w:r>
    </w:p>
    <w:p>
      <w:pPr>
        <w:spacing w:after="0" w:line="480" w:lineRule="auto"/>
        <w:sectPr>
          <w:headerReference w:type="default" r:id="rId24"/>
          <w:footerReference w:type="default" r:id="rId25"/>
          <w:pgSz w:w="11910" w:h="16840"/>
          <w:pgMar w:header="0" w:footer="2289" w:top="1200" w:bottom="2480" w:left="1560" w:right="600"/>
        </w:sectPr>
      </w:pPr>
    </w:p>
    <w:p>
      <w:pPr>
        <w:pStyle w:val="Heading1"/>
        <w:spacing w:before="74"/>
        <w:ind w:left="310" w:right="699"/>
        <w:jc w:val="center"/>
      </w:pPr>
      <w:r>
        <w:rPr/>
        <w:t>LIST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APPENDICES</w:t>
      </w:r>
    </w:p>
    <w:p>
      <w:pPr>
        <w:pStyle w:val="Heading1"/>
        <w:tabs>
          <w:tab w:pos="8687" w:val="left" w:leader="dot"/>
        </w:tabs>
        <w:spacing w:line="480" w:lineRule="auto" w:before="478"/>
        <w:ind w:right="697"/>
      </w:pPr>
      <w:r>
        <w:rPr/>
        <w:t>Appendix</w:t>
      </w:r>
      <w:r>
        <w:rPr>
          <w:spacing w:val="-5"/>
        </w:rPr>
        <w:t> </w:t>
      </w:r>
      <w:r>
        <w:rPr/>
        <w:t>1: Effect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compound P1,</w:t>
      </w:r>
      <w:r>
        <w:rPr>
          <w:spacing w:val="2"/>
        </w:rPr>
        <w:t> </w:t>
      </w:r>
      <w:r>
        <w:rPr/>
        <w:t>P2,</w:t>
      </w:r>
      <w:r>
        <w:rPr>
          <w:spacing w:val="1"/>
        </w:rPr>
        <w:t> </w:t>
      </w:r>
      <w:r>
        <w:rPr/>
        <w:t>P3,</w:t>
      </w:r>
      <w:r>
        <w:rPr>
          <w:spacing w:val="2"/>
        </w:rPr>
        <w:t> </w:t>
      </w:r>
      <w:r>
        <w:rPr/>
        <w:t>P4,</w:t>
      </w:r>
      <w:r>
        <w:rPr>
          <w:spacing w:val="2"/>
        </w:rPr>
        <w:t> </w:t>
      </w:r>
      <w:r>
        <w:rPr/>
        <w:t>P8,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P23-P25 on the</w:t>
      </w:r>
      <w:r>
        <w:rPr>
          <w:spacing w:val="-1"/>
        </w:rPr>
        <w:t> </w:t>
      </w:r>
      <w:r>
        <w:rPr/>
        <w:t>parasitaemia</w:t>
      </w:r>
      <w:r>
        <w:rPr>
          <w:spacing w:val="-57"/>
        </w:rPr>
        <w:t> </w:t>
      </w:r>
      <w:r>
        <w:rPr/>
        <w:t>level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>
          <w:i/>
        </w:rPr>
        <w:t>P.</w:t>
      </w:r>
      <w:r>
        <w:rPr>
          <w:i/>
          <w:spacing w:val="2"/>
        </w:rPr>
        <w:t> </w:t>
      </w:r>
      <w:r>
        <w:rPr>
          <w:i/>
        </w:rPr>
        <w:t>berghei</w:t>
      </w:r>
      <w:r>
        <w:rPr>
          <w:i/>
          <w:spacing w:val="2"/>
        </w:rPr>
        <w:t> </w:t>
      </w:r>
      <w:r>
        <w:rPr/>
        <w:t>infected</w:t>
      </w:r>
      <w:r>
        <w:rPr>
          <w:spacing w:val="-1"/>
        </w:rPr>
        <w:t> </w:t>
      </w:r>
      <w:r>
        <w:rPr/>
        <w:t>mice</w:t>
        <w:tab/>
      </w:r>
      <w:r>
        <w:rPr>
          <w:spacing w:val="-1"/>
        </w:rPr>
        <w:t>150</w:t>
      </w:r>
    </w:p>
    <w:p>
      <w:pPr>
        <w:pStyle w:val="Heading1"/>
        <w:tabs>
          <w:tab w:pos="8687" w:val="left" w:leader="dot"/>
        </w:tabs>
        <w:spacing w:line="480" w:lineRule="auto" w:before="1"/>
        <w:ind w:right="697"/>
      </w:pPr>
      <w:r>
        <w:rPr/>
        <w:t>Appendix</w:t>
      </w:r>
      <w:r>
        <w:rPr>
          <w:spacing w:val="8"/>
        </w:rPr>
        <w:t> </w:t>
      </w:r>
      <w:r>
        <w:rPr/>
        <w:t>2:</w:t>
      </w:r>
      <w:r>
        <w:rPr>
          <w:spacing w:val="15"/>
        </w:rPr>
        <w:t> </w:t>
      </w:r>
      <w:r>
        <w:rPr/>
        <w:t>Effect</w:t>
      </w:r>
      <w:r>
        <w:rPr>
          <w:spacing w:val="14"/>
        </w:rPr>
        <w:t> </w:t>
      </w:r>
      <w:r>
        <w:rPr/>
        <w:t>of</w:t>
      </w:r>
      <w:r>
        <w:rPr>
          <w:spacing w:val="10"/>
        </w:rPr>
        <w:t> </w:t>
      </w:r>
      <w:r>
        <w:rPr/>
        <w:t>compound</w:t>
      </w:r>
      <w:r>
        <w:rPr>
          <w:spacing w:val="13"/>
        </w:rPr>
        <w:t> </w:t>
      </w:r>
      <w:r>
        <w:rPr/>
        <w:t>P11,</w:t>
      </w:r>
      <w:r>
        <w:rPr>
          <w:spacing w:val="15"/>
        </w:rPr>
        <w:t> </w:t>
      </w:r>
      <w:r>
        <w:rPr/>
        <w:t>P12,</w:t>
      </w:r>
      <w:r>
        <w:rPr>
          <w:spacing w:val="14"/>
        </w:rPr>
        <w:t> </w:t>
      </w:r>
      <w:r>
        <w:rPr/>
        <w:t>P13,</w:t>
      </w:r>
      <w:r>
        <w:rPr>
          <w:spacing w:val="15"/>
        </w:rPr>
        <w:t> </w:t>
      </w:r>
      <w:r>
        <w:rPr/>
        <w:t>P15,</w:t>
      </w:r>
      <w:r>
        <w:rPr>
          <w:spacing w:val="14"/>
        </w:rPr>
        <w:t> </w:t>
      </w:r>
      <w:r>
        <w:rPr/>
        <w:t>P16,</w:t>
      </w:r>
      <w:r>
        <w:rPr>
          <w:spacing w:val="11"/>
        </w:rPr>
        <w:t> </w:t>
      </w:r>
      <w:r>
        <w:rPr/>
        <w:t>P17,</w:t>
      </w:r>
      <w:r>
        <w:rPr>
          <w:spacing w:val="15"/>
        </w:rPr>
        <w:t> </w:t>
      </w:r>
      <w:r>
        <w:rPr/>
        <w:t>P19,</w:t>
      </w:r>
      <w:r>
        <w:rPr>
          <w:spacing w:val="14"/>
        </w:rPr>
        <w:t> </w:t>
      </w:r>
      <w:r>
        <w:rPr/>
        <w:t>P21and,</w:t>
      </w:r>
      <w:r>
        <w:rPr>
          <w:spacing w:val="15"/>
        </w:rPr>
        <w:t> </w:t>
      </w:r>
      <w:r>
        <w:rPr/>
        <w:t>P22</w:t>
      </w:r>
      <w:r>
        <w:rPr>
          <w:spacing w:val="12"/>
        </w:rPr>
        <w:t> </w:t>
      </w:r>
      <w:r>
        <w:rPr/>
        <w:t>on</w:t>
      </w:r>
      <w:r>
        <w:rPr>
          <w:spacing w:val="-57"/>
        </w:rPr>
        <w:t> </w:t>
      </w:r>
      <w:r>
        <w:rPr/>
        <w:t>the</w:t>
      </w:r>
      <w:r>
        <w:rPr>
          <w:spacing w:val="-3"/>
        </w:rPr>
        <w:t> </w:t>
      </w:r>
      <w:r>
        <w:rPr/>
        <w:t>parasitaemia</w:t>
      </w:r>
      <w:r>
        <w:rPr>
          <w:spacing w:val="-1"/>
        </w:rPr>
        <w:t> </w:t>
      </w:r>
      <w:r>
        <w:rPr/>
        <w:t>level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r>
        <w:rPr>
          <w:i/>
        </w:rPr>
        <w:t>P. berghei</w:t>
      </w:r>
      <w:r>
        <w:rPr>
          <w:i/>
          <w:spacing w:val="1"/>
        </w:rPr>
        <w:t> </w:t>
      </w:r>
      <w:r>
        <w:rPr/>
        <w:t>infected</w:t>
      </w:r>
      <w:r>
        <w:rPr>
          <w:spacing w:val="-1"/>
        </w:rPr>
        <w:t> </w:t>
      </w:r>
      <w:r>
        <w:rPr/>
        <w:t>mice</w:t>
        <w:tab/>
      </w:r>
      <w:r>
        <w:rPr>
          <w:spacing w:val="-1"/>
        </w:rPr>
        <w:t>151</w:t>
      </w:r>
    </w:p>
    <w:p>
      <w:pPr>
        <w:pStyle w:val="Heading1"/>
        <w:tabs>
          <w:tab w:pos="8687" w:val="left" w:leader="dot"/>
        </w:tabs>
        <w:spacing w:line="480" w:lineRule="auto" w:before="0"/>
        <w:ind w:right="697"/>
      </w:pPr>
      <w:r>
        <w:rPr/>
        <w:t>Appendix 3: The binding energy result of the co-crystallized ligands and 17 chalcones</w:t>
      </w:r>
      <w:r>
        <w:rPr>
          <w:spacing w:val="-57"/>
        </w:rPr>
        <w:t> </w:t>
      </w:r>
      <w:r>
        <w:rPr/>
        <w:t>against</w:t>
      </w:r>
      <w:r>
        <w:rPr>
          <w:spacing w:val="-1"/>
        </w:rPr>
        <w:t> </w:t>
      </w:r>
      <w:r>
        <w:rPr/>
        <w:t>four</w:t>
      </w:r>
      <w:r>
        <w:rPr>
          <w:spacing w:val="-7"/>
        </w:rPr>
        <w:t> </w:t>
      </w:r>
      <w:r>
        <w:rPr/>
        <w:t>enzymes</w:t>
      </w:r>
      <w:r>
        <w:rPr>
          <w:spacing w:val="-3"/>
        </w:rPr>
        <w:t> </w:t>
      </w:r>
      <w:r>
        <w:rPr/>
        <w:t>(FP-2, FP-3,</w:t>
      </w:r>
      <w:r>
        <w:rPr>
          <w:spacing w:val="1"/>
        </w:rPr>
        <w:t> </w:t>
      </w:r>
      <w:r>
        <w:rPr/>
        <w:t>Plm-II, and,</w:t>
      </w:r>
      <w:r>
        <w:rPr>
          <w:spacing w:val="-4"/>
        </w:rPr>
        <w:t> </w:t>
      </w:r>
      <w:r>
        <w:rPr/>
        <w:t>Plm-IV)</w:t>
        <w:tab/>
      </w:r>
      <w:r>
        <w:rPr>
          <w:spacing w:val="-1"/>
        </w:rPr>
        <w:t>152</w:t>
      </w:r>
    </w:p>
    <w:p>
      <w:pPr>
        <w:pStyle w:val="Heading1"/>
        <w:tabs>
          <w:tab w:pos="8687" w:val="left" w:leader="dot"/>
        </w:tabs>
        <w:spacing w:line="480" w:lineRule="auto" w:before="0"/>
        <w:ind w:right="699"/>
      </w:pPr>
      <w:r>
        <w:rPr/>
        <w:t>Appendix</w:t>
      </w:r>
      <w:r>
        <w:rPr>
          <w:spacing w:val="35"/>
        </w:rPr>
        <w:t> </w:t>
      </w:r>
      <w:r>
        <w:rPr/>
        <w:t>4:</w:t>
      </w:r>
      <w:r>
        <w:rPr>
          <w:spacing w:val="38"/>
        </w:rPr>
        <w:t> </w:t>
      </w:r>
      <w:r>
        <w:rPr/>
        <w:t>MD</w:t>
      </w:r>
      <w:r>
        <w:rPr>
          <w:spacing w:val="39"/>
        </w:rPr>
        <w:t> </w:t>
      </w:r>
      <w:r>
        <w:rPr/>
        <w:t>trajectory</w:t>
      </w:r>
      <w:r>
        <w:rPr>
          <w:spacing w:val="39"/>
        </w:rPr>
        <w:t> </w:t>
      </w:r>
      <w:r>
        <w:rPr/>
        <w:t>showing</w:t>
      </w:r>
      <w:r>
        <w:rPr>
          <w:spacing w:val="39"/>
        </w:rPr>
        <w:t> </w:t>
      </w:r>
      <w:r>
        <w:rPr/>
        <w:t>30</w:t>
      </w:r>
      <w:r>
        <w:rPr>
          <w:spacing w:val="39"/>
        </w:rPr>
        <w:t> </w:t>
      </w:r>
      <w:r>
        <w:rPr/>
        <w:t>nanoseconds</w:t>
      </w:r>
      <w:r>
        <w:rPr>
          <w:spacing w:val="37"/>
        </w:rPr>
        <w:t> </w:t>
      </w:r>
      <w:r>
        <w:rPr/>
        <w:t>(ns)</w:t>
      </w:r>
      <w:r>
        <w:rPr>
          <w:spacing w:val="41"/>
        </w:rPr>
        <w:t> </w:t>
      </w:r>
      <w:r>
        <w:rPr/>
        <w:t>molecular</w:t>
      </w:r>
      <w:r>
        <w:rPr>
          <w:spacing w:val="34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P3</w:t>
      </w:r>
      <w:r>
        <w:rPr>
          <w:spacing w:val="1"/>
        </w:rPr>
        <w:t> </w:t>
      </w:r>
      <w:r>
        <w:rPr/>
        <w:t>bound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FP-2.</w:t>
        <w:tab/>
      </w:r>
      <w:r>
        <w:rPr>
          <w:spacing w:val="-2"/>
        </w:rPr>
        <w:t>153</w:t>
      </w:r>
    </w:p>
    <w:p>
      <w:pPr>
        <w:pStyle w:val="Heading1"/>
        <w:tabs>
          <w:tab w:pos="8687" w:val="left" w:leader="dot"/>
        </w:tabs>
        <w:spacing w:line="480" w:lineRule="auto" w:before="1"/>
        <w:ind w:right="699"/>
      </w:pPr>
      <w:r>
        <w:rPr/>
        <w:t>Appendix</w:t>
      </w:r>
      <w:r>
        <w:rPr>
          <w:spacing w:val="35"/>
        </w:rPr>
        <w:t> </w:t>
      </w:r>
      <w:r>
        <w:rPr/>
        <w:t>5:</w:t>
      </w:r>
      <w:r>
        <w:rPr>
          <w:spacing w:val="36"/>
        </w:rPr>
        <w:t> </w:t>
      </w:r>
      <w:r>
        <w:rPr/>
        <w:t>MD</w:t>
      </w:r>
      <w:r>
        <w:rPr>
          <w:spacing w:val="39"/>
        </w:rPr>
        <w:t> </w:t>
      </w:r>
      <w:r>
        <w:rPr/>
        <w:t>trajectory</w:t>
      </w:r>
      <w:r>
        <w:rPr>
          <w:spacing w:val="39"/>
        </w:rPr>
        <w:t> </w:t>
      </w:r>
      <w:r>
        <w:rPr/>
        <w:t>showing</w:t>
      </w:r>
      <w:r>
        <w:rPr>
          <w:spacing w:val="39"/>
        </w:rPr>
        <w:t> </w:t>
      </w:r>
      <w:r>
        <w:rPr/>
        <w:t>30</w:t>
      </w:r>
      <w:r>
        <w:rPr>
          <w:spacing w:val="39"/>
        </w:rPr>
        <w:t> </w:t>
      </w:r>
      <w:r>
        <w:rPr/>
        <w:t>nanoseconds</w:t>
      </w:r>
      <w:r>
        <w:rPr>
          <w:spacing w:val="37"/>
        </w:rPr>
        <w:t> </w:t>
      </w:r>
      <w:r>
        <w:rPr/>
        <w:t>(ns)</w:t>
      </w:r>
      <w:r>
        <w:rPr>
          <w:spacing w:val="41"/>
        </w:rPr>
        <w:t> </w:t>
      </w:r>
      <w:r>
        <w:rPr/>
        <w:t>molecular</w:t>
      </w:r>
      <w:r>
        <w:rPr>
          <w:spacing w:val="34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P4</w:t>
      </w:r>
      <w:r>
        <w:rPr>
          <w:spacing w:val="1"/>
        </w:rPr>
        <w:t> </w:t>
      </w:r>
      <w:r>
        <w:rPr/>
        <w:t>bound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FP-2.</w:t>
        <w:tab/>
      </w:r>
      <w:r>
        <w:rPr>
          <w:spacing w:val="-2"/>
        </w:rPr>
        <w:t>155</w:t>
      </w:r>
    </w:p>
    <w:p>
      <w:pPr>
        <w:pStyle w:val="Heading1"/>
        <w:tabs>
          <w:tab w:pos="8687" w:val="left" w:leader="dot"/>
        </w:tabs>
        <w:spacing w:line="480" w:lineRule="auto" w:before="1"/>
        <w:ind w:right="698"/>
      </w:pPr>
      <w:r>
        <w:rPr/>
        <w:t>Appendix</w:t>
      </w:r>
      <w:r>
        <w:rPr>
          <w:spacing w:val="35"/>
        </w:rPr>
        <w:t> </w:t>
      </w:r>
      <w:r>
        <w:rPr/>
        <w:t>6:</w:t>
      </w:r>
      <w:r>
        <w:rPr>
          <w:spacing w:val="36"/>
        </w:rPr>
        <w:t> </w:t>
      </w:r>
      <w:r>
        <w:rPr/>
        <w:t>MD</w:t>
      </w:r>
      <w:r>
        <w:rPr>
          <w:spacing w:val="39"/>
        </w:rPr>
        <w:t> </w:t>
      </w:r>
      <w:r>
        <w:rPr/>
        <w:t>trajectory</w:t>
      </w:r>
      <w:r>
        <w:rPr>
          <w:spacing w:val="39"/>
        </w:rPr>
        <w:t> </w:t>
      </w:r>
      <w:r>
        <w:rPr/>
        <w:t>showing</w:t>
      </w:r>
      <w:r>
        <w:rPr>
          <w:spacing w:val="39"/>
        </w:rPr>
        <w:t> </w:t>
      </w:r>
      <w:r>
        <w:rPr/>
        <w:t>30</w:t>
      </w:r>
      <w:r>
        <w:rPr>
          <w:spacing w:val="45"/>
        </w:rPr>
        <w:t> </w:t>
      </w:r>
      <w:r>
        <w:rPr/>
        <w:t>nanoseconds</w:t>
      </w:r>
      <w:r>
        <w:rPr>
          <w:spacing w:val="37"/>
        </w:rPr>
        <w:t> </w:t>
      </w:r>
      <w:r>
        <w:rPr/>
        <w:t>(ns)</w:t>
      </w:r>
      <w:r>
        <w:rPr>
          <w:spacing w:val="41"/>
        </w:rPr>
        <w:t> </w:t>
      </w:r>
      <w:r>
        <w:rPr/>
        <w:t>molecular</w:t>
      </w:r>
      <w:r>
        <w:rPr>
          <w:spacing w:val="34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P3</w:t>
      </w:r>
      <w:r>
        <w:rPr>
          <w:spacing w:val="1"/>
        </w:rPr>
        <w:t> </w:t>
      </w:r>
      <w:r>
        <w:rPr/>
        <w:t>bound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FP-3.</w:t>
        <w:tab/>
      </w:r>
      <w:r>
        <w:rPr>
          <w:spacing w:val="-1"/>
        </w:rPr>
        <w:t>155</w:t>
      </w:r>
    </w:p>
    <w:p>
      <w:pPr>
        <w:pStyle w:val="Heading1"/>
        <w:tabs>
          <w:tab w:pos="8687" w:val="left" w:leader="dot"/>
        </w:tabs>
        <w:spacing w:line="480" w:lineRule="auto" w:before="0"/>
        <w:ind w:right="699"/>
      </w:pPr>
      <w:r>
        <w:rPr/>
        <w:t>Appendix</w:t>
      </w:r>
      <w:r>
        <w:rPr>
          <w:spacing w:val="35"/>
        </w:rPr>
        <w:t> </w:t>
      </w:r>
      <w:r>
        <w:rPr/>
        <w:t>7:</w:t>
      </w:r>
      <w:r>
        <w:rPr>
          <w:spacing w:val="36"/>
        </w:rPr>
        <w:t> </w:t>
      </w:r>
      <w:r>
        <w:rPr/>
        <w:t>MD</w:t>
      </w:r>
      <w:r>
        <w:rPr>
          <w:spacing w:val="39"/>
        </w:rPr>
        <w:t> </w:t>
      </w:r>
      <w:r>
        <w:rPr/>
        <w:t>trajectory</w:t>
      </w:r>
      <w:r>
        <w:rPr>
          <w:spacing w:val="39"/>
        </w:rPr>
        <w:t> </w:t>
      </w:r>
      <w:r>
        <w:rPr/>
        <w:t>showing</w:t>
      </w:r>
      <w:r>
        <w:rPr>
          <w:spacing w:val="39"/>
        </w:rPr>
        <w:t> </w:t>
      </w:r>
      <w:r>
        <w:rPr/>
        <w:t>30</w:t>
      </w:r>
      <w:r>
        <w:rPr>
          <w:spacing w:val="39"/>
        </w:rPr>
        <w:t> </w:t>
      </w:r>
      <w:r>
        <w:rPr/>
        <w:t>nanoseconds</w:t>
      </w:r>
      <w:r>
        <w:rPr>
          <w:spacing w:val="37"/>
        </w:rPr>
        <w:t> </w:t>
      </w:r>
      <w:r>
        <w:rPr/>
        <w:t>(ns)</w:t>
      </w:r>
      <w:r>
        <w:rPr>
          <w:spacing w:val="41"/>
        </w:rPr>
        <w:t> </w:t>
      </w:r>
      <w:r>
        <w:rPr/>
        <w:t>molecular</w:t>
      </w:r>
      <w:r>
        <w:rPr>
          <w:spacing w:val="34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P4</w:t>
      </w:r>
      <w:r>
        <w:rPr>
          <w:spacing w:val="1"/>
        </w:rPr>
        <w:t> </w:t>
      </w:r>
      <w:r>
        <w:rPr/>
        <w:t>bound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FP-3.</w:t>
        <w:tab/>
      </w:r>
      <w:r>
        <w:rPr>
          <w:spacing w:val="-2"/>
        </w:rPr>
        <w:t>156</w:t>
      </w:r>
    </w:p>
    <w:p>
      <w:pPr>
        <w:pStyle w:val="Heading1"/>
        <w:tabs>
          <w:tab w:pos="8687" w:val="left" w:leader="dot"/>
        </w:tabs>
        <w:spacing w:line="480" w:lineRule="auto" w:before="0"/>
        <w:ind w:right="699"/>
      </w:pPr>
      <w:r>
        <w:rPr/>
        <w:t>Appendix</w:t>
      </w:r>
      <w:r>
        <w:rPr>
          <w:spacing w:val="35"/>
        </w:rPr>
        <w:t> </w:t>
      </w:r>
      <w:r>
        <w:rPr/>
        <w:t>8:</w:t>
      </w:r>
      <w:r>
        <w:rPr>
          <w:spacing w:val="36"/>
        </w:rPr>
        <w:t> </w:t>
      </w:r>
      <w:r>
        <w:rPr/>
        <w:t>MD</w:t>
      </w:r>
      <w:r>
        <w:rPr>
          <w:spacing w:val="39"/>
        </w:rPr>
        <w:t> </w:t>
      </w:r>
      <w:r>
        <w:rPr/>
        <w:t>trajectory</w:t>
      </w:r>
      <w:r>
        <w:rPr>
          <w:spacing w:val="39"/>
        </w:rPr>
        <w:t> </w:t>
      </w:r>
      <w:r>
        <w:rPr/>
        <w:t>showing</w:t>
      </w:r>
      <w:r>
        <w:rPr>
          <w:spacing w:val="39"/>
        </w:rPr>
        <w:t> </w:t>
      </w:r>
      <w:r>
        <w:rPr/>
        <w:t>30</w:t>
      </w:r>
      <w:r>
        <w:rPr>
          <w:spacing w:val="39"/>
        </w:rPr>
        <w:t> </w:t>
      </w:r>
      <w:r>
        <w:rPr/>
        <w:t>nanoseconds</w:t>
      </w:r>
      <w:r>
        <w:rPr>
          <w:spacing w:val="37"/>
        </w:rPr>
        <w:t> </w:t>
      </w:r>
      <w:r>
        <w:rPr/>
        <w:t>(ns)</w:t>
      </w:r>
      <w:r>
        <w:rPr>
          <w:spacing w:val="41"/>
        </w:rPr>
        <w:t> </w:t>
      </w:r>
      <w:r>
        <w:rPr/>
        <w:t>molecular</w:t>
      </w:r>
      <w:r>
        <w:rPr>
          <w:spacing w:val="34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 of</w:t>
      </w:r>
      <w:r>
        <w:rPr>
          <w:spacing w:val="-4"/>
        </w:rPr>
        <w:t> </w:t>
      </w:r>
      <w:r>
        <w:rPr/>
        <w:t>P3</w:t>
      </w:r>
      <w:r>
        <w:rPr>
          <w:spacing w:val="-1"/>
        </w:rPr>
        <w:t> </w:t>
      </w:r>
      <w:r>
        <w:rPr/>
        <w:t>bound</w:t>
      </w:r>
      <w:r>
        <w:rPr>
          <w:spacing w:val="-5"/>
        </w:rPr>
        <w:t> </w:t>
      </w:r>
      <w:r>
        <w:rPr/>
        <w:t>to Plm-II</w:t>
        <w:tab/>
      </w:r>
      <w:r>
        <w:rPr>
          <w:spacing w:val="-2"/>
        </w:rPr>
        <w:t>157</w:t>
      </w:r>
    </w:p>
    <w:p>
      <w:pPr>
        <w:pStyle w:val="Heading1"/>
        <w:tabs>
          <w:tab w:pos="8687" w:val="left" w:leader="dot"/>
        </w:tabs>
        <w:spacing w:line="475" w:lineRule="auto" w:before="1"/>
        <w:ind w:right="699"/>
      </w:pPr>
      <w:r>
        <w:rPr/>
        <w:t>Appendix</w:t>
      </w:r>
      <w:r>
        <w:rPr>
          <w:spacing w:val="35"/>
        </w:rPr>
        <w:t> </w:t>
      </w:r>
      <w:r>
        <w:rPr/>
        <w:t>9:</w:t>
      </w:r>
      <w:r>
        <w:rPr>
          <w:spacing w:val="36"/>
        </w:rPr>
        <w:t> </w:t>
      </w:r>
      <w:r>
        <w:rPr/>
        <w:t>MD</w:t>
      </w:r>
      <w:r>
        <w:rPr>
          <w:spacing w:val="39"/>
        </w:rPr>
        <w:t> </w:t>
      </w:r>
      <w:r>
        <w:rPr/>
        <w:t>trajectory</w:t>
      </w:r>
      <w:r>
        <w:rPr>
          <w:spacing w:val="39"/>
        </w:rPr>
        <w:t> </w:t>
      </w:r>
      <w:r>
        <w:rPr/>
        <w:t>showing</w:t>
      </w:r>
      <w:r>
        <w:rPr>
          <w:spacing w:val="39"/>
        </w:rPr>
        <w:t> </w:t>
      </w:r>
      <w:r>
        <w:rPr/>
        <w:t>30</w:t>
      </w:r>
      <w:r>
        <w:rPr>
          <w:spacing w:val="39"/>
        </w:rPr>
        <w:t> </w:t>
      </w:r>
      <w:r>
        <w:rPr/>
        <w:t>nanoseconds</w:t>
      </w:r>
      <w:r>
        <w:rPr>
          <w:spacing w:val="37"/>
        </w:rPr>
        <w:t> </w:t>
      </w:r>
      <w:r>
        <w:rPr/>
        <w:t>(ns)</w:t>
      </w:r>
      <w:r>
        <w:rPr>
          <w:spacing w:val="41"/>
        </w:rPr>
        <w:t> </w:t>
      </w:r>
      <w:r>
        <w:rPr/>
        <w:t>molecular</w:t>
      </w:r>
      <w:r>
        <w:rPr>
          <w:spacing w:val="34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P4</w:t>
      </w:r>
      <w:r>
        <w:rPr>
          <w:spacing w:val="-1"/>
        </w:rPr>
        <w:t> </w:t>
      </w:r>
      <w:r>
        <w:rPr/>
        <w:t>bound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Plm-II.</w:t>
        <w:tab/>
      </w:r>
      <w:r>
        <w:rPr>
          <w:spacing w:val="-2"/>
        </w:rPr>
        <w:t>158</w:t>
      </w:r>
    </w:p>
    <w:p>
      <w:pPr>
        <w:pStyle w:val="Heading1"/>
        <w:tabs>
          <w:tab w:pos="8687" w:val="left" w:leader="dot"/>
        </w:tabs>
        <w:spacing w:line="480" w:lineRule="auto" w:before="6"/>
        <w:ind w:right="699"/>
      </w:pPr>
      <w:r>
        <w:rPr/>
        <w:t>Appendix</w:t>
      </w:r>
      <w:r>
        <w:rPr>
          <w:spacing w:val="22"/>
        </w:rPr>
        <w:t> </w:t>
      </w:r>
      <w:r>
        <w:rPr/>
        <w:t>10:</w:t>
      </w:r>
      <w:r>
        <w:rPr>
          <w:spacing w:val="28"/>
        </w:rPr>
        <w:t> </w:t>
      </w:r>
      <w:r>
        <w:rPr/>
        <w:t>MD</w:t>
      </w:r>
      <w:r>
        <w:rPr>
          <w:spacing w:val="21"/>
        </w:rPr>
        <w:t> </w:t>
      </w:r>
      <w:r>
        <w:rPr/>
        <w:t>trajectory</w:t>
      </w:r>
      <w:r>
        <w:rPr>
          <w:spacing w:val="26"/>
        </w:rPr>
        <w:t> </w:t>
      </w:r>
      <w:r>
        <w:rPr/>
        <w:t>showing</w:t>
      </w:r>
      <w:r>
        <w:rPr>
          <w:spacing w:val="26"/>
        </w:rPr>
        <w:t> </w:t>
      </w:r>
      <w:r>
        <w:rPr/>
        <w:t>30</w:t>
      </w:r>
      <w:r>
        <w:rPr>
          <w:spacing w:val="26"/>
        </w:rPr>
        <w:t> </w:t>
      </w:r>
      <w:r>
        <w:rPr/>
        <w:t>nanoseconds</w:t>
      </w:r>
      <w:r>
        <w:rPr>
          <w:spacing w:val="24"/>
        </w:rPr>
        <w:t> </w:t>
      </w:r>
      <w:r>
        <w:rPr/>
        <w:t>(ns)</w:t>
      </w:r>
      <w:r>
        <w:rPr>
          <w:spacing w:val="28"/>
        </w:rPr>
        <w:t> </w:t>
      </w:r>
      <w:r>
        <w:rPr/>
        <w:t>molecular</w:t>
      </w:r>
      <w:r>
        <w:rPr>
          <w:spacing w:val="20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 of</w:t>
      </w:r>
      <w:r>
        <w:rPr>
          <w:spacing w:val="-3"/>
        </w:rPr>
        <w:t> </w:t>
      </w:r>
      <w:r>
        <w:rPr/>
        <w:t>P3</w:t>
      </w:r>
      <w:r>
        <w:rPr>
          <w:spacing w:val="-1"/>
        </w:rPr>
        <w:t> </w:t>
      </w:r>
      <w:r>
        <w:rPr/>
        <w:t>bound</w:t>
      </w:r>
      <w:r>
        <w:rPr>
          <w:spacing w:val="-4"/>
        </w:rPr>
        <w:t> </w:t>
      </w:r>
      <w:r>
        <w:rPr/>
        <w:t>to Plm-IV.</w:t>
        <w:tab/>
      </w:r>
      <w:r>
        <w:rPr>
          <w:spacing w:val="-2"/>
        </w:rPr>
        <w:t>159</w:t>
      </w:r>
    </w:p>
    <w:p>
      <w:pPr>
        <w:pStyle w:val="Heading1"/>
        <w:tabs>
          <w:tab w:pos="8687" w:val="left" w:leader="dot"/>
        </w:tabs>
        <w:spacing w:line="480" w:lineRule="auto" w:before="1"/>
        <w:ind w:right="699"/>
      </w:pPr>
      <w:r>
        <w:rPr/>
        <w:t>Appendix</w:t>
      </w:r>
      <w:r>
        <w:rPr>
          <w:spacing w:val="22"/>
        </w:rPr>
        <w:t> </w:t>
      </w:r>
      <w:r>
        <w:rPr/>
        <w:t>11:</w:t>
      </w:r>
      <w:r>
        <w:rPr>
          <w:spacing w:val="28"/>
        </w:rPr>
        <w:t> </w:t>
      </w:r>
      <w:r>
        <w:rPr/>
        <w:t>MD</w:t>
      </w:r>
      <w:r>
        <w:rPr>
          <w:spacing w:val="21"/>
        </w:rPr>
        <w:t> </w:t>
      </w:r>
      <w:r>
        <w:rPr/>
        <w:t>trajectory</w:t>
      </w:r>
      <w:r>
        <w:rPr>
          <w:spacing w:val="26"/>
        </w:rPr>
        <w:t> </w:t>
      </w:r>
      <w:r>
        <w:rPr/>
        <w:t>showing</w:t>
      </w:r>
      <w:r>
        <w:rPr>
          <w:spacing w:val="26"/>
        </w:rPr>
        <w:t> </w:t>
      </w:r>
      <w:r>
        <w:rPr/>
        <w:t>30</w:t>
      </w:r>
      <w:r>
        <w:rPr>
          <w:spacing w:val="26"/>
        </w:rPr>
        <w:t> </w:t>
      </w:r>
      <w:r>
        <w:rPr/>
        <w:t>nanoseconds</w:t>
      </w:r>
      <w:r>
        <w:rPr>
          <w:spacing w:val="24"/>
        </w:rPr>
        <w:t> </w:t>
      </w:r>
      <w:r>
        <w:rPr/>
        <w:t>(ns)</w:t>
      </w:r>
      <w:r>
        <w:rPr>
          <w:spacing w:val="28"/>
        </w:rPr>
        <w:t> </w:t>
      </w:r>
      <w:r>
        <w:rPr/>
        <w:t>molecular</w:t>
      </w:r>
      <w:r>
        <w:rPr>
          <w:spacing w:val="20"/>
        </w:rPr>
        <w:t> </w:t>
      </w:r>
      <w:r>
        <w:rPr/>
        <w:t>dynamic</w:t>
      </w:r>
      <w:r>
        <w:rPr>
          <w:spacing w:val="-57"/>
        </w:rPr>
        <w:t> </w:t>
      </w:r>
      <w:r>
        <w:rPr/>
        <w:t>simulation of</w:t>
      </w:r>
      <w:r>
        <w:rPr>
          <w:spacing w:val="-3"/>
        </w:rPr>
        <w:t> </w:t>
      </w:r>
      <w:r>
        <w:rPr/>
        <w:t>P4</w:t>
      </w:r>
      <w:r>
        <w:rPr>
          <w:spacing w:val="-1"/>
        </w:rPr>
        <w:t> </w:t>
      </w:r>
      <w:r>
        <w:rPr/>
        <w:t>bound</w:t>
      </w:r>
      <w:r>
        <w:rPr>
          <w:spacing w:val="-4"/>
        </w:rPr>
        <w:t> </w:t>
      </w:r>
      <w:r>
        <w:rPr/>
        <w:t>to Plm-IV.</w:t>
        <w:tab/>
      </w:r>
      <w:r>
        <w:rPr>
          <w:spacing w:val="-2"/>
        </w:rPr>
        <w:t>160</w:t>
      </w:r>
    </w:p>
    <w:p>
      <w:pPr>
        <w:spacing w:after="0" w:line="480" w:lineRule="auto"/>
        <w:sectPr>
          <w:headerReference w:type="default" r:id="rId26"/>
          <w:footerReference w:type="default" r:id="rId27"/>
          <w:pgSz w:w="11910" w:h="16840"/>
          <w:pgMar w:header="0" w:footer="2313" w:top="1200" w:bottom="2500" w:left="1560" w:right="600"/>
        </w:sectPr>
      </w:pPr>
    </w:p>
    <w:p>
      <w:pPr>
        <w:pStyle w:val="Heading1"/>
        <w:tabs>
          <w:tab w:pos="9047" w:val="right" w:leader="dot"/>
        </w:tabs>
        <w:spacing w:before="74"/>
      </w:pPr>
      <w:r>
        <w:rPr/>
        <w:t>Appendix</w:t>
      </w:r>
      <w:r>
        <w:rPr>
          <w:spacing w:val="-4"/>
        </w:rPr>
        <w:t> </w:t>
      </w:r>
      <w:r>
        <w:rPr/>
        <w:t>12: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</w:t>
        <w:tab/>
        <w:t>160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13: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</w:t>
        <w:tab/>
        <w:t>162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14: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</w:t>
        <w:tab/>
        <w:t>163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15:</w:t>
      </w:r>
      <w:r>
        <w:rPr>
          <w:spacing w:val="3"/>
        </w:rPr>
        <w:t> </w:t>
      </w:r>
      <w:r>
        <w:rPr/>
        <w:t>DEPT 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</w:t>
        <w:tab/>
        <w:t>164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16:</w:t>
      </w:r>
      <w:r>
        <w:rPr>
          <w:spacing w:val="3"/>
        </w:rPr>
        <w:t> </w:t>
      </w:r>
      <w:r>
        <w:rPr/>
        <w:t>COSY</w:t>
      </w:r>
      <w:r>
        <w:rPr>
          <w:spacing w:val="-4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</w:t>
        <w:tab/>
        <w:t>165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17:</w:t>
      </w:r>
      <w:r>
        <w:rPr>
          <w:spacing w:val="3"/>
        </w:rPr>
        <w:t> </w:t>
      </w:r>
      <w:r>
        <w:rPr/>
        <w:t>HMBC</w:t>
      </w:r>
      <w:r>
        <w:rPr>
          <w:spacing w:val="1"/>
        </w:rPr>
        <w:t> </w:t>
      </w:r>
      <w:r>
        <w:rPr/>
        <w:t>spectrum</w:t>
      </w:r>
      <w:r>
        <w:rPr>
          <w:spacing w:val="-2"/>
        </w:rPr>
        <w:t> </w:t>
      </w:r>
      <w:r>
        <w:rPr/>
        <w:t>of</w:t>
      </w:r>
      <w:r>
        <w:rPr>
          <w:spacing w:val="3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</w:t>
        <w:tab/>
        <w:t>166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18:</w:t>
      </w:r>
      <w:r>
        <w:rPr>
          <w:spacing w:val="3"/>
        </w:rPr>
        <w:t> </w:t>
      </w:r>
      <w:r>
        <w:rPr/>
        <w:t>HSQC</w:t>
      </w:r>
      <w:r>
        <w:rPr>
          <w:spacing w:val="-3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</w:t>
        <w:tab/>
        <w:t>167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19: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</w:t>
        <w:tab/>
        <w:t>168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20: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P13</w:t>
        <w:tab/>
        <w:t>169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21: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1"/>
          <w:vertAlign w:val="baseline"/>
        </w:rPr>
        <w:t> </w:t>
      </w:r>
      <w:r>
        <w:rPr>
          <w:vertAlign w:val="baseline"/>
        </w:rPr>
        <w:t>P13</w:t>
        <w:tab/>
        <w:t>170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22: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P13</w:t>
        <w:tab/>
        <w:t>171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23: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P13</w:t>
        <w:tab/>
        <w:t>172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24: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P3</w:t>
        <w:tab/>
        <w:t>173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25: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P3</w:t>
        <w:tab/>
        <w:t>174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26: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P3</w:t>
        <w:tab/>
        <w:t>175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27:</w:t>
      </w:r>
      <w:r>
        <w:rPr>
          <w:spacing w:val="3"/>
        </w:rPr>
        <w:t> </w:t>
      </w:r>
      <w:r>
        <w:rPr/>
        <w:t>DEPT 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P3</w:t>
        <w:tab/>
        <w:t>176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28:</w:t>
      </w:r>
      <w:r>
        <w:rPr>
          <w:spacing w:val="3"/>
        </w:rPr>
        <w:t> </w:t>
      </w:r>
      <w:r>
        <w:rPr/>
        <w:t>COSY</w:t>
      </w:r>
      <w:r>
        <w:rPr>
          <w:spacing w:val="-4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P3</w:t>
        <w:tab/>
        <w:t>177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29:</w:t>
      </w:r>
      <w:r>
        <w:rPr>
          <w:spacing w:val="3"/>
        </w:rPr>
        <w:t> </w:t>
      </w:r>
      <w:r>
        <w:rPr/>
        <w:t>HMBC</w:t>
      </w:r>
      <w:r>
        <w:rPr>
          <w:spacing w:val="1"/>
        </w:rPr>
        <w:t> </w:t>
      </w:r>
      <w:r>
        <w:rPr/>
        <w:t>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P3</w:t>
        <w:tab/>
        <w:t>178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30:</w:t>
      </w:r>
      <w:r>
        <w:rPr>
          <w:spacing w:val="3"/>
        </w:rPr>
        <w:t> </w:t>
      </w:r>
      <w:r>
        <w:rPr/>
        <w:t>HSQC</w:t>
      </w:r>
      <w:r>
        <w:rPr>
          <w:spacing w:val="-3"/>
        </w:rPr>
        <w:t> </w:t>
      </w:r>
      <w:r>
        <w:rPr/>
        <w:t>spectrum</w:t>
      </w:r>
      <w:r>
        <w:rPr>
          <w:spacing w:val="3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P3</w:t>
        <w:tab/>
        <w:t>179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31: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P4</w:t>
        <w:tab/>
        <w:t>180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32:</w:t>
      </w:r>
      <w:r>
        <w:rPr>
          <w:spacing w:val="4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P4</w:t>
        <w:tab/>
        <w:t>181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33: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P4</w:t>
        <w:tab/>
        <w:t>182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34:</w:t>
      </w:r>
      <w:r>
        <w:rPr>
          <w:spacing w:val="3"/>
        </w:rPr>
        <w:t> </w:t>
      </w:r>
      <w:r>
        <w:rPr/>
        <w:t>DEPT 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P4</w:t>
        <w:tab/>
        <w:t>183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35:</w:t>
      </w:r>
      <w:r>
        <w:rPr>
          <w:spacing w:val="3"/>
        </w:rPr>
        <w:t> </w:t>
      </w:r>
      <w:r>
        <w:rPr/>
        <w:t>COSY</w:t>
      </w:r>
      <w:r>
        <w:rPr>
          <w:spacing w:val="-4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P4</w:t>
        <w:tab/>
        <w:t>184</w:t>
      </w:r>
    </w:p>
    <w:p>
      <w:pPr>
        <w:spacing w:after="0"/>
        <w:sectPr>
          <w:headerReference w:type="default" r:id="rId28"/>
          <w:footerReference w:type="default" r:id="rId29"/>
          <w:pgSz w:w="11910" w:h="16840"/>
          <w:pgMar w:header="0" w:footer="2289" w:top="1200" w:bottom="2480" w:left="1560" w:right="600"/>
        </w:sectPr>
      </w:pPr>
    </w:p>
    <w:p>
      <w:pPr>
        <w:pStyle w:val="Heading1"/>
        <w:tabs>
          <w:tab w:pos="9047" w:val="right" w:leader="dot"/>
        </w:tabs>
        <w:spacing w:before="74"/>
      </w:pPr>
      <w:r>
        <w:rPr/>
        <w:t>Appendix</w:t>
      </w:r>
      <w:r>
        <w:rPr>
          <w:spacing w:val="-4"/>
        </w:rPr>
        <w:t> </w:t>
      </w:r>
      <w:r>
        <w:rPr/>
        <w:t>36:</w:t>
      </w:r>
      <w:r>
        <w:rPr>
          <w:spacing w:val="3"/>
        </w:rPr>
        <w:t> </w:t>
      </w:r>
      <w:r>
        <w:rPr/>
        <w:t>HMBC</w:t>
      </w:r>
      <w:r>
        <w:rPr>
          <w:spacing w:val="1"/>
        </w:rPr>
        <w:t> </w:t>
      </w:r>
      <w:r>
        <w:rPr/>
        <w:t>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P4</w:t>
        <w:tab/>
        <w:t>185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37:</w:t>
      </w:r>
      <w:r>
        <w:rPr>
          <w:spacing w:val="3"/>
        </w:rPr>
        <w:t> </w:t>
      </w:r>
      <w:r>
        <w:rPr/>
        <w:t>HSQC</w:t>
      </w:r>
      <w:r>
        <w:rPr>
          <w:spacing w:val="-3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P4</w:t>
        <w:tab/>
        <w:t>186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38: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P4</w:t>
        <w:tab/>
        <w:t>187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39: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P8</w:t>
        <w:tab/>
        <w:t>188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40: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P8</w:t>
        <w:tab/>
        <w:t>189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41: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P8</w:t>
        <w:tab/>
        <w:t>190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42:</w:t>
      </w:r>
      <w:r>
        <w:rPr>
          <w:spacing w:val="3"/>
        </w:rPr>
        <w:t> </w:t>
      </w:r>
      <w:r>
        <w:rPr/>
        <w:t>DEPT 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P8</w:t>
        <w:tab/>
        <w:t>191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43:</w:t>
      </w:r>
      <w:r>
        <w:rPr>
          <w:spacing w:val="3"/>
        </w:rPr>
        <w:t> </w:t>
      </w:r>
      <w:r>
        <w:rPr/>
        <w:t>COSY</w:t>
      </w:r>
      <w:r>
        <w:rPr>
          <w:spacing w:val="-4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P8</w:t>
        <w:tab/>
        <w:t>192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44:</w:t>
      </w:r>
      <w:r>
        <w:rPr>
          <w:spacing w:val="3"/>
        </w:rPr>
        <w:t> </w:t>
      </w:r>
      <w:r>
        <w:rPr/>
        <w:t>HMBC</w:t>
      </w:r>
      <w:r>
        <w:rPr>
          <w:spacing w:val="1"/>
        </w:rPr>
        <w:t> </w:t>
      </w:r>
      <w:r>
        <w:rPr/>
        <w:t>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P8</w:t>
        <w:tab/>
        <w:t>193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45:</w:t>
      </w:r>
      <w:r>
        <w:rPr>
          <w:spacing w:val="3"/>
        </w:rPr>
        <w:t> </w:t>
      </w:r>
      <w:r>
        <w:rPr/>
        <w:t>HSQC</w:t>
      </w:r>
      <w:r>
        <w:rPr>
          <w:spacing w:val="-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P8</w:t>
        <w:tab/>
        <w:t>194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46: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P11</w:t>
        <w:tab/>
        <w:t>195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47: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P11</w:t>
        <w:tab/>
        <w:t>196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48: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P11</w:t>
        <w:tab/>
        <w:t>197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49:</w:t>
      </w:r>
      <w:r>
        <w:rPr>
          <w:spacing w:val="3"/>
        </w:rPr>
        <w:t> </w:t>
      </w:r>
      <w:r>
        <w:rPr/>
        <w:t>DEPT 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P11</w:t>
        <w:tab/>
        <w:t>198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50:</w:t>
      </w:r>
      <w:r>
        <w:rPr>
          <w:spacing w:val="3"/>
        </w:rPr>
        <w:t> </w:t>
      </w:r>
      <w:r>
        <w:rPr/>
        <w:t>COSY</w:t>
      </w:r>
      <w:r>
        <w:rPr>
          <w:spacing w:val="-4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P11</w:t>
        <w:tab/>
        <w:t>199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51:</w:t>
      </w:r>
      <w:r>
        <w:rPr>
          <w:spacing w:val="3"/>
        </w:rPr>
        <w:t> </w:t>
      </w:r>
      <w:r>
        <w:rPr/>
        <w:t>HMBC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P11</w:t>
        <w:tab/>
        <w:t>200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52:</w:t>
      </w:r>
      <w:r>
        <w:rPr>
          <w:spacing w:val="3"/>
        </w:rPr>
        <w:t> </w:t>
      </w:r>
      <w:r>
        <w:rPr/>
        <w:t>HSQC</w:t>
      </w:r>
      <w:r>
        <w:rPr>
          <w:spacing w:val="-3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compound</w:t>
      </w:r>
      <w:r>
        <w:rPr>
          <w:spacing w:val="2"/>
        </w:rPr>
        <w:t> </w:t>
      </w:r>
      <w:r>
        <w:rPr/>
        <w:t>P11</w:t>
        <w:tab/>
        <w:t>201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53: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P12</w:t>
        <w:tab/>
        <w:t>202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54: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P12</w:t>
        <w:tab/>
        <w:t>203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55: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P12</w:t>
        <w:tab/>
        <w:t>204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56: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P12</w:t>
        <w:tab/>
        <w:t>205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57: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P17</w:t>
        <w:tab/>
        <w:t>206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58: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P17</w:t>
        <w:tab/>
        <w:t>207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59: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P17</w:t>
      </w:r>
      <w:r>
        <w:rPr>
          <w:spacing w:val="-4"/>
          <w:vertAlign w:val="baseline"/>
        </w:rPr>
        <w:t> </w:t>
      </w:r>
      <w:r>
        <w:rPr>
          <w:vertAlign w:val="baseline"/>
        </w:rPr>
        <w:t>(Expanded)</w:t>
        <w:tab/>
        <w:t>208</w:t>
      </w:r>
    </w:p>
    <w:p>
      <w:pPr>
        <w:spacing w:after="0"/>
        <w:sectPr>
          <w:headerReference w:type="default" r:id="rId30"/>
          <w:footerReference w:type="default" r:id="rId31"/>
          <w:pgSz w:w="11910" w:h="16840"/>
          <w:pgMar w:header="0" w:footer="2289" w:top="1200" w:bottom="2480" w:left="1560" w:right="600"/>
          <w:pgNumType w:start="19"/>
        </w:sectPr>
      </w:pPr>
    </w:p>
    <w:p>
      <w:pPr>
        <w:pStyle w:val="Heading1"/>
        <w:tabs>
          <w:tab w:pos="9047" w:val="right" w:leader="dot"/>
        </w:tabs>
        <w:spacing w:before="114"/>
      </w:pPr>
      <w:r>
        <w:rPr/>
        <w:t>Appendix</w:t>
      </w:r>
      <w:r>
        <w:rPr>
          <w:spacing w:val="-4"/>
        </w:rPr>
        <w:t> </w:t>
      </w:r>
      <w:r>
        <w:rPr/>
        <w:t>60: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P17</w:t>
      </w:r>
      <w:r>
        <w:rPr>
          <w:spacing w:val="-4"/>
          <w:vertAlign w:val="baseline"/>
        </w:rPr>
        <w:t> </w:t>
      </w:r>
      <w:r>
        <w:rPr>
          <w:vertAlign w:val="baseline"/>
        </w:rPr>
        <w:t>(Expanded)</w:t>
        <w:tab/>
        <w:t>209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61: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P17</w:t>
        <w:tab/>
        <w:t>210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62: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P17</w:t>
        <w:tab/>
        <w:t>211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63:</w:t>
      </w:r>
      <w:r>
        <w:rPr>
          <w:spacing w:val="3"/>
        </w:rPr>
        <w:t> </w:t>
      </w:r>
      <w:r>
        <w:rPr/>
        <w:t>Figure 2: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P15</w:t>
        <w:tab/>
        <w:t>212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64: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P15</w:t>
        <w:tab/>
        <w:t>213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65: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P15</w:t>
        <w:tab/>
        <w:t>214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66:</w:t>
      </w:r>
      <w:r>
        <w:rPr>
          <w:spacing w:val="3"/>
        </w:rPr>
        <w:t> </w:t>
      </w:r>
      <w:r>
        <w:rPr/>
        <w:t>Figure 2: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P16</w:t>
        <w:tab/>
        <w:t>215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67: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P16</w:t>
        <w:tab/>
        <w:t>216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68: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P16</w:t>
      </w:r>
      <w:r>
        <w:rPr>
          <w:spacing w:val="-1"/>
          <w:vertAlign w:val="baseline"/>
        </w:rPr>
        <w:t> </w:t>
      </w:r>
      <w:r>
        <w:rPr>
          <w:vertAlign w:val="baseline"/>
        </w:rPr>
        <w:t>(Expanded)</w:t>
        <w:tab/>
        <w:t>217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69: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P16</w:t>
        <w:tab/>
        <w:t>218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70: 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P16</w:t>
        <w:tab/>
        <w:t>219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71: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23</w:t>
        <w:tab/>
        <w:t>220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72: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23</w:t>
      </w:r>
      <w:r>
        <w:rPr>
          <w:spacing w:val="-3"/>
          <w:vertAlign w:val="baseline"/>
        </w:rPr>
        <w:t> </w:t>
      </w:r>
      <w:r>
        <w:rPr>
          <w:vertAlign w:val="baseline"/>
        </w:rPr>
        <w:t>(Expanded)</w:t>
        <w:tab/>
        <w:t>221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73: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23</w:t>
        <w:tab/>
        <w:t>222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74: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P23</w:t>
        <w:tab/>
        <w:t>223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75: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P19</w:t>
        <w:tab/>
        <w:t>226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76: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P19</w:t>
      </w:r>
      <w:r>
        <w:rPr>
          <w:spacing w:val="-4"/>
          <w:vertAlign w:val="baseline"/>
        </w:rPr>
        <w:t> </w:t>
      </w:r>
      <w:r>
        <w:rPr>
          <w:vertAlign w:val="baseline"/>
        </w:rPr>
        <w:t>(Expanded)</w:t>
        <w:tab/>
        <w:t>227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77: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P19</w:t>
        <w:tab/>
        <w:t>228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78: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P19</w:t>
        <w:tab/>
        <w:t>229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79: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24</w:t>
        <w:tab/>
        <w:t>230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80: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24</w:t>
        <w:tab/>
        <w:t>231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81: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P24</w:t>
        <w:tab/>
        <w:t>232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82: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25</w:t>
        <w:tab/>
        <w:t>233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83: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25</w:t>
        <w:tab/>
        <w:t>234</w:t>
      </w:r>
    </w:p>
    <w:p>
      <w:pPr>
        <w:spacing w:after="0"/>
        <w:sectPr>
          <w:headerReference w:type="default" r:id="rId32"/>
          <w:footerReference w:type="default" r:id="rId33"/>
          <w:pgSz w:w="11910" w:h="16840"/>
          <w:pgMar w:header="0" w:footer="2289" w:top="1160" w:bottom="2480" w:left="1560" w:right="600"/>
        </w:sectPr>
      </w:pPr>
    </w:p>
    <w:p>
      <w:pPr>
        <w:pStyle w:val="Heading1"/>
        <w:tabs>
          <w:tab w:pos="9047" w:val="right" w:leader="dot"/>
        </w:tabs>
        <w:spacing w:before="74"/>
      </w:pPr>
      <w:r>
        <w:rPr/>
        <w:t>Appendix</w:t>
      </w:r>
      <w:r>
        <w:rPr>
          <w:spacing w:val="-4"/>
        </w:rPr>
        <w:t> </w:t>
      </w:r>
      <w:r>
        <w:rPr/>
        <w:t>84:</w:t>
      </w:r>
      <w:r>
        <w:rPr>
          <w:spacing w:val="5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P21</w:t>
        <w:tab/>
        <w:t>235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85: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P21</w:t>
        <w:tab/>
        <w:t>236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86: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P21</w:t>
        <w:tab/>
        <w:t>237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87:</w:t>
      </w:r>
      <w:r>
        <w:rPr>
          <w:spacing w:val="-1"/>
        </w:rPr>
        <w:t> </w:t>
      </w:r>
      <w:r>
        <w:rPr/>
        <w:t>Mass 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P21</w:t>
        <w:tab/>
        <w:t>238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88:</w:t>
      </w:r>
      <w:r>
        <w:rPr>
          <w:spacing w:val="3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Spectrum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P22</w:t>
        <w:tab/>
        <w:t>239</w:t>
      </w:r>
    </w:p>
    <w:p>
      <w:pPr>
        <w:pStyle w:val="Heading1"/>
        <w:tabs>
          <w:tab w:pos="9047" w:val="right" w:leader="dot"/>
        </w:tabs>
        <w:spacing w:before="277"/>
      </w:pPr>
      <w:r>
        <w:rPr/>
        <w:t>Appendix</w:t>
      </w:r>
      <w:r>
        <w:rPr>
          <w:spacing w:val="-4"/>
        </w:rPr>
        <w:t> </w:t>
      </w:r>
      <w:r>
        <w:rPr/>
        <w:t>89:</w:t>
      </w:r>
      <w:r>
        <w:rPr>
          <w:spacing w:val="5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22</w:t>
        <w:tab/>
        <w:t>240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90:</w:t>
      </w:r>
      <w:r>
        <w:rPr>
          <w:spacing w:val="5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2"/>
          <w:vertAlign w:val="baseline"/>
        </w:rPr>
        <w:t> </w:t>
      </w:r>
      <w:r>
        <w:rPr>
          <w:vertAlign w:val="baseline"/>
        </w:rPr>
        <w:t>22</w:t>
        <w:tab/>
        <w:t>241</w:t>
      </w:r>
    </w:p>
    <w:p>
      <w:pPr>
        <w:pStyle w:val="Heading1"/>
        <w:tabs>
          <w:tab w:pos="9047" w:val="right" w:leader="dot"/>
        </w:tabs>
        <w:spacing w:before="276"/>
      </w:pPr>
      <w:r>
        <w:rPr/>
        <w:t>Appendix</w:t>
      </w:r>
      <w:r>
        <w:rPr>
          <w:spacing w:val="-4"/>
        </w:rPr>
        <w:t> </w:t>
      </w:r>
      <w:r>
        <w:rPr/>
        <w:t>91:</w:t>
      </w:r>
      <w:r>
        <w:rPr>
          <w:spacing w:val="66"/>
        </w:rPr>
        <w:t> </w:t>
      </w:r>
      <w:r>
        <w:rPr/>
        <w:t>TLC</w:t>
      </w:r>
      <w:r>
        <w:rPr>
          <w:spacing w:val="1"/>
        </w:rPr>
        <w:t> </w:t>
      </w:r>
      <w:r>
        <w:rPr/>
        <w:t>plates of</w:t>
      </w:r>
      <w:r>
        <w:rPr>
          <w:spacing w:val="-2"/>
        </w:rPr>
        <w:t> </w:t>
      </w:r>
      <w:r>
        <w:rPr/>
        <w:t>substituted</w:t>
      </w:r>
      <w:r>
        <w:rPr>
          <w:spacing w:val="-2"/>
        </w:rPr>
        <w:t> </w:t>
      </w:r>
      <w:r>
        <w:rPr/>
        <w:t>chalcones</w:t>
        <w:tab/>
        <w:t>242</w:t>
      </w:r>
    </w:p>
    <w:p>
      <w:pPr>
        <w:spacing w:after="0"/>
        <w:sectPr>
          <w:headerReference w:type="default" r:id="rId34"/>
          <w:footerReference w:type="default" r:id="rId35"/>
          <w:pgSz w:w="11910" w:h="16840"/>
          <w:pgMar w:header="0" w:footer="2318" w:top="1200" w:bottom="2500" w:left="1560" w:right="600"/>
        </w:sectPr>
      </w:pPr>
    </w:p>
    <w:p>
      <w:pPr>
        <w:pStyle w:val="Heading1"/>
        <w:spacing w:before="74"/>
        <w:ind w:left="305" w:right="693"/>
        <w:jc w:val="center"/>
      </w:pPr>
      <w:bookmarkStart w:name="_TOC_250089" w:id="4"/>
      <w:bookmarkEnd w:id="4"/>
      <w:r>
        <w:rPr/>
        <w:t>ABBREVIATION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8"/>
        <w:gridCol w:w="4846"/>
      </w:tblGrid>
      <w:tr>
        <w:trPr>
          <w:trHeight w:val="507" w:hRule="atLeast"/>
        </w:trPr>
        <w:tc>
          <w:tcPr>
            <w:tcW w:w="1288" w:type="dxa"/>
          </w:tcPr>
          <w:p>
            <w:pPr>
              <w:pStyle w:val="TableParagraph"/>
              <w:spacing w:line="266" w:lineRule="exact"/>
              <w:ind w:left="200"/>
              <w:rPr>
                <w:sz w:val="24"/>
              </w:rPr>
            </w:pPr>
            <w:r>
              <w:rPr>
                <w:sz w:val="24"/>
              </w:rPr>
              <w:t>MD</w:t>
            </w:r>
          </w:p>
        </w:tc>
        <w:tc>
          <w:tcPr>
            <w:tcW w:w="4846" w:type="dxa"/>
          </w:tcPr>
          <w:p>
            <w:pPr>
              <w:pStyle w:val="TableParagraph"/>
              <w:spacing w:line="266" w:lineRule="exact"/>
              <w:ind w:left="410"/>
              <w:rPr>
                <w:sz w:val="24"/>
              </w:rPr>
            </w:pPr>
            <w:r>
              <w:rPr>
                <w:sz w:val="24"/>
              </w:rPr>
              <w:t>Molecular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Dynamics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LBP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1"/>
              <w:ind w:left="410"/>
              <w:rPr>
                <w:sz w:val="24"/>
              </w:rPr>
            </w:pPr>
            <w:r>
              <w:rPr>
                <w:sz w:val="24"/>
              </w:rPr>
              <w:t>Ligand-Based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Pharmacophore</w:t>
            </w:r>
          </w:p>
        </w:tc>
      </w:tr>
      <w:tr>
        <w:trPr>
          <w:trHeight w:val="753" w:hRule="atLeast"/>
        </w:trPr>
        <w:tc>
          <w:tcPr>
            <w:tcW w:w="1288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QSAR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3"/>
              <w:ind w:left="410"/>
              <w:rPr>
                <w:sz w:val="24"/>
              </w:rPr>
            </w:pPr>
            <w:r>
              <w:rPr>
                <w:sz w:val="24"/>
              </w:rPr>
              <w:t>Quantitative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Structure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Relationship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4"/>
              <w:ind w:left="200"/>
              <w:rPr>
                <w:sz w:val="24"/>
              </w:rPr>
            </w:pPr>
            <w:r>
              <w:rPr>
                <w:sz w:val="24"/>
              </w:rPr>
              <w:t>SAR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4"/>
              <w:ind w:left="410"/>
              <w:rPr>
                <w:sz w:val="24"/>
              </w:rPr>
            </w:pPr>
            <w:r>
              <w:rPr>
                <w:sz w:val="24"/>
              </w:rPr>
              <w:t>Structure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Activity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Relationship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3D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1"/>
              <w:ind w:left="410"/>
              <w:rPr>
                <w:sz w:val="24"/>
              </w:rPr>
            </w:pPr>
            <w:r>
              <w:rPr>
                <w:sz w:val="24"/>
              </w:rPr>
              <w:t>3-Dimensional</w:t>
            </w:r>
          </w:p>
        </w:tc>
      </w:tr>
      <w:tr>
        <w:trPr>
          <w:trHeight w:val="753" w:hRule="atLeast"/>
        </w:trPr>
        <w:tc>
          <w:tcPr>
            <w:tcW w:w="1288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2D</w:t>
            </w:r>
          </w:p>
        </w:tc>
        <w:tc>
          <w:tcPr>
            <w:tcW w:w="4846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410"/>
              <w:rPr>
                <w:sz w:val="24"/>
              </w:rPr>
            </w:pPr>
            <w:r>
              <w:rPr>
                <w:sz w:val="24"/>
              </w:rPr>
              <w:t>2-Dimensional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CADD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3"/>
              <w:ind w:left="410"/>
              <w:rPr>
                <w:sz w:val="24"/>
              </w:rPr>
            </w:pPr>
            <w:r>
              <w:rPr>
                <w:sz w:val="24"/>
              </w:rPr>
              <w:t>Computer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Assisted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Drug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SBDD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1"/>
              <w:ind w:left="410"/>
              <w:rPr>
                <w:sz w:val="24"/>
              </w:rPr>
            </w:pPr>
            <w:r>
              <w:rPr>
                <w:sz w:val="24"/>
              </w:rPr>
              <w:t>Structure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Drug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</w:tr>
      <w:tr>
        <w:trPr>
          <w:trHeight w:val="753" w:hRule="atLeast"/>
        </w:trPr>
        <w:tc>
          <w:tcPr>
            <w:tcW w:w="1288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LBDD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3"/>
              <w:ind w:left="410"/>
              <w:rPr>
                <w:sz w:val="24"/>
              </w:rPr>
            </w:pPr>
            <w:r>
              <w:rPr>
                <w:sz w:val="24"/>
              </w:rPr>
              <w:t>Ligand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Drug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Design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TLC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3"/>
              <w:ind w:left="410"/>
              <w:rPr>
                <w:sz w:val="24"/>
              </w:rPr>
            </w:pPr>
            <w:r>
              <w:rPr>
                <w:sz w:val="24"/>
              </w:rPr>
              <w:t>Thin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Layer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Chromatography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FT-IR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1"/>
              <w:ind w:left="410"/>
              <w:rPr>
                <w:sz w:val="24"/>
              </w:rPr>
            </w:pPr>
            <w:r>
              <w:rPr>
                <w:sz w:val="24"/>
              </w:rPr>
              <w:t>Fourier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Transformed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Infrared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Spectroscopy</w:t>
            </w:r>
          </w:p>
        </w:tc>
      </w:tr>
      <w:tr>
        <w:trPr>
          <w:trHeight w:val="753" w:hRule="atLeast"/>
        </w:trPr>
        <w:tc>
          <w:tcPr>
            <w:tcW w:w="1288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MS</w:t>
            </w:r>
          </w:p>
        </w:tc>
        <w:tc>
          <w:tcPr>
            <w:tcW w:w="4846" w:type="dxa"/>
          </w:tcPr>
          <w:p>
            <w:pPr>
              <w:pStyle w:val="TableParagraph"/>
              <w:spacing w:before="233"/>
              <w:ind w:left="410"/>
              <w:rPr>
                <w:sz w:val="24"/>
              </w:rPr>
            </w:pPr>
            <w:r>
              <w:rPr>
                <w:sz w:val="24"/>
              </w:rPr>
              <w:t>Mass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Spectrometry</w:t>
            </w:r>
          </w:p>
        </w:tc>
      </w:tr>
      <w:tr>
        <w:trPr>
          <w:trHeight w:val="732" w:hRule="atLeast"/>
        </w:trPr>
        <w:tc>
          <w:tcPr>
            <w:tcW w:w="1288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NMR</w:t>
            </w:r>
          </w:p>
        </w:tc>
        <w:tc>
          <w:tcPr>
            <w:tcW w:w="4846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410"/>
              <w:rPr>
                <w:sz w:val="24"/>
              </w:rPr>
            </w:pPr>
            <w:r>
              <w:rPr>
                <w:sz w:val="24"/>
              </w:rPr>
              <w:t>Nuclear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Magnetic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Resonance</w:t>
            </w:r>
          </w:p>
        </w:tc>
      </w:tr>
      <w:tr>
        <w:trPr>
          <w:trHeight w:val="751" w:hRule="atLeast"/>
        </w:trPr>
        <w:tc>
          <w:tcPr>
            <w:tcW w:w="1288" w:type="dxa"/>
          </w:tcPr>
          <w:p>
            <w:pPr>
              <w:pStyle w:val="TableParagraph"/>
              <w:spacing w:before="214"/>
              <w:ind w:left="200"/>
              <w:rPr>
                <w:sz w:val="24"/>
              </w:rPr>
            </w:pPr>
            <w:r>
              <w:rPr>
                <w:sz w:val="16"/>
              </w:rPr>
              <w:t>1</w:t>
            </w:r>
            <w:r>
              <w:rPr>
                <w:position w:val="-10"/>
                <w:sz w:val="24"/>
              </w:rPr>
              <w:t>H</w:t>
            </w:r>
          </w:p>
        </w:tc>
        <w:tc>
          <w:tcPr>
            <w:tcW w:w="484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410"/>
              <w:rPr>
                <w:sz w:val="24"/>
              </w:rPr>
            </w:pPr>
            <w:r>
              <w:rPr>
                <w:sz w:val="24"/>
              </w:rPr>
              <w:t>Proton</w:t>
            </w:r>
          </w:p>
        </w:tc>
      </w:tr>
      <w:tr>
        <w:trPr>
          <w:trHeight w:val="772" w:hRule="atLeast"/>
        </w:trPr>
        <w:tc>
          <w:tcPr>
            <w:tcW w:w="1288" w:type="dxa"/>
          </w:tcPr>
          <w:p>
            <w:pPr>
              <w:pStyle w:val="TableParagraph"/>
              <w:spacing w:before="217"/>
              <w:ind w:left="200"/>
              <w:rPr>
                <w:sz w:val="24"/>
              </w:rPr>
            </w:pPr>
            <w:r>
              <w:rPr>
                <w:sz w:val="16"/>
              </w:rPr>
              <w:t>13</w:t>
            </w:r>
            <w:r>
              <w:rPr>
                <w:position w:val="-10"/>
                <w:sz w:val="24"/>
              </w:rPr>
              <w:t>C</w:t>
            </w:r>
          </w:p>
        </w:tc>
        <w:tc>
          <w:tcPr>
            <w:tcW w:w="484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410"/>
              <w:rPr>
                <w:sz w:val="24"/>
              </w:rPr>
            </w:pPr>
            <w:r>
              <w:rPr>
                <w:sz w:val="24"/>
              </w:rPr>
              <w:t>Carbon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13</w:t>
            </w:r>
          </w:p>
        </w:tc>
      </w:tr>
      <w:tr>
        <w:trPr>
          <w:trHeight w:val="509" w:hRule="atLeast"/>
        </w:trPr>
        <w:tc>
          <w:tcPr>
            <w:tcW w:w="1288" w:type="dxa"/>
          </w:tcPr>
          <w:p>
            <w:pPr>
              <w:pStyle w:val="TableParagraph"/>
              <w:spacing w:line="256" w:lineRule="exact" w:before="233"/>
              <w:ind w:left="200"/>
              <w:rPr>
                <w:sz w:val="24"/>
              </w:rPr>
            </w:pPr>
            <w:r>
              <w:rPr>
                <w:sz w:val="24"/>
              </w:rPr>
              <w:t>PDB</w:t>
            </w:r>
          </w:p>
        </w:tc>
        <w:tc>
          <w:tcPr>
            <w:tcW w:w="4846" w:type="dxa"/>
          </w:tcPr>
          <w:p>
            <w:pPr>
              <w:pStyle w:val="TableParagraph"/>
              <w:spacing w:line="256" w:lineRule="exact" w:before="233"/>
              <w:ind w:left="410"/>
              <w:rPr>
                <w:sz w:val="24"/>
              </w:rPr>
            </w:pPr>
            <w:r>
              <w:rPr>
                <w:sz w:val="24"/>
              </w:rPr>
              <w:t>Protein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Data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Bank</w:t>
            </w:r>
          </w:p>
        </w:tc>
      </w:tr>
    </w:tbl>
    <w:p>
      <w:pPr>
        <w:spacing w:after="0" w:line="256" w:lineRule="exact"/>
        <w:rPr>
          <w:sz w:val="24"/>
        </w:rPr>
        <w:sectPr>
          <w:headerReference w:type="default" r:id="rId36"/>
          <w:footerReference w:type="default" r:id="rId37"/>
          <w:pgSz w:w="11910" w:h="16840"/>
          <w:pgMar w:header="0" w:footer="2233" w:top="1200" w:bottom="2420" w:left="1560" w:right="600"/>
        </w:sect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0"/>
        <w:gridCol w:w="5139"/>
      </w:tblGrid>
      <w:tr>
        <w:trPr>
          <w:trHeight w:val="509" w:hRule="atLeast"/>
        </w:trPr>
        <w:tc>
          <w:tcPr>
            <w:tcW w:w="1300" w:type="dxa"/>
          </w:tcPr>
          <w:p>
            <w:pPr>
              <w:pStyle w:val="TableParagraph"/>
              <w:spacing w:line="266" w:lineRule="exact"/>
              <w:ind w:left="200"/>
              <w:rPr>
                <w:sz w:val="24"/>
              </w:rPr>
            </w:pPr>
            <w:r>
              <w:rPr>
                <w:sz w:val="24"/>
              </w:rPr>
              <w:t>ADT</w:t>
            </w:r>
          </w:p>
        </w:tc>
        <w:tc>
          <w:tcPr>
            <w:tcW w:w="5139" w:type="dxa"/>
          </w:tcPr>
          <w:p>
            <w:pPr>
              <w:pStyle w:val="TableParagraph"/>
              <w:spacing w:line="266" w:lineRule="exact"/>
              <w:ind w:left="398"/>
              <w:rPr>
                <w:sz w:val="24"/>
              </w:rPr>
            </w:pPr>
            <w:r>
              <w:rPr>
                <w:sz w:val="24"/>
              </w:rPr>
              <w:t>AutoDock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Tool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GPU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3"/>
              <w:ind w:left="398"/>
              <w:rPr>
                <w:sz w:val="24"/>
              </w:rPr>
            </w:pPr>
            <w:r>
              <w:rPr>
                <w:sz w:val="24"/>
              </w:rPr>
              <w:t>Graphical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Processing Unit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MD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1"/>
              <w:ind w:left="398"/>
              <w:rPr>
                <w:sz w:val="24"/>
              </w:rPr>
            </w:pPr>
            <w:r>
              <w:rPr>
                <w:sz w:val="24"/>
              </w:rPr>
              <w:t>Molecular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Dynamic</w:t>
            </w:r>
          </w:p>
        </w:tc>
      </w:tr>
      <w:tr>
        <w:trPr>
          <w:trHeight w:val="753" w:hRule="atLeast"/>
        </w:trPr>
        <w:tc>
          <w:tcPr>
            <w:tcW w:w="1300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PME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3"/>
              <w:ind w:left="398"/>
              <w:rPr>
                <w:sz w:val="24"/>
              </w:rPr>
            </w:pPr>
            <w:r>
              <w:rPr>
                <w:sz w:val="24"/>
              </w:rPr>
              <w:t>Particle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Mesh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Ewald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4"/>
              <w:ind w:left="200"/>
              <w:rPr>
                <w:sz w:val="24"/>
              </w:rPr>
            </w:pPr>
            <w:r>
              <w:rPr>
                <w:sz w:val="24"/>
              </w:rPr>
              <w:t>RESP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4"/>
              <w:ind w:left="398"/>
              <w:rPr>
                <w:sz w:val="24"/>
              </w:rPr>
            </w:pPr>
            <w:r>
              <w:rPr>
                <w:sz w:val="24"/>
              </w:rPr>
              <w:t>Restrained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Electrostatic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Potential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GAFF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1"/>
              <w:ind w:left="398"/>
              <w:rPr>
                <w:sz w:val="24"/>
              </w:rPr>
            </w:pPr>
            <w:r>
              <w:rPr>
                <w:sz w:val="24"/>
              </w:rPr>
              <w:t>General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Force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Field</w:t>
            </w:r>
          </w:p>
        </w:tc>
      </w:tr>
      <w:tr>
        <w:trPr>
          <w:trHeight w:val="753" w:hRule="atLeast"/>
        </w:trPr>
        <w:tc>
          <w:tcPr>
            <w:tcW w:w="130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NPT</w:t>
            </w:r>
          </w:p>
        </w:tc>
        <w:tc>
          <w:tcPr>
            <w:tcW w:w="5139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398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particles, Pressure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Temperature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NVT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3"/>
              <w:ind w:left="398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particles,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Volume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Temperature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Ps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1"/>
              <w:ind w:left="398"/>
              <w:rPr>
                <w:sz w:val="24"/>
              </w:rPr>
            </w:pPr>
            <w:r>
              <w:rPr>
                <w:sz w:val="24"/>
              </w:rPr>
              <w:t>Pico second</w:t>
            </w:r>
          </w:p>
        </w:tc>
      </w:tr>
      <w:tr>
        <w:trPr>
          <w:trHeight w:val="753" w:hRule="atLeast"/>
        </w:trPr>
        <w:tc>
          <w:tcPr>
            <w:tcW w:w="1300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Fs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3"/>
              <w:ind w:left="398"/>
              <w:rPr>
                <w:sz w:val="24"/>
              </w:rPr>
            </w:pPr>
            <w:r>
              <w:rPr>
                <w:sz w:val="24"/>
              </w:rPr>
              <w:t>Femto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second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ns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3"/>
              <w:ind w:left="398"/>
              <w:rPr>
                <w:sz w:val="24"/>
              </w:rPr>
            </w:pPr>
            <w:r>
              <w:rPr>
                <w:sz w:val="24"/>
              </w:rPr>
              <w:t>Nano second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ΔS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1"/>
              <w:ind w:left="398"/>
              <w:rPr>
                <w:sz w:val="24"/>
              </w:rPr>
            </w:pPr>
            <w:r>
              <w:rPr>
                <w:sz w:val="24"/>
              </w:rPr>
              <w:t>change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entropy</w:t>
            </w:r>
          </w:p>
        </w:tc>
      </w:tr>
      <w:tr>
        <w:trPr>
          <w:trHeight w:val="753" w:hRule="atLeast"/>
        </w:trPr>
        <w:tc>
          <w:tcPr>
            <w:tcW w:w="1300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RMSD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3"/>
              <w:ind w:left="398"/>
              <w:rPr>
                <w:sz w:val="24"/>
              </w:rPr>
            </w:pPr>
            <w:r>
              <w:rPr>
                <w:sz w:val="24"/>
              </w:rPr>
              <w:t>Root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Square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Deviation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RMSF</w:t>
            </w:r>
          </w:p>
        </w:tc>
        <w:tc>
          <w:tcPr>
            <w:tcW w:w="5139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398"/>
              <w:rPr>
                <w:sz w:val="24"/>
              </w:rPr>
            </w:pPr>
            <w:r>
              <w:rPr>
                <w:sz w:val="24"/>
              </w:rPr>
              <w:t>Root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Mean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Square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Fluctuation</w:t>
            </w:r>
          </w:p>
        </w:tc>
      </w:tr>
      <w:tr>
        <w:trPr>
          <w:trHeight w:val="751" w:hRule="atLeast"/>
        </w:trPr>
        <w:tc>
          <w:tcPr>
            <w:tcW w:w="1300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Rg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1"/>
              <w:ind w:left="398"/>
              <w:rPr>
                <w:sz w:val="24"/>
              </w:rPr>
            </w:pPr>
            <w:r>
              <w:rPr>
                <w:sz w:val="24"/>
              </w:rPr>
              <w:t>Radius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Gyration</w:t>
            </w:r>
          </w:p>
        </w:tc>
      </w:tr>
      <w:tr>
        <w:trPr>
          <w:trHeight w:val="753" w:hRule="atLeast"/>
        </w:trPr>
        <w:tc>
          <w:tcPr>
            <w:tcW w:w="1300" w:type="dxa"/>
          </w:tcPr>
          <w:p>
            <w:pPr>
              <w:pStyle w:val="TableParagraph"/>
              <w:spacing w:before="234"/>
              <w:ind w:left="200"/>
              <w:rPr>
                <w:sz w:val="24"/>
              </w:rPr>
            </w:pPr>
            <w:r>
              <w:rPr>
                <w:sz w:val="24"/>
              </w:rPr>
              <w:t>COSY</w:t>
            </w:r>
          </w:p>
        </w:tc>
        <w:tc>
          <w:tcPr>
            <w:tcW w:w="5139" w:type="dxa"/>
          </w:tcPr>
          <w:p>
            <w:pPr>
              <w:pStyle w:val="TableParagraph"/>
              <w:spacing w:before="234"/>
              <w:ind w:left="398"/>
              <w:rPr>
                <w:sz w:val="24"/>
              </w:rPr>
            </w:pPr>
            <w:r>
              <w:rPr>
                <w:sz w:val="24"/>
              </w:rPr>
              <w:t>Correlated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SpectroscopY</w:t>
            </w:r>
          </w:p>
        </w:tc>
      </w:tr>
      <w:tr>
        <w:trPr>
          <w:trHeight w:val="509" w:hRule="atLeast"/>
        </w:trPr>
        <w:tc>
          <w:tcPr>
            <w:tcW w:w="1300" w:type="dxa"/>
          </w:tcPr>
          <w:p>
            <w:pPr>
              <w:pStyle w:val="TableParagraph"/>
              <w:spacing w:line="256" w:lineRule="exact" w:before="233"/>
              <w:ind w:left="200"/>
              <w:rPr>
                <w:sz w:val="24"/>
              </w:rPr>
            </w:pPr>
            <w:r>
              <w:rPr>
                <w:sz w:val="24"/>
              </w:rPr>
              <w:t>HMBC</w:t>
            </w:r>
          </w:p>
        </w:tc>
        <w:tc>
          <w:tcPr>
            <w:tcW w:w="5139" w:type="dxa"/>
          </w:tcPr>
          <w:p>
            <w:pPr>
              <w:pStyle w:val="TableParagraph"/>
              <w:spacing w:line="256" w:lineRule="exact" w:before="233"/>
              <w:ind w:left="398"/>
              <w:rPr>
                <w:sz w:val="24"/>
              </w:rPr>
            </w:pPr>
            <w:r>
              <w:rPr>
                <w:sz w:val="24"/>
              </w:rPr>
              <w:t>Heteronuclear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Multiple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Bond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Correlation</w:t>
            </w:r>
          </w:p>
        </w:tc>
      </w:tr>
    </w:tbl>
    <w:p>
      <w:pPr>
        <w:spacing w:after="0" w:line="256" w:lineRule="exact"/>
        <w:rPr>
          <w:sz w:val="24"/>
        </w:rPr>
        <w:sectPr>
          <w:headerReference w:type="default" r:id="rId38"/>
          <w:footerReference w:type="default" r:id="rId39"/>
          <w:pgSz w:w="11910" w:h="16840"/>
          <w:pgMar w:header="0" w:footer="2233" w:top="1280" w:bottom="2420" w:left="1560" w:right="600"/>
        </w:sect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6"/>
        <w:gridCol w:w="5487"/>
      </w:tblGrid>
      <w:tr>
        <w:trPr>
          <w:trHeight w:val="509" w:hRule="atLeast"/>
        </w:trPr>
        <w:tc>
          <w:tcPr>
            <w:tcW w:w="1496" w:type="dxa"/>
          </w:tcPr>
          <w:p>
            <w:pPr>
              <w:pStyle w:val="TableParagraph"/>
              <w:spacing w:line="266" w:lineRule="exact"/>
              <w:ind w:left="200"/>
              <w:rPr>
                <w:sz w:val="24"/>
              </w:rPr>
            </w:pPr>
            <w:r>
              <w:rPr>
                <w:sz w:val="24"/>
              </w:rPr>
              <w:t>HSQC</w:t>
            </w:r>
          </w:p>
        </w:tc>
        <w:tc>
          <w:tcPr>
            <w:tcW w:w="5487" w:type="dxa"/>
          </w:tcPr>
          <w:p>
            <w:pPr>
              <w:pStyle w:val="TableParagraph"/>
              <w:spacing w:line="266" w:lineRule="exact"/>
              <w:ind w:left="202"/>
              <w:rPr>
                <w:sz w:val="24"/>
              </w:rPr>
            </w:pPr>
            <w:r>
              <w:rPr>
                <w:sz w:val="24"/>
              </w:rPr>
              <w:t>Heteronuclear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Single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Quantum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Correlation</w:t>
            </w:r>
          </w:p>
        </w:tc>
      </w:tr>
      <w:tr>
        <w:trPr>
          <w:trHeight w:val="751" w:hRule="atLeast"/>
        </w:trPr>
        <w:tc>
          <w:tcPr>
            <w:tcW w:w="1496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DEPT</w:t>
            </w:r>
          </w:p>
        </w:tc>
        <w:tc>
          <w:tcPr>
            <w:tcW w:w="5487" w:type="dxa"/>
          </w:tcPr>
          <w:p>
            <w:pPr>
              <w:pStyle w:val="TableParagraph"/>
              <w:spacing w:before="233"/>
              <w:ind w:left="202"/>
              <w:rPr>
                <w:sz w:val="24"/>
              </w:rPr>
            </w:pPr>
            <w:r>
              <w:rPr>
                <w:sz w:val="24"/>
              </w:rPr>
              <w:t>Distortionless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Enhancement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by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Polarization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Transfer</w:t>
            </w:r>
          </w:p>
        </w:tc>
      </w:tr>
      <w:tr>
        <w:trPr>
          <w:trHeight w:val="751" w:hRule="atLeast"/>
        </w:trPr>
        <w:tc>
          <w:tcPr>
            <w:tcW w:w="1496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QM</w:t>
            </w:r>
          </w:p>
        </w:tc>
        <w:tc>
          <w:tcPr>
            <w:tcW w:w="5487" w:type="dxa"/>
          </w:tcPr>
          <w:p>
            <w:pPr>
              <w:pStyle w:val="TableParagraph"/>
              <w:spacing w:before="231"/>
              <w:ind w:left="202"/>
              <w:rPr>
                <w:sz w:val="24"/>
              </w:rPr>
            </w:pPr>
            <w:r>
              <w:rPr>
                <w:sz w:val="24"/>
              </w:rPr>
              <w:t>Quantum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Mechanics</w:t>
            </w:r>
          </w:p>
        </w:tc>
      </w:tr>
      <w:tr>
        <w:trPr>
          <w:trHeight w:val="753" w:hRule="atLeast"/>
        </w:trPr>
        <w:tc>
          <w:tcPr>
            <w:tcW w:w="1496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MM</w:t>
            </w:r>
          </w:p>
        </w:tc>
        <w:tc>
          <w:tcPr>
            <w:tcW w:w="5487" w:type="dxa"/>
          </w:tcPr>
          <w:p>
            <w:pPr>
              <w:pStyle w:val="TableParagraph"/>
              <w:spacing w:before="233"/>
              <w:ind w:left="202"/>
              <w:rPr>
                <w:sz w:val="24"/>
              </w:rPr>
            </w:pPr>
            <w:r>
              <w:rPr>
                <w:sz w:val="24"/>
              </w:rPr>
              <w:t>Molecular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Mechanics</w:t>
            </w:r>
          </w:p>
        </w:tc>
      </w:tr>
      <w:tr>
        <w:trPr>
          <w:trHeight w:val="751" w:hRule="atLeast"/>
        </w:trPr>
        <w:tc>
          <w:tcPr>
            <w:tcW w:w="1496" w:type="dxa"/>
          </w:tcPr>
          <w:p>
            <w:pPr>
              <w:pStyle w:val="TableParagraph"/>
              <w:spacing w:before="234"/>
              <w:ind w:left="200"/>
              <w:rPr>
                <w:sz w:val="24"/>
              </w:rPr>
            </w:pPr>
            <w:r>
              <w:rPr>
                <w:sz w:val="24"/>
              </w:rPr>
              <w:t>VS</w:t>
            </w:r>
          </w:p>
        </w:tc>
        <w:tc>
          <w:tcPr>
            <w:tcW w:w="5487" w:type="dxa"/>
          </w:tcPr>
          <w:p>
            <w:pPr>
              <w:pStyle w:val="TableParagraph"/>
              <w:spacing w:before="234"/>
              <w:ind w:left="202"/>
              <w:rPr>
                <w:sz w:val="24"/>
              </w:rPr>
            </w:pPr>
            <w:r>
              <w:rPr>
                <w:sz w:val="24"/>
              </w:rPr>
              <w:t>Virtual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Screening</w:t>
            </w:r>
          </w:p>
        </w:tc>
      </w:tr>
      <w:tr>
        <w:trPr>
          <w:trHeight w:val="751" w:hRule="atLeast"/>
        </w:trPr>
        <w:tc>
          <w:tcPr>
            <w:tcW w:w="1496" w:type="dxa"/>
          </w:tcPr>
          <w:p>
            <w:pPr>
              <w:pStyle w:val="TableParagraph"/>
              <w:spacing w:before="231"/>
              <w:ind w:left="200"/>
              <w:rPr>
                <w:sz w:val="24"/>
              </w:rPr>
            </w:pPr>
            <w:r>
              <w:rPr>
                <w:sz w:val="24"/>
              </w:rPr>
              <w:t>PDB</w:t>
            </w:r>
          </w:p>
        </w:tc>
        <w:tc>
          <w:tcPr>
            <w:tcW w:w="5487" w:type="dxa"/>
          </w:tcPr>
          <w:p>
            <w:pPr>
              <w:pStyle w:val="TableParagraph"/>
              <w:spacing w:before="231"/>
              <w:ind w:left="202"/>
              <w:rPr>
                <w:sz w:val="24"/>
              </w:rPr>
            </w:pPr>
            <w:r>
              <w:rPr>
                <w:sz w:val="24"/>
              </w:rPr>
              <w:t>Protein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Data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Bank</w:t>
            </w:r>
          </w:p>
        </w:tc>
      </w:tr>
      <w:tr>
        <w:trPr>
          <w:trHeight w:val="753" w:hRule="atLeast"/>
        </w:trPr>
        <w:tc>
          <w:tcPr>
            <w:tcW w:w="1496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00"/>
              <w:rPr>
                <w:sz w:val="24"/>
              </w:rPr>
            </w:pPr>
            <w:r>
              <w:rPr>
                <w:sz w:val="24"/>
              </w:rPr>
              <w:t>SBVS</w:t>
            </w:r>
          </w:p>
        </w:tc>
        <w:tc>
          <w:tcPr>
            <w:tcW w:w="5487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02"/>
              <w:rPr>
                <w:sz w:val="24"/>
              </w:rPr>
            </w:pPr>
            <w:r>
              <w:rPr>
                <w:sz w:val="24"/>
              </w:rPr>
              <w:t>Structure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Virtual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Screening</w:t>
            </w:r>
          </w:p>
        </w:tc>
      </w:tr>
      <w:tr>
        <w:trPr>
          <w:trHeight w:val="751" w:hRule="atLeast"/>
        </w:trPr>
        <w:tc>
          <w:tcPr>
            <w:tcW w:w="1496" w:type="dxa"/>
          </w:tcPr>
          <w:p>
            <w:pPr>
              <w:pStyle w:val="TableParagraph"/>
              <w:spacing w:before="233"/>
              <w:ind w:left="200"/>
              <w:rPr>
                <w:sz w:val="24"/>
              </w:rPr>
            </w:pPr>
            <w:r>
              <w:rPr>
                <w:sz w:val="24"/>
              </w:rPr>
              <w:t>SBP</w:t>
            </w:r>
          </w:p>
        </w:tc>
        <w:tc>
          <w:tcPr>
            <w:tcW w:w="5487" w:type="dxa"/>
          </w:tcPr>
          <w:p>
            <w:pPr>
              <w:pStyle w:val="TableParagraph"/>
              <w:spacing w:before="233"/>
              <w:ind w:left="202"/>
              <w:rPr>
                <w:sz w:val="24"/>
              </w:rPr>
            </w:pPr>
            <w:r>
              <w:rPr>
                <w:sz w:val="24"/>
              </w:rPr>
              <w:t>Structure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Based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Pharmacophore</w:t>
            </w:r>
          </w:p>
        </w:tc>
      </w:tr>
      <w:tr>
        <w:trPr>
          <w:trHeight w:val="507" w:hRule="atLeast"/>
        </w:trPr>
        <w:tc>
          <w:tcPr>
            <w:tcW w:w="1496" w:type="dxa"/>
          </w:tcPr>
          <w:p>
            <w:pPr>
              <w:pStyle w:val="TableParagraph"/>
              <w:spacing w:line="256" w:lineRule="exact" w:before="231"/>
              <w:ind w:left="200"/>
              <w:rPr>
                <w:sz w:val="24"/>
              </w:rPr>
            </w:pPr>
            <w:r>
              <w:rPr>
                <w:sz w:val="24"/>
              </w:rPr>
              <w:t>TETFUND</w:t>
            </w:r>
          </w:p>
        </w:tc>
        <w:tc>
          <w:tcPr>
            <w:tcW w:w="5487" w:type="dxa"/>
          </w:tcPr>
          <w:p>
            <w:pPr>
              <w:pStyle w:val="TableParagraph"/>
              <w:spacing w:line="256" w:lineRule="exact" w:before="231"/>
              <w:ind w:left="202"/>
              <w:rPr>
                <w:sz w:val="24"/>
              </w:rPr>
            </w:pPr>
            <w:r>
              <w:rPr>
                <w:sz w:val="24"/>
              </w:rPr>
              <w:t>Tertiary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Education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Trust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Fund</w:t>
            </w:r>
          </w:p>
        </w:tc>
      </w:tr>
    </w:tbl>
    <w:p>
      <w:pPr>
        <w:spacing w:after="0" w:line="256" w:lineRule="exact"/>
        <w:rPr>
          <w:sz w:val="24"/>
        </w:rPr>
        <w:sectPr>
          <w:headerReference w:type="default" r:id="rId40"/>
          <w:footerReference w:type="default" r:id="rId41"/>
          <w:pgSz w:w="11910" w:h="16840"/>
          <w:pgMar w:header="0" w:footer="2233" w:top="1280" w:bottom="2420" w:left="1560" w:right="600"/>
        </w:sectPr>
      </w:pPr>
    </w:p>
    <w:p>
      <w:pPr>
        <w:pStyle w:val="BodyText"/>
        <w:spacing w:before="10"/>
        <w:rPr>
          <w:b/>
          <w:sz w:val="9"/>
        </w:rPr>
      </w:pPr>
    </w:p>
    <w:p>
      <w:pPr>
        <w:pStyle w:val="Heading1"/>
        <w:spacing w:before="90"/>
        <w:ind w:left="305" w:right="685"/>
        <w:jc w:val="center"/>
      </w:pPr>
      <w:bookmarkStart w:name="_TOC_250088" w:id="5"/>
      <w:bookmarkEnd w:id="5"/>
      <w:r>
        <w:rPr/>
        <w:t>ABSTRACT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4"/>
        <w:ind w:left="312" w:right="686"/>
        <w:jc w:val="both"/>
      </w:pPr>
      <w:r>
        <w:rPr/>
        <w:t>Inspired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previous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/>
        <w:t>proteases,</w:t>
      </w:r>
      <w:r>
        <w:rPr>
          <w:spacing w:val="1"/>
        </w:rPr>
        <w:t> </w:t>
      </w:r>
      <w:r>
        <w:rPr/>
        <w:t>seventeen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derivatives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Claisen-Schmidt</w:t>
      </w:r>
      <w:r>
        <w:rPr>
          <w:spacing w:val="1"/>
        </w:rPr>
        <w:t> </w:t>
      </w:r>
      <w:r>
        <w:rPr/>
        <w:t>condensation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aldehydes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methyl</w:t>
      </w:r>
      <w:r>
        <w:rPr>
          <w:spacing w:val="1"/>
        </w:rPr>
        <w:t> </w:t>
      </w:r>
      <w:r>
        <w:rPr/>
        <w:t>ketones.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spectroscopic</w:t>
      </w:r>
      <w:r>
        <w:rPr>
          <w:spacing w:val="1"/>
        </w:rPr>
        <w:t> </w:t>
      </w:r>
      <w:r>
        <w:rPr/>
        <w:t>techniques.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SciFinder</w:t>
      </w:r>
      <w:r>
        <w:rPr>
          <w:spacing w:val="1"/>
        </w:rPr>
        <w:t> </w:t>
      </w:r>
      <w:r>
        <w:rPr/>
        <w:t>search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compounds; P1, P2, P3, and P8 are new compounds not listed on any chemical data base.</w:t>
      </w:r>
      <w:r>
        <w:rPr>
          <w:spacing w:val="1"/>
        </w:rPr>
        <w:t> </w:t>
      </w:r>
      <w:r>
        <w:rPr/>
        <w:t>The synthesized chalcones were screened in mice against established </w:t>
      </w:r>
      <w:r>
        <w:rPr>
          <w:i/>
        </w:rPr>
        <w:t>P. berghii </w:t>
      </w:r>
      <w:r>
        <w:rPr/>
        <w:t>infection.</w:t>
      </w:r>
      <w:r>
        <w:rPr>
          <w:spacing w:val="1"/>
        </w:rPr>
        <w:t> </w:t>
      </w:r>
      <w:r>
        <w:rPr/>
        <w:t>Eleven compounds were active and P2 the most active compound exhibited significant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90.32%</w:t>
      </w:r>
      <w:r>
        <w:rPr>
          <w:spacing w:val="1"/>
        </w:rPr>
        <w:t> </w:t>
      </w:r>
      <w:r>
        <w:rPr/>
        <w:t>(</w:t>
      </w:r>
      <w:r>
        <w:rPr>
          <w:i/>
        </w:rPr>
        <w:t>p</w:t>
      </w:r>
      <w:r>
        <w:rPr/>
        <w:t>˂0.05)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100mg/kg.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observation was the demonstration of good antimalarial activity with the 3-quinolinyl A</w:t>
      </w:r>
      <w:r>
        <w:rPr>
          <w:spacing w:val="1"/>
        </w:rPr>
        <w:t> </w:t>
      </w:r>
      <w:r>
        <w:rPr/>
        <w:t>ring derivatives- P3, P4 and P8. The potential of the synthesized compounds to inhibit the</w:t>
      </w:r>
      <w:r>
        <w:rPr>
          <w:spacing w:val="1"/>
        </w:rPr>
        <w:t> </w:t>
      </w:r>
      <w:r>
        <w:rPr/>
        <w:t>synthesis of β-hematin was also evaluated but, only compounds P12 and P17 showed</w:t>
      </w:r>
      <w:r>
        <w:rPr>
          <w:spacing w:val="1"/>
        </w:rPr>
        <w:t> </w:t>
      </w:r>
      <w:r>
        <w:rPr/>
        <w:t>modest inhibition of β-hematin synthesis with percent inhibition of 59.28% and 49.04%</w:t>
      </w:r>
      <w:r>
        <w:rPr>
          <w:spacing w:val="1"/>
        </w:rPr>
        <w:t> </w:t>
      </w:r>
      <w:r>
        <w:rPr/>
        <w:t>respectively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50µg/kg.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prospects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dual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>
          <w:i/>
          <w:spacing w:val="1"/>
        </w:rPr>
        <w:t> </w:t>
      </w:r>
      <w:r>
        <w:rPr/>
        <w:t>vital</w:t>
      </w:r>
      <w:r>
        <w:rPr>
          <w:spacing w:val="1"/>
        </w:rPr>
        <w:t> </w:t>
      </w:r>
      <w:r>
        <w:rPr/>
        <w:t>proteases;</w:t>
      </w:r>
      <w:r>
        <w:rPr>
          <w:spacing w:val="1"/>
        </w:rPr>
        <w:t> </w:t>
      </w:r>
      <w:r>
        <w:rPr/>
        <w:t>aspartic</w:t>
      </w:r>
      <w:r>
        <w:rPr>
          <w:spacing w:val="1"/>
        </w:rPr>
        <w:t> </w:t>
      </w:r>
      <w:r>
        <w:rPr/>
        <w:t>proteases</w:t>
      </w:r>
      <w:r>
        <w:rPr>
          <w:spacing w:val="1"/>
        </w:rPr>
        <w:t> </w:t>
      </w:r>
      <w:r>
        <w:rPr/>
        <w:t>(plasmepsin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IV)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proteases (falcipain-2 and 3) of the seventeen chalcone derivatives was also investigated</w:t>
      </w:r>
      <w:r>
        <w:rPr>
          <w:spacing w:val="1"/>
        </w:rPr>
        <w:t> </w:t>
      </w:r>
      <w:r>
        <w:rPr/>
        <w:t>using </w:t>
      </w:r>
      <w:r>
        <w:rPr>
          <w:i/>
        </w:rPr>
        <w:t>insilico </w:t>
      </w:r>
      <w:r>
        <w:rPr/>
        <w:t>studies. Structure-based virtual screening using validated molecular docking</w:t>
      </w:r>
      <w:r>
        <w:rPr>
          <w:spacing w:val="1"/>
        </w:rPr>
        <w:t> </w:t>
      </w:r>
      <w:r>
        <w:rPr/>
        <w:t>revealed two potential hits (P3 and P4) with the best binding affinity and broad inhibition</w:t>
      </w:r>
      <w:r>
        <w:rPr>
          <w:spacing w:val="1"/>
        </w:rPr>
        <w:t> </w:t>
      </w:r>
      <w:r>
        <w:rPr/>
        <w:t>across all the proteases used. The crucial driving forces for receptor interaction and key</w:t>
      </w:r>
      <w:r>
        <w:rPr>
          <w:spacing w:val="1"/>
        </w:rPr>
        <w:t> </w:t>
      </w:r>
      <w:r>
        <w:rPr/>
        <w:t>interacting residues of the enzymes by the potential hits were established using molecular</w:t>
      </w:r>
      <w:r>
        <w:rPr>
          <w:spacing w:val="1"/>
        </w:rPr>
        <w:t> </w:t>
      </w:r>
      <w:r>
        <w:rPr/>
        <w:t>dynamics</w:t>
      </w:r>
      <w:r>
        <w:rPr>
          <w:spacing w:val="5"/>
        </w:rPr>
        <w:t> </w:t>
      </w:r>
      <w:r>
        <w:rPr/>
        <w:t>and</w:t>
      </w:r>
      <w:r>
        <w:rPr>
          <w:spacing w:val="12"/>
        </w:rPr>
        <w:t> </w:t>
      </w:r>
      <w:r>
        <w:rPr/>
        <w:t>binding</w:t>
      </w:r>
      <w:r>
        <w:rPr>
          <w:spacing w:val="12"/>
        </w:rPr>
        <w:t> </w:t>
      </w:r>
      <w:r>
        <w:rPr/>
        <w:t>free</w:t>
      </w:r>
      <w:r>
        <w:rPr>
          <w:spacing w:val="6"/>
        </w:rPr>
        <w:t> </w:t>
      </w:r>
      <w:r>
        <w:rPr/>
        <w:t>energy</w:t>
      </w:r>
      <w:r>
        <w:rPr>
          <w:spacing w:val="2"/>
        </w:rPr>
        <w:t> </w:t>
      </w:r>
      <w:r>
        <w:rPr/>
        <w:t>calculations.</w:t>
      </w:r>
      <w:r>
        <w:rPr>
          <w:spacing w:val="14"/>
        </w:rPr>
        <w:t> </w:t>
      </w:r>
      <w:r>
        <w:rPr/>
        <w:t>Simulation</w:t>
      </w:r>
      <w:r>
        <w:rPr>
          <w:spacing w:val="11"/>
        </w:rPr>
        <w:t> </w:t>
      </w:r>
      <w:r>
        <w:rPr/>
        <w:t>experiments</w:t>
      </w:r>
      <w:r>
        <w:rPr>
          <w:spacing w:val="6"/>
        </w:rPr>
        <w:t> </w:t>
      </w:r>
      <w:r>
        <w:rPr/>
        <w:t>revealed</w:t>
      </w:r>
      <w:r>
        <w:rPr>
          <w:spacing w:val="7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headerReference w:type="default" r:id="rId42"/>
          <w:footerReference w:type="default" r:id="rId43"/>
          <w:pgSz w:w="11910" w:h="16840"/>
          <w:pgMar w:header="0" w:footer="2313" w:top="1580" w:bottom="250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stability of the docked ligands within all the enzymes. The ligands were found to interact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residues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sub-site</w:t>
      </w:r>
      <w:r>
        <w:rPr>
          <w:spacing w:val="1"/>
        </w:rPr>
        <w:t> </w:t>
      </w:r>
      <w:r>
        <w:rPr/>
        <w:t>regulating</w:t>
      </w:r>
      <w:r>
        <w:rPr>
          <w:spacing w:val="1"/>
        </w:rPr>
        <w:t> </w:t>
      </w:r>
      <w:r>
        <w:rPr/>
        <w:t>specificity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falcipains</w:t>
      </w:r>
      <w:r>
        <w:rPr>
          <w:spacing w:val="1"/>
        </w:rPr>
        <w:t> </w:t>
      </w:r>
      <w:r>
        <w:rPr/>
        <w:t>system.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plasmepsin</w:t>
      </w:r>
      <w:r>
        <w:rPr>
          <w:spacing w:val="1"/>
        </w:rPr>
        <w:t> </w:t>
      </w:r>
      <w:r>
        <w:rPr/>
        <w:t>systems,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ligands</w:t>
      </w:r>
      <w:r>
        <w:rPr>
          <w:spacing w:val="1"/>
        </w:rPr>
        <w:t> </w:t>
      </w:r>
      <w:r>
        <w:rPr/>
        <w:t>interact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flap,</w:t>
      </w:r>
      <w:r>
        <w:rPr>
          <w:spacing w:val="1"/>
        </w:rPr>
        <w:t> </w:t>
      </w:r>
      <w:r>
        <w:rPr/>
        <w:t>covering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site.</w:t>
      </w:r>
      <w:r>
        <w:rPr>
          <w:spacing w:val="1"/>
        </w:rPr>
        <w:t> </w:t>
      </w:r>
      <w:r>
        <w:rPr/>
        <w:t>From the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energetic</w:t>
      </w:r>
      <w:r>
        <w:rPr>
          <w:spacing w:val="1"/>
        </w:rPr>
        <w:t> </w:t>
      </w:r>
      <w:r>
        <w:rPr/>
        <w:t>contributions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residues, it is evident that the binding process was principally favored by van der Waals</w:t>
      </w:r>
      <w:r>
        <w:rPr>
          <w:spacing w:val="1"/>
        </w:rPr>
        <w:t> </w:t>
      </w:r>
      <w:r>
        <w:rPr/>
        <w:t>and little affected by electrostatic energies while the polar solvation energy impaired it.</w:t>
      </w:r>
      <w:r>
        <w:rPr>
          <w:spacing w:val="1"/>
        </w:rPr>
        <w:t> </w:t>
      </w:r>
      <w:r>
        <w:rPr/>
        <w:t>With regard to the binding interactions, it appeared that the most contributing features of</w:t>
      </w:r>
      <w:r>
        <w:rPr>
          <w:spacing w:val="1"/>
        </w:rPr>
        <w:t> </w:t>
      </w:r>
      <w:r>
        <w:rPr/>
        <w:t>the ligands for receptor interactions are the quinoline ring, carbonyl group and 2- methoxy</w:t>
      </w:r>
      <w:r>
        <w:rPr>
          <w:spacing w:val="1"/>
        </w:rPr>
        <w:t> </w:t>
      </w:r>
      <w:r>
        <w:rPr/>
        <w:t>group. Therefore, the result from this work have identified quinolinyl chalcones with 2-</w:t>
      </w:r>
      <w:r>
        <w:rPr>
          <w:spacing w:val="1"/>
        </w:rPr>
        <w:t> </w:t>
      </w:r>
      <w:r>
        <w:rPr/>
        <w:t>methoxy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candidates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optimization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antimalarial</w:t>
      </w:r>
      <w:r>
        <w:rPr>
          <w:spacing w:val="-8"/>
        </w:rPr>
        <w:t> </w:t>
      </w:r>
      <w:r>
        <w:rPr/>
        <w:t>against</w:t>
      </w:r>
      <w:r>
        <w:rPr>
          <w:spacing w:val="10"/>
        </w:rPr>
        <w:t> </w:t>
      </w:r>
      <w:r>
        <w:rPr>
          <w:i/>
        </w:rPr>
        <w:t>Plasmodium</w:t>
      </w:r>
      <w:r>
        <w:rPr>
          <w:i/>
          <w:spacing w:val="2"/>
        </w:rPr>
        <w:t> </w:t>
      </w:r>
      <w:r>
        <w:rPr/>
        <w:t>proteases.</w:t>
      </w:r>
    </w:p>
    <w:p>
      <w:pPr>
        <w:spacing w:after="0" w:line="480" w:lineRule="auto"/>
        <w:jc w:val="both"/>
        <w:sectPr>
          <w:headerReference w:type="default" r:id="rId44"/>
          <w:footerReference w:type="default" r:id="rId45"/>
          <w:pgSz w:w="11910" w:h="16840"/>
          <w:pgMar w:header="0" w:footer="2313" w:top="1200" w:bottom="2500" w:left="1560" w:right="600"/>
        </w:sectPr>
      </w:pPr>
    </w:p>
    <w:p>
      <w:pPr>
        <w:pStyle w:val="Heading1"/>
        <w:spacing w:before="74"/>
        <w:ind w:left="305" w:right="685"/>
        <w:jc w:val="center"/>
      </w:pPr>
      <w:bookmarkStart w:name="_TOC_250087" w:id="6"/>
      <w:r>
        <w:rPr/>
        <w:t>CHAPTER</w:t>
      </w:r>
      <w:r>
        <w:rPr>
          <w:spacing w:val="-3"/>
        </w:rPr>
        <w:t> </w:t>
      </w:r>
      <w:bookmarkEnd w:id="6"/>
      <w:r>
        <w:rPr/>
        <w:t>ONE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7"/>
        </w:numPr>
        <w:tabs>
          <w:tab w:pos="3905" w:val="left" w:leader="none"/>
        </w:tabs>
        <w:spacing w:line="240" w:lineRule="auto" w:before="179" w:after="0"/>
        <w:ind w:left="3904" w:right="0" w:hanging="361"/>
        <w:jc w:val="left"/>
      </w:pPr>
      <w:bookmarkStart w:name="_TOC_250086" w:id="7"/>
      <w:bookmarkEnd w:id="7"/>
      <w:r>
        <w:rPr/>
        <w:t>INTRODUCTION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0"/>
        <w:ind w:left="312" w:right="688"/>
        <w:jc w:val="both"/>
      </w:pPr>
      <w:r>
        <w:rPr/>
        <w:t>Malaria is a devastating infectious disease caused by a parasitic protozoan, Apicomplexan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genus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(P.)</w:t>
      </w:r>
      <w:r>
        <w:rPr/>
        <w:t>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/>
        <w:t>responsible for causing malaria in human; </w:t>
      </w:r>
      <w:r>
        <w:rPr>
          <w:i/>
        </w:rPr>
        <w:t>P.vivax,P.malariae</w:t>
      </w:r>
      <w:r>
        <w:rPr/>
        <w:t>, </w:t>
      </w:r>
      <w:r>
        <w:rPr>
          <w:i/>
        </w:rPr>
        <w:t>P.ovale </w:t>
      </w:r>
      <w:r>
        <w:rPr/>
        <w:t>and </w:t>
      </w:r>
      <w:r>
        <w:rPr>
          <w:i/>
        </w:rPr>
        <w:t>P.falciparum</w:t>
      </w:r>
      <w:r>
        <w:rPr/>
        <w:t>,</w:t>
      </w:r>
      <w:r>
        <w:rPr>
          <w:spacing w:val="1"/>
        </w:rPr>
        <w:t> </w:t>
      </w:r>
      <w:r>
        <w:rPr/>
        <w:t>with </w:t>
      </w:r>
      <w:r>
        <w:rPr>
          <w:i/>
        </w:rPr>
        <w:t>P.falciparum </w:t>
      </w:r>
      <w:r>
        <w:rPr/>
        <w:t>being the mostvirulent and predominant in Africa (Kumar </w:t>
      </w:r>
      <w:r>
        <w:rPr>
          <w:i/>
        </w:rPr>
        <w:t>et al., </w:t>
      </w:r>
      <w:r>
        <w:rPr/>
        <w:t>2009).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disease</w:t>
      </w:r>
      <w:r>
        <w:rPr>
          <w:spacing w:val="5"/>
        </w:rPr>
        <w:t> </w:t>
      </w:r>
      <w:r>
        <w:rPr/>
        <w:t>is</w:t>
      </w:r>
      <w:r>
        <w:rPr>
          <w:spacing w:val="-1"/>
        </w:rPr>
        <w:t> </w:t>
      </w:r>
      <w:r>
        <w:rPr/>
        <w:t>transmitted</w:t>
      </w:r>
      <w:r>
        <w:rPr>
          <w:spacing w:val="-4"/>
        </w:rPr>
        <w:t> </w:t>
      </w:r>
      <w:r>
        <w:rPr/>
        <w:t>through</w:t>
      </w:r>
      <w:r>
        <w:rPr>
          <w:spacing w:val="-9"/>
        </w:rPr>
        <w:t> </w:t>
      </w:r>
      <w:r>
        <w:rPr/>
        <w:t>the bites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infected</w:t>
      </w:r>
      <w:r>
        <w:rPr>
          <w:spacing w:val="1"/>
        </w:rPr>
        <w:t> </w:t>
      </w:r>
      <w:r>
        <w:rPr/>
        <w:t>female Anopheles</w:t>
      </w:r>
      <w:r>
        <w:rPr>
          <w:spacing w:val="3"/>
        </w:rPr>
        <w:t> </w:t>
      </w:r>
      <w:r>
        <w:rPr/>
        <w:t>mosquito.</w:t>
      </w:r>
    </w:p>
    <w:p>
      <w:pPr>
        <w:pStyle w:val="BodyText"/>
        <w:spacing w:line="480" w:lineRule="auto" w:before="203"/>
        <w:ind w:left="312" w:right="691"/>
        <w:jc w:val="both"/>
      </w:pPr>
      <w:r>
        <w:rPr/>
        <w:t>At the start of 2016, nearly half of the world ‗s population was at risk of malaria. It was</w:t>
      </w:r>
      <w:r>
        <w:rPr>
          <w:spacing w:val="1"/>
        </w:rPr>
        <w:t> </w:t>
      </w:r>
      <w:r>
        <w:rPr/>
        <w:t>considered to be endemic in 91 countries and territories in 2016 (WHO, 2016). In 2015</w:t>
      </w:r>
      <w:r>
        <w:rPr>
          <w:spacing w:val="1"/>
        </w:rPr>
        <w:t> </w:t>
      </w:r>
      <w:r>
        <w:rPr/>
        <w:t>alone, there were an estimated 212 million new cases of malaria and 429, 000 deaths</w:t>
      </w:r>
      <w:r>
        <w:rPr>
          <w:spacing w:val="1"/>
        </w:rPr>
        <w:t> </w:t>
      </w:r>
      <w:r>
        <w:rPr/>
        <w:t>(WHO, 2016). Although the incidence rate of malaria is estimated to have decreased by</w:t>
      </w:r>
      <w:r>
        <w:rPr>
          <w:spacing w:val="1"/>
        </w:rPr>
        <w:t> </w:t>
      </w:r>
      <w:r>
        <w:rPr/>
        <w:t>21% globally between 2010 and 2015, the decrease is more pronounced in the World</w:t>
      </w:r>
      <w:r>
        <w:rPr>
          <w:spacing w:val="1"/>
        </w:rPr>
        <w:t> </w:t>
      </w:r>
      <w:r>
        <w:rPr/>
        <w:t>Health Organization (WHO) European Region (100%) and WHO South-East Asia Region</w:t>
      </w:r>
      <w:r>
        <w:rPr>
          <w:spacing w:val="1"/>
        </w:rPr>
        <w:t> </w:t>
      </w:r>
      <w:r>
        <w:rPr/>
        <w:t>(54%). But progress in the WHO African Region, which is the region that carries the</w:t>
      </w:r>
      <w:r>
        <w:rPr>
          <w:spacing w:val="1"/>
        </w:rPr>
        <w:t> </w:t>
      </w:r>
      <w:r>
        <w:rPr/>
        <w:t>heaviest</w:t>
      </w:r>
      <w:r>
        <w:rPr>
          <w:spacing w:val="6"/>
        </w:rPr>
        <w:t> </w:t>
      </w:r>
      <w:r>
        <w:rPr/>
        <w:t>malaria</w:t>
      </w:r>
      <w:r>
        <w:rPr>
          <w:spacing w:val="7"/>
        </w:rPr>
        <w:t> </w:t>
      </w:r>
      <w:r>
        <w:rPr/>
        <w:t>burden</w:t>
      </w:r>
      <w:r>
        <w:rPr>
          <w:spacing w:val="2"/>
        </w:rPr>
        <w:t> </w:t>
      </w:r>
      <w:r>
        <w:rPr/>
        <w:t>has been</w:t>
      </w:r>
      <w:r>
        <w:rPr>
          <w:spacing w:val="-3"/>
        </w:rPr>
        <w:t> </w:t>
      </w:r>
      <w:r>
        <w:rPr/>
        <w:t>slow(WHO,</w:t>
      </w:r>
      <w:r>
        <w:rPr>
          <w:spacing w:val="3"/>
        </w:rPr>
        <w:t> </w:t>
      </w:r>
      <w:r>
        <w:rPr/>
        <w:t>2016).</w:t>
      </w:r>
    </w:p>
    <w:p>
      <w:pPr>
        <w:pStyle w:val="BodyText"/>
        <w:spacing w:line="480" w:lineRule="auto" w:before="202"/>
        <w:ind w:left="312" w:right="690" w:firstLine="62"/>
        <w:jc w:val="both"/>
      </w:pPr>
      <w:r>
        <w:rPr/>
        <w:t>WHO African Region continues to shoulder the heaviest</w:t>
      </w:r>
      <w:r>
        <w:rPr>
          <w:spacing w:val="60"/>
        </w:rPr>
        <w:t> </w:t>
      </w:r>
      <w:r>
        <w:rPr/>
        <w:t>malaria burden, accounting for</w:t>
      </w:r>
      <w:r>
        <w:rPr>
          <w:spacing w:val="1"/>
        </w:rPr>
        <w:t> </w:t>
      </w:r>
      <w:r>
        <w:rPr/>
        <w:t>an estimated 90% of malaria cases and 92% of malaria deaths in 2015. Three quarters of</w:t>
      </w:r>
      <w:r>
        <w:rPr>
          <w:spacing w:val="1"/>
        </w:rPr>
        <w:t> </w:t>
      </w:r>
      <w:r>
        <w:rPr/>
        <w:t>thesecases and deaths are estimated to have occurred in fewer than 15 countries, with</w:t>
      </w:r>
      <w:r>
        <w:rPr>
          <w:spacing w:val="1"/>
        </w:rPr>
        <w:t> </w:t>
      </w:r>
      <w:r>
        <w:rPr/>
        <w:t>Nigeria and Democratic Republic of the Congo accounting for more than a third (WHO,</w:t>
      </w:r>
      <w:r>
        <w:rPr>
          <w:spacing w:val="1"/>
        </w:rPr>
        <w:t> </w:t>
      </w:r>
      <w:r>
        <w:rPr/>
        <w:t>2016). The vulnerable groups are children under the age of five years and pregnant women</w:t>
      </w:r>
      <w:r>
        <w:rPr>
          <w:spacing w:val="-57"/>
        </w:rPr>
        <w:t> </w:t>
      </w:r>
      <w:r>
        <w:rPr/>
        <w:t>(Miller </w:t>
      </w:r>
      <w:r>
        <w:rPr>
          <w:i/>
        </w:rPr>
        <w:t>et al., </w:t>
      </w:r>
      <w:r>
        <w:rPr/>
        <w:t>2013; WHO, 2016). Every 40 seconds a child dies of malaria, resulting in a</w:t>
      </w:r>
      <w:r>
        <w:rPr>
          <w:spacing w:val="1"/>
        </w:rPr>
        <w:t> </w:t>
      </w:r>
      <w:r>
        <w:rPr/>
        <w:t>daily loss of more than 2,000 young lives worldwide (Miller </w:t>
      </w:r>
      <w:r>
        <w:rPr>
          <w:i/>
        </w:rPr>
        <w:t>et al., </w:t>
      </w:r>
      <w:r>
        <w:rPr/>
        <w:t>2013). These estimates</w:t>
      </w:r>
      <w:r>
        <w:rPr>
          <w:spacing w:val="1"/>
        </w:rPr>
        <w:t> </w:t>
      </w:r>
      <w:r>
        <w:rPr/>
        <w:t>render malaria the pre-eminent tropical parasitic disease and one of the top three killers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communicable</w:t>
      </w:r>
      <w:r>
        <w:rPr>
          <w:spacing w:val="1"/>
        </w:rPr>
        <w:t> </w:t>
      </w:r>
      <w:r>
        <w:rPr/>
        <w:t>diseases(Miller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2013).</w:t>
      </w:r>
    </w:p>
    <w:p>
      <w:pPr>
        <w:spacing w:after="0" w:line="480" w:lineRule="auto"/>
        <w:jc w:val="both"/>
        <w:sectPr>
          <w:headerReference w:type="default" r:id="rId46"/>
          <w:footerReference w:type="default" r:id="rId47"/>
          <w:pgSz w:w="11910" w:h="16840"/>
          <w:pgMar w:header="0" w:footer="798" w:top="1200" w:bottom="980" w:left="1560" w:right="600"/>
          <w:pgNumType w:start="1"/>
        </w:sectPr>
      </w:pPr>
    </w:p>
    <w:p>
      <w:pPr>
        <w:pStyle w:val="BodyText"/>
        <w:spacing w:line="480" w:lineRule="auto" w:before="70"/>
        <w:ind w:left="312" w:right="697"/>
        <w:jc w:val="both"/>
      </w:pPr>
      <w:r>
        <w:rPr/>
        <w:t>Malaria is associated with significant socio-economic burden, as a general rule of thumb,</w:t>
      </w:r>
      <w:r>
        <w:rPr>
          <w:spacing w:val="1"/>
        </w:rPr>
        <w:t> </w:t>
      </w:r>
      <w:r>
        <w:rPr/>
        <w:t>where malaria prospers most; human societies have prospered least(Gallup and Sachs,</w:t>
      </w:r>
      <w:r>
        <w:rPr>
          <w:spacing w:val="1"/>
        </w:rPr>
        <w:t> </w:t>
      </w:r>
      <w:r>
        <w:rPr/>
        <w:t>2001). Analysis estimating the long-term impacts of malaria on economic growth 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suggests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burden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disease.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mechanisms through which malaria can impose economic costs include; medical/treatment</w:t>
      </w:r>
      <w:r>
        <w:rPr>
          <w:spacing w:val="-57"/>
        </w:rPr>
        <w:t> </w:t>
      </w:r>
      <w:r>
        <w:rPr/>
        <w:t>cost and forgone incomes due to absenteeism at work place, social cost through migration,</w:t>
      </w:r>
      <w:r>
        <w:rPr>
          <w:spacing w:val="-57"/>
        </w:rPr>
        <w:t> </w:t>
      </w:r>
      <w:r>
        <w:rPr/>
        <w:t>absenteeism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loss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revenue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trade,</w:t>
      </w:r>
      <w:r>
        <w:rPr>
          <w:spacing w:val="1"/>
        </w:rPr>
        <w:t> </w:t>
      </w:r>
      <w:r>
        <w:rPr/>
        <w:t>tourism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foreign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investment</w:t>
      </w:r>
      <w:r>
        <w:rPr>
          <w:spacing w:val="6"/>
        </w:rPr>
        <w:t> </w:t>
      </w:r>
      <w:r>
        <w:rPr/>
        <w:t>(Gallup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Sachs,</w:t>
      </w:r>
      <w:r>
        <w:rPr>
          <w:spacing w:val="3"/>
        </w:rPr>
        <w:t> </w:t>
      </w:r>
      <w:r>
        <w:rPr/>
        <w:t>2001).</w:t>
      </w:r>
    </w:p>
    <w:p>
      <w:pPr>
        <w:pStyle w:val="BodyText"/>
        <w:spacing w:line="480" w:lineRule="auto" w:before="203"/>
        <w:ind w:left="312" w:right="687"/>
        <w:jc w:val="both"/>
      </w:pPr>
      <w:r>
        <w:rPr/>
        <w:t>The global effort to defeat malaria has expanded greatly in the last few years. In this</w:t>
      </w:r>
      <w:r>
        <w:rPr>
          <w:spacing w:val="1"/>
        </w:rPr>
        <w:t> </w:t>
      </w:r>
      <w:r>
        <w:rPr/>
        <w:t>process, a number of novel strategies to obstruct malarial growth have emerged. Among</w:t>
      </w:r>
      <w:r>
        <w:rPr>
          <w:spacing w:val="1"/>
        </w:rPr>
        <w:t> </w:t>
      </w:r>
      <w:r>
        <w:rPr/>
        <w:t>the most appealing strategies is an attempt to produce along-lasting vaccine which would</w:t>
      </w:r>
      <w:r>
        <w:rPr>
          <w:spacing w:val="1"/>
        </w:rPr>
        <w:t> </w:t>
      </w:r>
      <w:r>
        <w:rPr/>
        <w:t>help eradicate the disease (Valero </w:t>
      </w:r>
      <w:r>
        <w:rPr>
          <w:i/>
        </w:rPr>
        <w:t>et al.,</w:t>
      </w:r>
      <w:r>
        <w:rPr/>
        <w:t>1993). The vaccine developed by Alonso </w:t>
      </w:r>
      <w:r>
        <w:rPr>
          <w:i/>
        </w:rPr>
        <w:t>et al</w:t>
      </w:r>
      <w:r>
        <w:rPr/>
        <w:t>.</w:t>
      </w:r>
      <w:r>
        <w:rPr>
          <w:spacing w:val="1"/>
        </w:rPr>
        <w:t> </w:t>
      </w:r>
      <w:r>
        <w:rPr/>
        <w:t>(2004) appears promising, but has so far only given limited protection (Lell </w:t>
      </w:r>
      <w:r>
        <w:rPr>
          <w:i/>
        </w:rPr>
        <w:t>et al., </w:t>
      </w:r>
      <w:r>
        <w:rPr/>
        <w:t>2005).</w:t>
      </w:r>
      <w:r>
        <w:rPr>
          <w:spacing w:val="1"/>
        </w:rPr>
        <w:t> </w:t>
      </w:r>
      <w:r>
        <w:rPr/>
        <w:t>Therefore,</w:t>
      </w:r>
      <w:r>
        <w:rPr>
          <w:spacing w:val="4"/>
        </w:rPr>
        <w:t> </w:t>
      </w:r>
      <w:r>
        <w:rPr/>
        <w:t>chemotherapy</w:t>
      </w:r>
      <w:r>
        <w:rPr>
          <w:spacing w:val="-10"/>
        </w:rPr>
        <w:t> </w:t>
      </w:r>
      <w:r>
        <w:rPr/>
        <w:t>remains</w:t>
      </w:r>
      <w:r>
        <w:rPr>
          <w:spacing w:val="-2"/>
        </w:rPr>
        <w:t> </w:t>
      </w:r>
      <w:r>
        <w:rPr/>
        <w:t>the only</w:t>
      </w:r>
      <w:r>
        <w:rPr>
          <w:spacing w:val="-5"/>
        </w:rPr>
        <w:t> </w:t>
      </w:r>
      <w:r>
        <w:rPr/>
        <w:t>solution for</w:t>
      </w:r>
      <w:r>
        <w:rPr>
          <w:spacing w:val="1"/>
        </w:rPr>
        <w:t> </w:t>
      </w:r>
      <w:r>
        <w:rPr/>
        <w:t>malaria prevention</w:t>
      </w:r>
      <w:r>
        <w:rPr>
          <w:spacing w:val="5"/>
        </w:rPr>
        <w:t> </w:t>
      </w:r>
      <w:r>
        <w:rPr/>
        <w:t>and cure.</w:t>
      </w:r>
    </w:p>
    <w:p>
      <w:pPr>
        <w:pStyle w:val="BodyText"/>
        <w:spacing w:line="480" w:lineRule="auto" w:before="198"/>
        <w:ind w:left="312" w:right="688"/>
        <w:jc w:val="both"/>
      </w:pPr>
      <w:r>
        <w:rPr/>
        <w:t>For</w:t>
      </w:r>
      <w:r>
        <w:rPr>
          <w:spacing w:val="1"/>
        </w:rPr>
        <w:t> </w:t>
      </w:r>
      <w:r>
        <w:rPr/>
        <w:t>decades chloroquine; a 4-aminoquinoline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 the gold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chemotherapy due to its high efficacy,</w:t>
      </w:r>
      <w:r>
        <w:rPr>
          <w:spacing w:val="60"/>
        </w:rPr>
        <w:t> </w:t>
      </w:r>
      <w:r>
        <w:rPr/>
        <w:t>low cost and minimal host toxicity. Indiscreet use</w:t>
      </w:r>
      <w:r>
        <w:rPr>
          <w:spacing w:val="1"/>
        </w:rPr>
        <w:t> </w:t>
      </w:r>
      <w:r>
        <w:rPr/>
        <w:t>of chloroquine has led to massive development of resistance by the parasite making it</w:t>
      </w:r>
      <w:r>
        <w:rPr>
          <w:spacing w:val="1"/>
        </w:rPr>
        <w:t> </w:t>
      </w:r>
      <w:r>
        <w:rPr/>
        <w:t>ineffective (Kumar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Consequently,</w:t>
      </w:r>
      <w:r>
        <w:rPr>
          <w:spacing w:val="1"/>
        </w:rPr>
        <w:t> </w:t>
      </w:r>
      <w:r>
        <w:rPr/>
        <w:t>artemisinin and</w:t>
      </w:r>
      <w:r>
        <w:rPr>
          <w:spacing w:val="1"/>
        </w:rPr>
        <w:t> </w:t>
      </w:r>
      <w:r>
        <w:rPr/>
        <w:t>its derivatives which</w:t>
      </w:r>
      <w:r>
        <w:rPr>
          <w:spacing w:val="1"/>
        </w:rPr>
        <w:t> </w:t>
      </w:r>
      <w:r>
        <w:rPr/>
        <w:t>include arteether, artemether and artesunate were introduced for the treatment of drug-</w:t>
      </w:r>
      <w:r>
        <w:rPr>
          <w:spacing w:val="1"/>
        </w:rPr>
        <w:t> </w:t>
      </w:r>
      <w:r>
        <w:rPr/>
        <w:t>resistant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drug-sensitive</w:t>
      </w:r>
      <w:r>
        <w:rPr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(Wang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Xu,</w:t>
      </w:r>
      <w:r>
        <w:rPr>
          <w:spacing w:val="1"/>
        </w:rPr>
        <w:t> </w:t>
      </w:r>
      <w:r>
        <w:rPr/>
        <w:t>1985;</w:t>
      </w:r>
      <w:r>
        <w:rPr>
          <w:spacing w:val="1"/>
        </w:rPr>
        <w:t> </w:t>
      </w:r>
      <w:r>
        <w:rPr/>
        <w:t>Lin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1"/>
        </w:rPr>
        <w:t> </w:t>
      </w:r>
      <w:r>
        <w:rPr/>
        <w:t>1987),</w:t>
      </w:r>
      <w:r>
        <w:rPr>
          <w:spacing w:val="1"/>
        </w:rPr>
        <w:t> </w:t>
      </w:r>
      <w:r>
        <w:rPr/>
        <w:t>particularly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deadliest</w:t>
      </w:r>
      <w:r>
        <w:rPr>
          <w:spacing w:val="1"/>
        </w:rPr>
        <w:t> </w:t>
      </w:r>
      <w:r>
        <w:rPr/>
        <w:t>cerebral</w:t>
      </w:r>
      <w:r>
        <w:rPr>
          <w:spacing w:val="1"/>
        </w:rPr>
        <w:t> </w:t>
      </w:r>
      <w:r>
        <w:rPr/>
        <w:t>malaria.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avoid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slow</w:t>
      </w:r>
      <w:r>
        <w:rPr>
          <w:spacing w:val="1"/>
        </w:rPr>
        <w:t> </w:t>
      </w:r>
      <w:r>
        <w:rPr/>
        <w:t>down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 of resistance, combination of artemisinin derivatives with other antimalarial</w:t>
      </w:r>
      <w:r>
        <w:rPr>
          <w:spacing w:val="1"/>
        </w:rPr>
        <w:t> </w:t>
      </w:r>
      <w:r>
        <w:rPr/>
        <w:t>agents known as artemisinin-based combination therapies (ACTs) are being advocated and</w:t>
      </w:r>
      <w:r>
        <w:rPr>
          <w:spacing w:val="-57"/>
        </w:rPr>
        <w:t> </w:t>
      </w:r>
      <w:r>
        <w:rPr/>
        <w:t>promoted</w:t>
      </w:r>
      <w:r>
        <w:rPr>
          <w:spacing w:val="1"/>
        </w:rPr>
        <w:t> </w:t>
      </w:r>
      <w:r>
        <w:rPr/>
        <w:t>by WHO</w:t>
      </w:r>
      <w:r>
        <w:rPr>
          <w:spacing w:val="1"/>
        </w:rPr>
        <w:t> </w:t>
      </w:r>
      <w:r>
        <w:rPr/>
        <w:t>(WHO,2011).</w:t>
      </w:r>
      <w:r>
        <w:rPr>
          <w:spacing w:val="1"/>
        </w:rPr>
        <w:t> </w:t>
      </w:r>
      <w:r>
        <w:rPr/>
        <w:t>Presently,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line</w:t>
      </w:r>
      <w:r>
        <w:rPr>
          <w:spacing w:val="1"/>
        </w:rPr>
        <w:t> </w:t>
      </w:r>
      <w:r>
        <w:rPr/>
        <w:t>intervention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>
          <w:i/>
          <w:spacing w:val="24"/>
        </w:rPr>
        <w:t> </w:t>
      </w:r>
      <w:r>
        <w:rPr/>
        <w:t>malaria</w:t>
      </w:r>
      <w:r>
        <w:rPr>
          <w:spacing w:val="18"/>
        </w:rPr>
        <w:t> </w:t>
      </w:r>
      <w:r>
        <w:rPr/>
        <w:t>(WHO,</w:t>
      </w:r>
      <w:r>
        <w:rPr>
          <w:spacing w:val="21"/>
        </w:rPr>
        <w:t> </w:t>
      </w:r>
      <w:r>
        <w:rPr/>
        <w:t>2016).</w:t>
      </w:r>
      <w:r>
        <w:rPr>
          <w:spacing w:val="22"/>
        </w:rPr>
        <w:t> </w:t>
      </w:r>
      <w:r>
        <w:rPr/>
        <w:t>Unfortunately,</w:t>
      </w:r>
      <w:r>
        <w:rPr>
          <w:spacing w:val="26"/>
        </w:rPr>
        <w:t> </w:t>
      </w:r>
      <w:r>
        <w:rPr/>
        <w:t>there</w:t>
      </w:r>
      <w:r>
        <w:rPr>
          <w:spacing w:val="24"/>
        </w:rPr>
        <w:t> </w:t>
      </w:r>
      <w:r>
        <w:rPr/>
        <w:t>is</w:t>
      </w:r>
      <w:r>
        <w:rPr>
          <w:spacing w:val="18"/>
        </w:rPr>
        <w:t> </w:t>
      </w:r>
      <w:r>
        <w:rPr/>
        <w:t>an</w:t>
      </w:r>
      <w:r>
        <w:rPr>
          <w:spacing w:val="19"/>
        </w:rPr>
        <w:t> </w:t>
      </w:r>
      <w:r>
        <w:rPr/>
        <w:t>alarming</w:t>
      </w:r>
      <w:r>
        <w:rPr>
          <w:spacing w:val="19"/>
        </w:rPr>
        <w:t> </w:t>
      </w:r>
      <w:r>
        <w:rPr/>
        <w:t>report</w:t>
      </w:r>
      <w:r>
        <w:rPr>
          <w:spacing w:val="20"/>
        </w:rPr>
        <w:t> </w:t>
      </w:r>
      <w:r>
        <w:rPr/>
        <w:t>of</w:t>
      </w:r>
      <w:r>
        <w:rPr>
          <w:spacing w:val="11"/>
        </w:rPr>
        <w:t> </w:t>
      </w:r>
      <w:r>
        <w:rPr/>
        <w:t>decrease</w:t>
      </w:r>
    </w:p>
    <w:p>
      <w:pPr>
        <w:spacing w:after="0" w:line="480" w:lineRule="auto"/>
        <w:jc w:val="both"/>
        <w:sectPr>
          <w:headerReference w:type="default" r:id="rId48"/>
          <w:footerReference w:type="default" r:id="rId49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8"/>
        <w:jc w:val="both"/>
      </w:pPr>
      <w:r>
        <w:rPr/>
        <w:t>artemisinin and ACT sensitivity in some parts of the Asia including; Cambodia, Myanmar,</w:t>
      </w:r>
      <w:r>
        <w:rPr>
          <w:spacing w:val="-57"/>
        </w:rPr>
        <w:t> </w:t>
      </w:r>
      <w:r>
        <w:rPr/>
        <w:t>Thailand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Vietnam</w:t>
      </w:r>
      <w:r>
        <w:rPr>
          <w:spacing w:val="-8"/>
        </w:rPr>
        <w:t> </w:t>
      </w:r>
      <w:r>
        <w:rPr/>
        <w:t>(Phyo</w:t>
      </w:r>
      <w:r>
        <w:rPr>
          <w:spacing w:val="1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2012;</w:t>
      </w:r>
      <w:r>
        <w:rPr>
          <w:spacing w:val="-3"/>
        </w:rPr>
        <w:t> </w:t>
      </w:r>
      <w:r>
        <w:rPr/>
        <w:t>Carrara</w:t>
      </w:r>
      <w:r>
        <w:rPr>
          <w:spacing w:val="-3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4"/>
        </w:rPr>
        <w:t> </w:t>
      </w:r>
      <w:r>
        <w:rPr/>
        <w:t>2013).</w:t>
      </w:r>
    </w:p>
    <w:p>
      <w:pPr>
        <w:pStyle w:val="BodyText"/>
        <w:spacing w:line="480" w:lineRule="auto" w:before="202"/>
        <w:ind w:left="312" w:right="685"/>
        <w:jc w:val="both"/>
      </w:pPr>
      <w:r>
        <w:rPr/>
        <w:t>The</w:t>
      </w:r>
      <w:r>
        <w:rPr>
          <w:spacing w:val="1"/>
        </w:rPr>
        <w:t> </w:t>
      </w:r>
      <w:r>
        <w:rPr/>
        <w:t>un-availability</w:t>
      </w:r>
      <w:r>
        <w:rPr>
          <w:spacing w:val="1"/>
        </w:rPr>
        <w:t> </w:t>
      </w:r>
      <w:r>
        <w:rPr/>
        <w:t>of clinically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vaccine,</w:t>
      </w:r>
      <w:r>
        <w:rPr>
          <w:spacing w:val="1"/>
        </w:rPr>
        <w:t> </w:t>
      </w:r>
      <w:r>
        <w:rPr/>
        <w:t>appearance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insecticide</w:t>
      </w:r>
      <w:r>
        <w:rPr>
          <w:spacing w:val="1"/>
        </w:rPr>
        <w:t> </w:t>
      </w:r>
      <w:r>
        <w:rPr/>
        <w:t>resistant</w:t>
      </w:r>
      <w:r>
        <w:rPr>
          <w:spacing w:val="1"/>
        </w:rPr>
        <w:t> </w:t>
      </w:r>
      <w:r>
        <w:rPr/>
        <w:t>mosquitoes and </w:t>
      </w:r>
      <w:r>
        <w:rPr>
          <w:i/>
        </w:rPr>
        <w:t>Plasmodium </w:t>
      </w:r>
      <w:r>
        <w:rPr/>
        <w:t>resistance to multiple available antimalarials have motivated</w:t>
      </w:r>
      <w:r>
        <w:rPr>
          <w:spacing w:val="1"/>
        </w:rPr>
        <w:t> </w:t>
      </w:r>
      <w:r>
        <w:rPr/>
        <w:t>scientists to develop new drugs with novel targets. In the wake of full genome sequencing</w:t>
      </w:r>
      <w:r>
        <w:rPr>
          <w:spacing w:val="1"/>
        </w:rPr>
        <w:t> </w:t>
      </w:r>
      <w:r>
        <w:rPr/>
        <w:t>of </w:t>
      </w:r>
      <w:r>
        <w:rPr>
          <w:i/>
        </w:rPr>
        <w:t>P. falciparum</w:t>
      </w:r>
      <w:r>
        <w:rPr/>
        <w:t>, numerous new drug targets have been proposed. These are quite diverse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include enzymes</w:t>
      </w:r>
      <w:r>
        <w:rPr>
          <w:spacing w:val="1"/>
        </w:rPr>
        <w:t> </w:t>
      </w:r>
      <w:r>
        <w:rPr/>
        <w:t>from the respiratory chain</w:t>
      </w:r>
      <w:r>
        <w:rPr>
          <w:spacing w:val="1"/>
        </w:rPr>
        <w:t> </w:t>
      </w:r>
      <w:r>
        <w:rPr/>
        <w:t>in the parasite mitochondria (Biagini</w:t>
      </w:r>
      <w:r>
        <w:rPr>
          <w:spacing w:val="60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2006), several transport proteins (Reguera </w:t>
      </w:r>
      <w:r>
        <w:rPr>
          <w:i/>
        </w:rPr>
        <w:t>et al., </w:t>
      </w:r>
      <w:r>
        <w:rPr/>
        <w:t>2005) enzymes in the fatty acid</w:t>
      </w:r>
      <w:r>
        <w:rPr>
          <w:spacing w:val="1"/>
        </w:rPr>
        <w:t> </w:t>
      </w:r>
      <w:r>
        <w:rPr/>
        <w:t>synthetic pathway (Eastman </w:t>
      </w:r>
      <w:r>
        <w:rPr>
          <w:i/>
        </w:rPr>
        <w:t>et al.,</w:t>
      </w:r>
      <w:r>
        <w:rPr/>
        <w:t>2006) a number of proteases (Ersmark </w:t>
      </w:r>
      <w:r>
        <w:rPr>
          <w:i/>
        </w:rPr>
        <w:t>et al., </w:t>
      </w:r>
      <w:r>
        <w:rPr/>
        <w:t>2006;</w:t>
      </w:r>
      <w:r>
        <w:rPr>
          <w:spacing w:val="1"/>
        </w:rPr>
        <w:t> </w:t>
      </w:r>
      <w:r>
        <w:rPr/>
        <w:t>Micale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2006)</w:t>
      </w:r>
      <w:r>
        <w:rPr>
          <w:spacing w:val="-2"/>
        </w:rPr>
        <w:t> </w:t>
      </w:r>
      <w:r>
        <w:rPr/>
        <w:t>and,</w:t>
      </w:r>
      <w:r>
        <w:rPr>
          <w:spacing w:val="4"/>
        </w:rPr>
        <w:t> </w:t>
      </w:r>
      <w:r>
        <w:rPr/>
        <w:t>DNA</w:t>
      </w:r>
      <w:r>
        <w:rPr>
          <w:spacing w:val="-5"/>
        </w:rPr>
        <w:t> </w:t>
      </w:r>
      <w:r>
        <w:rPr/>
        <w:t>replication</w:t>
      </w:r>
      <w:r>
        <w:rPr>
          <w:spacing w:val="-4"/>
        </w:rPr>
        <w:t> </w:t>
      </w:r>
      <w:r>
        <w:rPr/>
        <w:t>and</w:t>
      </w:r>
      <w:r>
        <w:rPr>
          <w:spacing w:val="4"/>
        </w:rPr>
        <w:t> </w:t>
      </w:r>
      <w:r>
        <w:rPr/>
        <w:t>regulation</w:t>
      </w:r>
      <w:r>
        <w:rPr>
          <w:spacing w:val="-3"/>
        </w:rPr>
        <w:t> </w:t>
      </w:r>
      <w:r>
        <w:rPr/>
        <w:t>(Yanow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2006)</w:t>
      </w:r>
    </w:p>
    <w:p>
      <w:pPr>
        <w:pStyle w:val="BodyText"/>
        <w:spacing w:line="480" w:lineRule="auto" w:before="198"/>
        <w:ind w:left="312" w:right="691"/>
        <w:jc w:val="both"/>
      </w:pPr>
      <w:r>
        <w:rPr/>
        <w:t>The proteases have been identified as promising drug targets through several experiments</w:t>
      </w:r>
      <w:r>
        <w:rPr>
          <w:spacing w:val="1"/>
        </w:rPr>
        <w:t> </w:t>
      </w:r>
      <w:r>
        <w:rPr/>
        <w:t>(Goldberg </w:t>
      </w:r>
      <w:r>
        <w:rPr>
          <w:i/>
        </w:rPr>
        <w:t>et al., </w:t>
      </w:r>
      <w:r>
        <w:rPr/>
        <w:t>1991; McKerrow </w:t>
      </w:r>
      <w:r>
        <w:rPr>
          <w:i/>
        </w:rPr>
        <w:t>et al.,</w:t>
      </w:r>
      <w:r>
        <w:rPr/>
        <w:t>1993; Liu </w:t>
      </w:r>
      <w:r>
        <w:rPr>
          <w:i/>
        </w:rPr>
        <w:t>et al., </w:t>
      </w:r>
      <w:r>
        <w:rPr/>
        <w:t>2005). Proteases are enzymes</w:t>
      </w:r>
      <w:r>
        <w:rPr>
          <w:spacing w:val="1"/>
        </w:rPr>
        <w:t> </w:t>
      </w:r>
      <w:r>
        <w:rPr/>
        <w:t>vital for plasmodium parasite survival. They are said to be responsible for degrading host</w:t>
      </w:r>
      <w:r>
        <w:rPr>
          <w:spacing w:val="1"/>
        </w:rPr>
        <w:t> </w:t>
      </w:r>
      <w:r>
        <w:rPr/>
        <w:t>hemoglobin to provide essential amino acid for the parasite survival (Rosenthal, 2004;</w:t>
      </w:r>
      <w:r>
        <w:rPr>
          <w:spacing w:val="1"/>
        </w:rPr>
        <w:t> </w:t>
      </w:r>
      <w:r>
        <w:rPr/>
        <w:t>2011) and for maintenance of osmotic balance of the infected erythrocyte during the intra-</w:t>
      </w:r>
      <w:r>
        <w:rPr>
          <w:spacing w:val="1"/>
        </w:rPr>
        <w:t> </w:t>
      </w:r>
      <w:r>
        <w:rPr/>
        <w:t>erythrocytic life cycle (Mauritz </w:t>
      </w:r>
      <w:r>
        <w:rPr>
          <w:i/>
        </w:rPr>
        <w:t>et al</w:t>
      </w:r>
      <w:r>
        <w:rPr/>
        <w:t>. 2009). Another study has implicated proteases in the</w:t>
      </w:r>
      <w:r>
        <w:rPr>
          <w:spacing w:val="1"/>
        </w:rPr>
        <w:t> </w:t>
      </w:r>
      <w:r>
        <w:rPr/>
        <w:t>erythrocyte</w:t>
      </w:r>
      <w:r>
        <w:rPr>
          <w:spacing w:val="1"/>
        </w:rPr>
        <w:t> </w:t>
      </w:r>
      <w:r>
        <w:rPr/>
        <w:t>egression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subsequent</w:t>
      </w:r>
      <w:r>
        <w:rPr>
          <w:spacing w:val="1"/>
        </w:rPr>
        <w:t> </w:t>
      </w:r>
      <w:r>
        <w:rPr/>
        <w:t>rupturing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(Blackman,</w:t>
      </w:r>
      <w:r>
        <w:rPr>
          <w:spacing w:val="1"/>
        </w:rPr>
        <w:t> </w:t>
      </w:r>
      <w:r>
        <w:rPr/>
        <w:t>2008).</w:t>
      </w:r>
      <w:r>
        <w:rPr>
          <w:spacing w:val="1"/>
        </w:rPr>
        <w:t> </w:t>
      </w:r>
      <w:r>
        <w:rPr/>
        <w:t>Proteases</w:t>
      </w:r>
      <w:r>
        <w:rPr>
          <w:spacing w:val="1"/>
        </w:rPr>
        <w:t> </w:t>
      </w:r>
      <w:r>
        <w:rPr/>
        <w:t>having key roles in hemoglobin degradation include aspartic (plasmepsins) and cysteine</w:t>
      </w:r>
      <w:r>
        <w:rPr>
          <w:spacing w:val="1"/>
        </w:rPr>
        <w:t> </w:t>
      </w:r>
      <w:r>
        <w:rPr/>
        <w:t>(falcipains) proteases. These proteases are validated as drug targets, but no drug has so far</w:t>
      </w:r>
      <w:r>
        <w:rPr>
          <w:spacing w:val="1"/>
        </w:rPr>
        <w:t> </w:t>
      </w:r>
      <w:r>
        <w:rPr/>
        <w:t>been</w:t>
      </w:r>
      <w:r>
        <w:rPr>
          <w:spacing w:val="-4"/>
        </w:rPr>
        <w:t> </w:t>
      </w:r>
      <w:r>
        <w:rPr/>
        <w:t>approved</w:t>
      </w:r>
      <w:r>
        <w:rPr>
          <w:spacing w:val="2"/>
        </w:rPr>
        <w:t> </w:t>
      </w:r>
      <w:r>
        <w:rPr/>
        <w:t>against</w:t>
      </w:r>
      <w:r>
        <w:rPr>
          <w:spacing w:val="2"/>
        </w:rPr>
        <w:t> </w:t>
      </w:r>
      <w:r>
        <w:rPr/>
        <w:t>them(Teixeira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2011).</w:t>
      </w:r>
    </w:p>
    <w:p>
      <w:pPr>
        <w:pStyle w:val="BodyText"/>
        <w:spacing w:line="480" w:lineRule="auto" w:before="204"/>
        <w:ind w:left="312" w:right="691"/>
        <w:jc w:val="both"/>
      </w:pPr>
      <w:r>
        <w:rPr/>
        <w:t>Numerous malarial protease inhibitors have been developed through computational studies</w:t>
      </w:r>
      <w:r>
        <w:rPr>
          <w:spacing w:val="-57"/>
        </w:rPr>
        <w:t> </w:t>
      </w:r>
      <w:r>
        <w:rPr/>
        <w:t>(Li </w:t>
      </w:r>
      <w:r>
        <w:rPr>
          <w:i/>
        </w:rPr>
        <w:t>et al.,</w:t>
      </w:r>
      <w:r>
        <w:rPr/>
        <w:t>1995; 1996; Gutiérrez-de-Terán</w:t>
      </w:r>
      <w:r>
        <w:rPr>
          <w:i/>
        </w:rPr>
        <w:t>et al., </w:t>
      </w:r>
      <w:r>
        <w:rPr/>
        <w:t>2006),</w:t>
      </w:r>
      <w:r>
        <w:rPr>
          <w:spacing w:val="1"/>
        </w:rPr>
        <w:t> </w:t>
      </w:r>
      <w:r>
        <w:rPr/>
        <w:t>and by chemical synthesis and</w:t>
      </w:r>
      <w:r>
        <w:rPr>
          <w:spacing w:val="1"/>
        </w:rPr>
        <w:t> </w:t>
      </w:r>
      <w:r>
        <w:rPr/>
        <w:t>serendipity</w:t>
      </w:r>
      <w:r>
        <w:rPr>
          <w:spacing w:val="1"/>
        </w:rPr>
        <w:t> </w:t>
      </w:r>
      <w:r>
        <w:rPr/>
        <w:t>(Rosenthal,</w:t>
      </w:r>
      <w:r>
        <w:rPr>
          <w:spacing w:val="1"/>
        </w:rPr>
        <w:t> </w:t>
      </w:r>
      <w:r>
        <w:rPr/>
        <w:t>1998;</w:t>
      </w:r>
      <w:r>
        <w:rPr>
          <w:spacing w:val="1"/>
        </w:rPr>
        <w:t> </w:t>
      </w:r>
      <w:r>
        <w:rPr/>
        <w:t>Bjelic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2007).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computational</w:t>
      </w:r>
      <w:r>
        <w:rPr>
          <w:spacing w:val="1"/>
        </w:rPr>
        <w:t> </w:t>
      </w:r>
      <w:r>
        <w:rPr/>
        <w:t>approaches employed in the development of protease inhibitors consists of structure-based</w:t>
      </w:r>
      <w:r>
        <w:rPr>
          <w:spacing w:val="-57"/>
        </w:rPr>
        <w:t> </w:t>
      </w:r>
      <w:r>
        <w:rPr/>
        <w:t>design</w:t>
      </w:r>
      <w:r>
        <w:rPr>
          <w:spacing w:val="51"/>
        </w:rPr>
        <w:t> </w:t>
      </w:r>
      <w:r>
        <w:rPr/>
        <w:t>using</w:t>
      </w:r>
      <w:r>
        <w:rPr>
          <w:spacing w:val="57"/>
        </w:rPr>
        <w:t> </w:t>
      </w:r>
      <w:r>
        <w:rPr/>
        <w:t>docking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molecular</w:t>
      </w:r>
      <w:r>
        <w:rPr>
          <w:spacing w:val="59"/>
        </w:rPr>
        <w:t> </w:t>
      </w:r>
      <w:r>
        <w:rPr/>
        <w:t>dynamic(Li</w:t>
      </w:r>
      <w:r>
        <w:rPr>
          <w:spacing w:val="53"/>
        </w:rPr>
        <w:t> </w:t>
      </w:r>
      <w:r>
        <w:rPr>
          <w:i/>
        </w:rPr>
        <w:t>et</w:t>
      </w:r>
      <w:r>
        <w:rPr>
          <w:i/>
          <w:spacing w:val="58"/>
        </w:rPr>
        <w:t> </w:t>
      </w:r>
      <w:r>
        <w:rPr>
          <w:i/>
        </w:rPr>
        <w:t>al.,</w:t>
      </w:r>
      <w:r>
        <w:rPr/>
        <w:t>1995).</w:t>
      </w:r>
      <w:r>
        <w:rPr>
          <w:spacing w:val="58"/>
        </w:rPr>
        <w:t> </w:t>
      </w:r>
      <w:r>
        <w:rPr/>
        <w:t>Indeed,</w:t>
      </w:r>
      <w:r>
        <w:rPr>
          <w:spacing w:val="59"/>
        </w:rPr>
        <w:t> </w:t>
      </w:r>
      <w:r>
        <w:rPr/>
        <w:t>complementing</w:t>
      </w:r>
    </w:p>
    <w:p>
      <w:pPr>
        <w:spacing w:after="0" w:line="480" w:lineRule="auto"/>
        <w:jc w:val="both"/>
        <w:sectPr>
          <w:headerReference w:type="default" r:id="rId50"/>
          <w:footerReference w:type="default" r:id="rId51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experiment and computational techniques increases the rate of success in many stages of</w:t>
      </w:r>
      <w:r>
        <w:rPr>
          <w:spacing w:val="1"/>
        </w:rPr>
        <w:t> </w:t>
      </w:r>
      <w:r>
        <w:rPr/>
        <w:t>the drug discovery,</w:t>
      </w:r>
      <w:r>
        <w:rPr>
          <w:spacing w:val="60"/>
        </w:rPr>
        <w:t> </w:t>
      </w:r>
      <w:r>
        <w:rPr/>
        <w:t>by assessing the interactions between the ligands and the binding site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protein 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affinity to</w:t>
      </w:r>
      <w:r>
        <w:rPr>
          <w:spacing w:val="1"/>
        </w:rPr>
        <w:t> </w:t>
      </w:r>
      <w:r>
        <w:rPr/>
        <w:t>optimize</w:t>
      </w:r>
      <w:r>
        <w:rPr>
          <w:spacing w:val="1"/>
        </w:rPr>
        <w:t> </w:t>
      </w:r>
      <w:r>
        <w:rPr/>
        <w:t>pharmacodynamics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 of compounds with desired pharmacokinetic properties. Moreover, the use of</w:t>
      </w:r>
      <w:r>
        <w:rPr>
          <w:spacing w:val="-57"/>
        </w:rPr>
        <w:t> </w:t>
      </w:r>
      <w:r>
        <w:rPr/>
        <w:t>computers at some conceivable steps is imperative to cut down the expense, number of</w:t>
      </w:r>
      <w:r>
        <w:rPr>
          <w:spacing w:val="1"/>
        </w:rPr>
        <w:t> </w:t>
      </w:r>
      <w:r>
        <w:rPr/>
        <w:t>animals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time</w:t>
      </w:r>
      <w:r>
        <w:rPr>
          <w:spacing w:val="5"/>
        </w:rPr>
        <w:t> </w:t>
      </w:r>
      <w:r>
        <w:rPr/>
        <w:t>needed</w:t>
      </w:r>
      <w:r>
        <w:rPr>
          <w:spacing w:val="6"/>
        </w:rPr>
        <w:t> </w:t>
      </w:r>
      <w:r>
        <w:rPr/>
        <w:t>in</w:t>
      </w:r>
      <w:r>
        <w:rPr>
          <w:spacing w:val="-4"/>
        </w:rPr>
        <w:t> </w:t>
      </w:r>
      <w:r>
        <w:rPr/>
        <w:t>the drug</w:t>
      </w:r>
      <w:r>
        <w:rPr>
          <w:spacing w:val="2"/>
        </w:rPr>
        <w:t> </w:t>
      </w:r>
      <w:r>
        <w:rPr/>
        <w:t>discovery</w:t>
      </w:r>
      <w:r>
        <w:rPr>
          <w:spacing w:val="-9"/>
        </w:rPr>
        <w:t> </w:t>
      </w:r>
      <w:r>
        <w:rPr/>
        <w:t>process</w:t>
      </w:r>
      <w:r>
        <w:rPr>
          <w:spacing w:val="-1"/>
        </w:rPr>
        <w:t> </w:t>
      </w:r>
      <w:r>
        <w:rPr/>
        <w:t>(Gomes</w:t>
      </w:r>
      <w:r>
        <w:rPr>
          <w:spacing w:val="7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/>
        <w:t>2017)</w:t>
      </w:r>
    </w:p>
    <w:p>
      <w:pPr>
        <w:pStyle w:val="BodyText"/>
        <w:spacing w:line="480" w:lineRule="auto" w:before="203"/>
        <w:ind w:left="312" w:right="687"/>
        <w:jc w:val="both"/>
      </w:pPr>
      <w:r>
        <w:rPr/>
        <w:t>Interestingly, chalcone (Figure 1.1) was identified through molecular modeling studies as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/>
        <w:t>parasite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</w:t>
      </w:r>
      <w:r>
        <w:rPr>
          <w:spacing w:val="1"/>
        </w:rPr>
        <w:t> </w:t>
      </w:r>
      <w:r>
        <w:rPr/>
        <w:t>inhibitor</w:t>
      </w:r>
      <w:r>
        <w:rPr>
          <w:spacing w:val="1"/>
        </w:rPr>
        <w:t> </w:t>
      </w:r>
      <w:r>
        <w:rPr/>
        <w:t>(Li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1995).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Licochalcone A isolated from Chinese liquorice roots was identified as potent antimalarial</w:t>
      </w:r>
      <w:r>
        <w:rPr>
          <w:spacing w:val="1"/>
        </w:rPr>
        <w:t> </w:t>
      </w:r>
      <w:r>
        <w:rPr/>
        <w:t>compound (Chen </w:t>
      </w:r>
      <w:r>
        <w:rPr>
          <w:i/>
        </w:rPr>
        <w:t>et al.,</w:t>
      </w:r>
      <w:r>
        <w:rPr/>
        <w:t>1994). Since then, there was substantial interest by the scientific</w:t>
      </w:r>
      <w:r>
        <w:rPr>
          <w:spacing w:val="1"/>
        </w:rPr>
        <w:t> </w:t>
      </w:r>
      <w:r>
        <w:rPr/>
        <w:t>community to</w:t>
      </w:r>
      <w:r>
        <w:rPr>
          <w:spacing w:val="1"/>
        </w:rPr>
        <w:t> </w:t>
      </w:r>
      <w:r>
        <w:rPr/>
        <w:t>develop chalcone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effective antimalarial drug.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 augmented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simple chemistry, ease of synthesis and possibility of various substitutions on the chalcone</w:t>
      </w:r>
      <w:r>
        <w:rPr>
          <w:spacing w:val="-57"/>
        </w:rPr>
        <w:t> </w:t>
      </w:r>
      <w:r>
        <w:rPr/>
        <w:t>nucleus.</w:t>
      </w:r>
    </w:p>
    <w:p>
      <w:pPr>
        <w:pStyle w:val="BodyText"/>
        <w:spacing w:line="480" w:lineRule="auto" w:before="198"/>
        <w:ind w:left="312" w:right="687"/>
        <w:jc w:val="both"/>
      </w:pPr>
      <w:r>
        <w:rPr/>
        <w:t>Various</w:t>
      </w:r>
      <w:r>
        <w:rPr>
          <w:spacing w:val="1"/>
        </w:rPr>
        <w:t> </w:t>
      </w:r>
      <w:r>
        <w:rPr/>
        <w:t>derivatives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promising</w:t>
      </w:r>
      <w:r>
        <w:rPr>
          <w:spacing w:val="1"/>
        </w:rPr>
        <w:t> </w:t>
      </w:r>
      <w:r>
        <w:rPr/>
        <w:t>antimalarial activity. Several efforts were made to determine the features necessary for the</w:t>
      </w:r>
      <w:r>
        <w:rPr>
          <w:spacing w:val="1"/>
        </w:rPr>
        <w:t> </w:t>
      </w:r>
      <w:r>
        <w:rPr/>
        <w:t>antimalarial activity for optimization through QSAR and molecular modeling studies</w:t>
      </w:r>
      <w:r>
        <w:rPr>
          <w:spacing w:val="60"/>
        </w:rPr>
        <w:t> </w:t>
      </w:r>
      <w:r>
        <w:rPr/>
        <w:t>(Li</w:t>
      </w:r>
      <w:r>
        <w:rPr>
          <w:spacing w:val="1"/>
        </w:rPr>
        <w:t> </w:t>
      </w:r>
      <w:r>
        <w:rPr>
          <w:i/>
        </w:rPr>
        <w:t>et al., </w:t>
      </w:r>
      <w:r>
        <w:rPr/>
        <w:t>1995; Liu </w:t>
      </w:r>
      <w:r>
        <w:rPr>
          <w:i/>
        </w:rPr>
        <w:t>et al., </w:t>
      </w:r>
      <w:r>
        <w:rPr/>
        <w:t>2001; Kumar </w:t>
      </w:r>
      <w:r>
        <w:rPr>
          <w:i/>
        </w:rPr>
        <w:t>et al., </w:t>
      </w:r>
      <w:r>
        <w:rPr/>
        <w:t>2010). The strong dependence of antimalarial</w:t>
      </w:r>
      <w:r>
        <w:rPr>
          <w:spacing w:val="1"/>
        </w:rPr>
        <w:t> </w:t>
      </w:r>
      <w:r>
        <w:rPr/>
        <w:t>activity on specific substitution of rings </w:t>
      </w:r>
      <w:r>
        <w:rPr>
          <w:b/>
        </w:rPr>
        <w:t>A </w:t>
      </w:r>
      <w:r>
        <w:rPr/>
        <w:t>(Benzaldehyde ring) &amp;</w:t>
      </w:r>
      <w:r>
        <w:rPr>
          <w:b/>
        </w:rPr>
        <w:t>B </w:t>
      </w:r>
      <w:r>
        <w:rPr/>
        <w:t>(Acetophenone ring)</w:t>
      </w:r>
      <w:r>
        <w:rPr>
          <w:spacing w:val="1"/>
        </w:rPr>
        <w:t> </w:t>
      </w:r>
      <w:r>
        <w:rPr/>
        <w:t>was noted. This</w:t>
      </w:r>
      <w:r>
        <w:rPr>
          <w:spacing w:val="1"/>
        </w:rPr>
        <w:t> </w:t>
      </w:r>
      <w:r>
        <w:rPr/>
        <w:t>led to a proposal which was put forward by Li</w:t>
      </w:r>
      <w:r>
        <w:rPr>
          <w:spacing w:val="1"/>
        </w:rPr>
        <w:t> </w:t>
      </w:r>
      <w:r>
        <w:rPr>
          <w:i/>
        </w:rPr>
        <w:t>et al.,</w:t>
      </w:r>
      <w:r>
        <w:rPr/>
        <w:t>(1995) on the</w:t>
      </w:r>
      <w:r>
        <w:rPr>
          <w:spacing w:val="1"/>
        </w:rPr>
        <w:t> </w:t>
      </w:r>
      <w:r>
        <w:rPr/>
        <w:t>importance of electron withdrawing</w:t>
      </w:r>
      <w:r>
        <w:rPr>
          <w:spacing w:val="1"/>
        </w:rPr>
        <w:t> </w:t>
      </w:r>
      <w:r>
        <w:rPr/>
        <w:t>substituents on ring</w:t>
      </w:r>
      <w:r>
        <w:rPr>
          <w:spacing w:val="60"/>
        </w:rPr>
        <w:t> </w:t>
      </w:r>
      <w:r>
        <w:rPr/>
        <w:t>A (decreased electron density)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electron</w:t>
      </w:r>
      <w:r>
        <w:rPr>
          <w:spacing w:val="1"/>
        </w:rPr>
        <w:t> </w:t>
      </w:r>
      <w:r>
        <w:rPr/>
        <w:t>donating</w:t>
      </w:r>
      <w:r>
        <w:rPr>
          <w:spacing w:val="1"/>
        </w:rPr>
        <w:t> </w:t>
      </w:r>
      <w:r>
        <w:rPr/>
        <w:t>substituents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(increased</w:t>
      </w:r>
      <w:r>
        <w:rPr>
          <w:spacing w:val="1"/>
        </w:rPr>
        <w:t> </w:t>
      </w:r>
      <w:r>
        <w:rPr/>
        <w:t>electron</w:t>
      </w:r>
      <w:r>
        <w:rPr>
          <w:spacing w:val="1"/>
        </w:rPr>
        <w:t> </w:t>
      </w:r>
      <w:r>
        <w:rPr/>
        <w:t>density)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antimalarial activity of chalcones. Similarly, Liu </w:t>
      </w:r>
      <w:r>
        <w:rPr>
          <w:i/>
        </w:rPr>
        <w:t>et al</w:t>
      </w:r>
      <w:r>
        <w:rPr/>
        <w:t>. (2001; 2003) and Go </w:t>
      </w:r>
      <w:r>
        <w:rPr>
          <w:i/>
        </w:rPr>
        <w:t>et al</w:t>
      </w:r>
      <w:r>
        <w:rPr/>
        <w:t>. (2003)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of substituted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screened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chloroquine-</w:t>
      </w:r>
      <w:r>
        <w:rPr>
          <w:spacing w:val="1"/>
        </w:rPr>
        <w:t> </w:t>
      </w:r>
      <w:r>
        <w:rPr/>
        <w:t>susceptible (3D7) and chloroquine resistant (Dd2) strains of </w:t>
      </w:r>
      <w:r>
        <w:rPr>
          <w:i/>
        </w:rPr>
        <w:t>P. falciparum</w:t>
      </w:r>
      <w:r>
        <w:rPr/>
        <w:t>. From the SAR</w:t>
      </w:r>
      <w:r>
        <w:rPr>
          <w:spacing w:val="1"/>
        </w:rPr>
        <w:t> </w:t>
      </w:r>
      <w:r>
        <w:rPr/>
        <w:t>analysis,</w:t>
      </w:r>
      <w:r>
        <w:rPr>
          <w:spacing w:val="30"/>
        </w:rPr>
        <w:t> </w:t>
      </w:r>
      <w:r>
        <w:rPr/>
        <w:t>size</w:t>
      </w:r>
      <w:r>
        <w:rPr>
          <w:spacing w:val="27"/>
        </w:rPr>
        <w:t> </w:t>
      </w:r>
      <w:r>
        <w:rPr/>
        <w:t>and</w:t>
      </w:r>
      <w:r>
        <w:rPr>
          <w:spacing w:val="33"/>
        </w:rPr>
        <w:t> </w:t>
      </w:r>
      <w:r>
        <w:rPr/>
        <w:t>hydrophobicity</w:t>
      </w:r>
      <w:r>
        <w:rPr>
          <w:spacing w:val="18"/>
        </w:rPr>
        <w:t> </w:t>
      </w:r>
      <w:r>
        <w:rPr/>
        <w:t>of</w:t>
      </w:r>
      <w:r>
        <w:rPr>
          <w:spacing w:val="20"/>
        </w:rPr>
        <w:t> </w:t>
      </w:r>
      <w:r>
        <w:rPr/>
        <w:t>substituents</w:t>
      </w:r>
      <w:r>
        <w:rPr>
          <w:spacing w:val="26"/>
        </w:rPr>
        <w:t> </w:t>
      </w:r>
      <w:r>
        <w:rPr/>
        <w:t>on</w:t>
      </w:r>
      <w:r>
        <w:rPr>
          <w:spacing w:val="23"/>
        </w:rPr>
        <w:t> </w:t>
      </w:r>
      <w:r>
        <w:rPr/>
        <w:t>both</w:t>
      </w:r>
      <w:r>
        <w:rPr>
          <w:spacing w:val="23"/>
        </w:rPr>
        <w:t> </w:t>
      </w:r>
      <w:r>
        <w:rPr/>
        <w:t>rings</w:t>
      </w:r>
      <w:r>
        <w:rPr>
          <w:spacing w:val="36"/>
        </w:rPr>
        <w:t> </w:t>
      </w:r>
      <w:r>
        <w:rPr/>
        <w:t>of</w:t>
      </w:r>
      <w:r>
        <w:rPr>
          <w:spacing w:val="20"/>
        </w:rPr>
        <w:t> </w:t>
      </w:r>
      <w:r>
        <w:rPr/>
        <w:t>chalcones</w:t>
      </w:r>
      <w:r>
        <w:rPr>
          <w:spacing w:val="26"/>
        </w:rPr>
        <w:t> </w:t>
      </w:r>
      <w:r>
        <w:rPr/>
        <w:t>were</w:t>
      </w:r>
    </w:p>
    <w:p>
      <w:pPr>
        <w:spacing w:after="0" w:line="480" w:lineRule="auto"/>
        <w:jc w:val="both"/>
        <w:sectPr>
          <w:headerReference w:type="default" r:id="rId52"/>
          <w:footerReference w:type="default" r:id="rId53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7"/>
        <w:jc w:val="both"/>
      </w:pPr>
      <w:r>
        <w:rPr/>
        <w:t>identified as critical parameters. In addition, most of the hydroxylated chalcones were</w:t>
      </w:r>
      <w:r>
        <w:rPr>
          <w:spacing w:val="1"/>
        </w:rPr>
        <w:t> </w:t>
      </w:r>
      <w:r>
        <w:rPr/>
        <w:t>found to be less active than the corresponding alkoxylated derivatives as reported earlier</w:t>
      </w:r>
      <w:r>
        <w:rPr>
          <w:spacing w:val="1"/>
        </w:rPr>
        <w:t> </w:t>
      </w:r>
      <w:r>
        <w:rPr/>
        <w:t>(Li</w:t>
      </w:r>
      <w:r>
        <w:rPr>
          <w:spacing w:val="-7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5"/>
        </w:rPr>
        <w:t> </w:t>
      </w:r>
      <w:r>
        <w:rPr/>
        <w:t>1995).</w:t>
      </w: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1188719</wp:posOffset>
            </wp:positionH>
            <wp:positionV relativeFrom="paragraph">
              <wp:posOffset>132931</wp:posOffset>
            </wp:positionV>
            <wp:extent cx="2295108" cy="1103376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108" cy="1103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1"/>
        </w:rPr>
      </w:pPr>
    </w:p>
    <w:p>
      <w:pPr>
        <w:pStyle w:val="Heading1"/>
        <w:spacing w:before="0"/>
        <w:jc w:val="both"/>
      </w:pPr>
      <w:r>
        <w:rPr/>
        <w:t>Figure</w:t>
      </w:r>
      <w:r>
        <w:rPr>
          <w:spacing w:val="-1"/>
        </w:rPr>
        <w:t> </w:t>
      </w:r>
      <w:r>
        <w:rPr/>
        <w:t>1.1:</w:t>
      </w:r>
      <w:r>
        <w:rPr>
          <w:spacing w:val="2"/>
        </w:rPr>
        <w:t> </w:t>
      </w:r>
      <w:r>
        <w:rPr/>
        <w:t>Chalcone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line="480" w:lineRule="auto"/>
        <w:ind w:left="312" w:right="687"/>
        <w:jc w:val="both"/>
      </w:pPr>
      <w:r>
        <w:rPr/>
        <w:t>Conversely, in a study conducted by Kumar </w:t>
      </w:r>
      <w:r>
        <w:rPr>
          <w:i/>
        </w:rPr>
        <w:t>et al., </w:t>
      </w:r>
      <w:r>
        <w:rPr/>
        <w:t>(2010) it was observed that chalcones</w:t>
      </w:r>
      <w:r>
        <w:rPr>
          <w:spacing w:val="1"/>
        </w:rPr>
        <w:t> </w:t>
      </w:r>
      <w:r>
        <w:rPr/>
        <w:t>which are methoxylated in their aryl ring </w:t>
      </w:r>
      <w:r>
        <w:rPr>
          <w:b/>
        </w:rPr>
        <w:t>A </w:t>
      </w:r>
      <w:r>
        <w:rPr/>
        <w:t>and electron deficient at ring </w:t>
      </w:r>
      <w:r>
        <w:rPr>
          <w:b/>
        </w:rPr>
        <w:t>B </w:t>
      </w:r>
      <w:r>
        <w:rPr/>
        <w:t>are better</w:t>
      </w:r>
      <w:r>
        <w:rPr>
          <w:spacing w:val="1"/>
        </w:rPr>
        <w:t> </w:t>
      </w:r>
      <w:r>
        <w:rPr/>
        <w:t>antimalarials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interchanged.</w:t>
      </w:r>
      <w:r>
        <w:rPr>
          <w:spacing w:val="1"/>
        </w:rPr>
        <w:t> </w:t>
      </w:r>
      <w:r>
        <w:rPr/>
        <w:t>These</w:t>
      </w:r>
      <w:r>
        <w:rPr>
          <w:spacing w:val="60"/>
        </w:rPr>
        <w:t> </w:t>
      </w:r>
      <w:r>
        <w:rPr/>
        <w:t>observations</w:t>
      </w:r>
      <w:r>
        <w:rPr>
          <w:spacing w:val="1"/>
        </w:rPr>
        <w:t> </w:t>
      </w:r>
      <w:r>
        <w:rPr/>
        <w:t>clearly indicate that increase in the electron density on ring </w:t>
      </w:r>
      <w:r>
        <w:rPr>
          <w:b/>
        </w:rPr>
        <w:t>A </w:t>
      </w:r>
      <w:r>
        <w:rPr/>
        <w:t>significantly enhanced the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evidently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contrast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earlier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linking</w:t>
      </w:r>
      <w:r>
        <w:rPr>
          <w:spacing w:val="1"/>
        </w:rPr>
        <w:t> </w:t>
      </w:r>
      <w:r>
        <w:rPr/>
        <w:t>potent</w:t>
      </w:r>
      <w:r>
        <w:rPr>
          <w:spacing w:val="1"/>
        </w:rPr>
        <w:t> </w:t>
      </w:r>
      <w:r>
        <w:rPr/>
        <w:t>antimalarial activity with electron deficient ring </w:t>
      </w:r>
      <w:r>
        <w:rPr>
          <w:b/>
        </w:rPr>
        <w:t>A </w:t>
      </w:r>
      <w:r>
        <w:rPr/>
        <w:t>of chalcones (Li </w:t>
      </w:r>
      <w:r>
        <w:rPr>
          <w:i/>
        </w:rPr>
        <w:t>et al., </w:t>
      </w:r>
      <w:r>
        <w:rPr/>
        <w:t>1995). Thus,</w:t>
      </w:r>
      <w:r>
        <w:rPr>
          <w:spacing w:val="1"/>
        </w:rPr>
        <w:t> </w:t>
      </w:r>
      <w:r>
        <w:rPr/>
        <w:t>there is no clear conclusion of the substitution pattern on the chalcone rings that confer</w:t>
      </w:r>
      <w:r>
        <w:rPr>
          <w:spacing w:val="1"/>
        </w:rPr>
        <w:t> </w:t>
      </w:r>
      <w:r>
        <w:rPr/>
        <w:t>better</w:t>
      </w:r>
      <w:r>
        <w:rPr>
          <w:spacing w:val="-2"/>
        </w:rPr>
        <w:t> </w:t>
      </w:r>
      <w:r>
        <w:rPr/>
        <w:t>antimalarial</w:t>
      </w:r>
      <w:r>
        <w:rPr>
          <w:spacing w:val="-3"/>
        </w:rPr>
        <w:t> </w:t>
      </w:r>
      <w:r>
        <w:rPr/>
        <w:t>activity.</w:t>
      </w:r>
    </w:p>
    <w:p>
      <w:pPr>
        <w:pStyle w:val="BodyText"/>
        <w:spacing w:line="480" w:lineRule="auto" w:before="198"/>
        <w:ind w:left="312" w:right="691"/>
        <w:jc w:val="both"/>
      </w:pPr>
      <w:r>
        <w:rPr/>
        <w:t>The present research aimed at designing various chalcone derivatives depicting previous</w:t>
      </w:r>
      <w:r>
        <w:rPr>
          <w:spacing w:val="1"/>
        </w:rPr>
        <w:t> </w:t>
      </w:r>
      <w:r>
        <w:rPr/>
        <w:t>proposals set forward for chalcones as proteases inhibitors, their synthesis and evaluation</w:t>
      </w:r>
      <w:r>
        <w:rPr>
          <w:spacing w:val="1"/>
        </w:rPr>
        <w:t> </w:t>
      </w:r>
      <w:r>
        <w:rPr/>
        <w:t>of their</w:t>
      </w:r>
      <w:r>
        <w:rPr>
          <w:i/>
        </w:rPr>
        <w:t>invivo </w:t>
      </w:r>
      <w:r>
        <w:rPr/>
        <w:t>antimalarial activity using mice model. Molecular hybridization design is</w:t>
      </w:r>
      <w:r>
        <w:rPr>
          <w:spacing w:val="1"/>
        </w:rPr>
        <w:t> </w:t>
      </w:r>
      <w:r>
        <w:rPr/>
        <w:t>employed, matching variousscaffold of the chalcone moiety denoted from previous studies</w:t>
      </w:r>
      <w:r>
        <w:rPr>
          <w:spacing w:val="-57"/>
        </w:rPr>
        <w:t> </w:t>
      </w:r>
      <w:r>
        <w:rPr/>
        <w:t>as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Additionally,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redundant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proteases in hemoglobin degradation prompted this research to also study the potential of</w:t>
      </w:r>
      <w:r>
        <w:rPr>
          <w:spacing w:val="1"/>
        </w:rPr>
        <w:t> </w:t>
      </w:r>
      <w:r>
        <w:rPr/>
        <w:t>the synthesized chalcones to inhibit both aspartic and cysteine proteases using </w:t>
      </w:r>
      <w:r>
        <w:rPr>
          <w:i/>
        </w:rPr>
        <w:t>in silico</w:t>
      </w:r>
      <w:r>
        <w:rPr>
          <w:i/>
          <w:spacing w:val="1"/>
        </w:rPr>
        <w:t> </w:t>
      </w:r>
      <w:r>
        <w:rPr/>
        <w:t>studies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to</w:t>
      </w:r>
      <w:r>
        <w:rPr>
          <w:spacing w:val="4"/>
        </w:rPr>
        <w:t> </w:t>
      </w:r>
      <w:r>
        <w:rPr/>
        <w:t>provide</w:t>
      </w:r>
      <w:r>
        <w:rPr>
          <w:spacing w:val="3"/>
        </w:rPr>
        <w:t> </w:t>
      </w:r>
      <w:r>
        <w:rPr/>
        <w:t>insight</w:t>
      </w:r>
      <w:r>
        <w:rPr>
          <w:spacing w:val="9"/>
        </w:rPr>
        <w:t> </w:t>
      </w:r>
      <w:r>
        <w:rPr/>
        <w:t>into the</w:t>
      </w:r>
      <w:r>
        <w:rPr>
          <w:spacing w:val="-2"/>
        </w:rPr>
        <w:t> </w:t>
      </w:r>
      <w:r>
        <w:rPr/>
        <w:t>structural</w:t>
      </w:r>
      <w:r>
        <w:rPr>
          <w:spacing w:val="-5"/>
        </w:rPr>
        <w:t> </w:t>
      </w:r>
      <w:r>
        <w:rPr/>
        <w:t>features</w:t>
      </w:r>
      <w:r>
        <w:rPr>
          <w:spacing w:val="-3"/>
        </w:rPr>
        <w:t> </w:t>
      </w:r>
      <w:r>
        <w:rPr/>
        <w:t>for</w:t>
      </w:r>
      <w:r>
        <w:rPr>
          <w:spacing w:val="1"/>
        </w:rPr>
        <w:t> </w:t>
      </w:r>
      <w:r>
        <w:rPr/>
        <w:t>dual</w:t>
      </w:r>
      <w:r>
        <w:rPr>
          <w:spacing w:val="-10"/>
        </w:rPr>
        <w:t> </w:t>
      </w:r>
      <w:r>
        <w:rPr/>
        <w:t>proteases</w:t>
      </w:r>
      <w:r>
        <w:rPr>
          <w:spacing w:val="2"/>
        </w:rPr>
        <w:t> </w:t>
      </w:r>
      <w:r>
        <w:rPr/>
        <w:t>inhibition.</w:t>
      </w:r>
      <w:r>
        <w:rPr>
          <w:spacing w:val="1"/>
        </w:rPr>
        <w:t> </w:t>
      </w:r>
      <w:r>
        <w:rPr/>
        <w:t>This</w:t>
      </w:r>
    </w:p>
    <w:p>
      <w:pPr>
        <w:spacing w:after="0" w:line="480" w:lineRule="auto"/>
        <w:jc w:val="both"/>
        <w:sectPr>
          <w:headerReference w:type="default" r:id="rId54"/>
          <w:footerReference w:type="default" r:id="rId5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5"/>
        <w:jc w:val="both"/>
      </w:pPr>
      <w:r>
        <w:rPr/>
        <w:t>should help to furnish information for further design of new compounds with</w:t>
      </w:r>
      <w:r>
        <w:rPr>
          <w:spacing w:val="60"/>
        </w:rPr>
        <w:t> </w:t>
      </w:r>
      <w:r>
        <w:rPr/>
        <w:t>improved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dual</w:t>
      </w:r>
      <w:r>
        <w:rPr>
          <w:spacing w:val="-7"/>
        </w:rPr>
        <w:t> </w:t>
      </w:r>
      <w:r>
        <w:rPr/>
        <w:t>activity.</w:t>
      </w:r>
    </w:p>
    <w:p>
      <w:pPr>
        <w:pStyle w:val="Heading1"/>
        <w:numPr>
          <w:ilvl w:val="1"/>
          <w:numId w:val="7"/>
        </w:numPr>
        <w:tabs>
          <w:tab w:pos="3247" w:val="left" w:leader="none"/>
        </w:tabs>
        <w:spacing w:line="240" w:lineRule="auto" w:before="207" w:after="0"/>
        <w:ind w:left="3246" w:right="0" w:hanging="365"/>
        <w:jc w:val="both"/>
      </w:pPr>
      <w:bookmarkStart w:name="_TOC_250085" w:id="8"/>
      <w:r>
        <w:rPr/>
        <w:t>Statement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Research</w:t>
      </w:r>
      <w:r>
        <w:rPr>
          <w:spacing w:val="-4"/>
        </w:rPr>
        <w:t> </w:t>
      </w:r>
      <w:bookmarkEnd w:id="8"/>
      <w:r>
        <w:rPr/>
        <w:t>Problem</w:t>
      </w:r>
    </w:p>
    <w:p>
      <w:pPr>
        <w:pStyle w:val="BodyText"/>
        <w:spacing w:line="480" w:lineRule="auto" w:before="194"/>
        <w:ind w:left="312" w:right="692"/>
        <w:jc w:val="both"/>
      </w:pPr>
      <w:r>
        <w:rPr/>
        <w:t>Despite tremendous progress</w:t>
      </w:r>
      <w:r>
        <w:rPr>
          <w:spacing w:val="1"/>
        </w:rPr>
        <w:t> </w:t>
      </w:r>
      <w:r>
        <w:rPr/>
        <w:t>in medicinal chemistry malaria</w:t>
      </w:r>
      <w:r>
        <w:rPr>
          <w:spacing w:val="1"/>
        </w:rPr>
        <w:t> </w:t>
      </w:r>
      <w:r>
        <w:rPr/>
        <w:t>is still a</w:t>
      </w:r>
      <w:r>
        <w:rPr>
          <w:spacing w:val="1"/>
        </w:rPr>
        <w:t> </w:t>
      </w:r>
      <w:r>
        <w:rPr/>
        <w:t>major</w:t>
      </w:r>
      <w:r>
        <w:rPr>
          <w:spacing w:val="60"/>
        </w:rPr>
        <w:t> </w:t>
      </w:r>
      <w:r>
        <w:rPr/>
        <w:t>threat to</w:t>
      </w:r>
      <w:r>
        <w:rPr>
          <w:spacing w:val="1"/>
        </w:rPr>
        <w:t> </w:t>
      </w:r>
      <w:r>
        <w:rPr/>
        <w:t>public health (WHO, 2016). One of the major hurdles to control malaria is resistance of</w:t>
      </w:r>
      <w:r>
        <w:rPr>
          <w:spacing w:val="1"/>
        </w:rPr>
        <w:t> </w:t>
      </w:r>
      <w:r>
        <w:rPr/>
        <w:t>malaria parasites to most of the commonly used antimalarials. Today, artemisinins and</w:t>
      </w:r>
      <w:r>
        <w:rPr>
          <w:spacing w:val="1"/>
        </w:rPr>
        <w:t> </w:t>
      </w:r>
      <w:r>
        <w:rPr/>
        <w:t>Artemisinin</w:t>
      </w:r>
      <w:r>
        <w:rPr>
          <w:spacing w:val="1"/>
        </w:rPr>
        <w:t> </w:t>
      </w:r>
      <w:r>
        <w:rPr/>
        <w:t>Combination</w:t>
      </w:r>
      <w:r>
        <w:rPr>
          <w:spacing w:val="1"/>
        </w:rPr>
        <w:t> </w:t>
      </w:r>
      <w:r>
        <w:rPr/>
        <w:t>Therapy</w:t>
      </w:r>
      <w:r>
        <w:rPr>
          <w:spacing w:val="1"/>
        </w:rPr>
        <w:t> </w:t>
      </w:r>
      <w:r>
        <w:rPr/>
        <w:t>(ACTs)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drugs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cure</w:t>
      </w:r>
      <w:r>
        <w:rPr>
          <w:spacing w:val="1"/>
        </w:rPr>
        <w:t> </w:t>
      </w:r>
      <w:r>
        <w:rPr/>
        <w:t>chloroquine-</w:t>
      </w:r>
      <w:r>
        <w:rPr>
          <w:spacing w:val="1"/>
        </w:rPr>
        <w:t> </w:t>
      </w:r>
      <w:r>
        <w:rPr/>
        <w:t>resistant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>
          <w:i/>
          <w:spacing w:val="1"/>
        </w:rPr>
        <w:t> </w:t>
      </w:r>
      <w:r>
        <w:rPr/>
        <w:t>infections.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reported</w:t>
      </w:r>
      <w:r>
        <w:rPr>
          <w:spacing w:val="61"/>
        </w:rPr>
        <w:t> </w:t>
      </w:r>
      <w:r>
        <w:rPr/>
        <w:t>decrease</w:t>
      </w:r>
      <w:r>
        <w:rPr>
          <w:spacing w:val="-57"/>
        </w:rPr>
        <w:t> </w:t>
      </w:r>
      <w:r>
        <w:rPr/>
        <w:t>sensitivity of the ACTs in some partsof Asia (WHO, 2016). In fact, ACTs resistance to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/>
        <w:t>is</w:t>
      </w:r>
      <w:r>
        <w:rPr>
          <w:spacing w:val="1"/>
        </w:rPr>
        <w:t> </w:t>
      </w:r>
      <w:r>
        <w:rPr/>
        <w:t>spreading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rapidly</w:t>
      </w:r>
      <w:r>
        <w:rPr>
          <w:spacing w:val="1"/>
        </w:rPr>
        <w:t> </w:t>
      </w:r>
      <w:r>
        <w:rPr/>
        <w:t>(Ashley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2014).</w:t>
      </w:r>
      <w:r>
        <w:rPr>
          <w:spacing w:val="1"/>
        </w:rPr>
        <w:t> </w:t>
      </w:r>
      <w:r>
        <w:rPr/>
        <w:t>Hence,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antimalarials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novel</w:t>
      </w:r>
      <w:r>
        <w:rPr>
          <w:spacing w:val="-4"/>
        </w:rPr>
        <w:t> </w:t>
      </w:r>
      <w:r>
        <w:rPr/>
        <w:t>targets</w:t>
      </w:r>
      <w:r>
        <w:rPr>
          <w:spacing w:val="-1"/>
        </w:rPr>
        <w:t> </w:t>
      </w:r>
      <w:r>
        <w:rPr/>
        <w:t>are urgently</w:t>
      </w:r>
      <w:r>
        <w:rPr>
          <w:spacing w:val="-4"/>
        </w:rPr>
        <w:t> </w:t>
      </w:r>
      <w:r>
        <w:rPr/>
        <w:t>needed</w:t>
      </w:r>
      <w:r>
        <w:rPr>
          <w:spacing w:val="-4"/>
        </w:rPr>
        <w:t> </w:t>
      </w:r>
      <w:r>
        <w:rPr/>
        <w:t>to</w:t>
      </w:r>
      <w:r>
        <w:rPr>
          <w:spacing w:val="6"/>
        </w:rPr>
        <w:t> </w:t>
      </w:r>
      <w:r>
        <w:rPr/>
        <w:t>combat</w:t>
      </w:r>
      <w:r>
        <w:rPr>
          <w:spacing w:val="1"/>
        </w:rPr>
        <w:t> </w:t>
      </w:r>
      <w:r>
        <w:rPr/>
        <w:t>the disease.</w:t>
      </w:r>
    </w:p>
    <w:p>
      <w:pPr>
        <w:pStyle w:val="BodyText"/>
        <w:spacing w:line="480" w:lineRule="auto" w:before="199"/>
        <w:ind w:left="312" w:right="690"/>
        <w:jc w:val="both"/>
      </w:pPr>
      <w:r>
        <w:rPr/>
        <w:t>Inspite the biochemical characterization of proteases as an attractive and potential drug</w:t>
      </w:r>
      <w:r>
        <w:rPr>
          <w:spacing w:val="1"/>
        </w:rPr>
        <w:t> </w:t>
      </w:r>
      <w:r>
        <w:rPr/>
        <w:t>target, no drug has yet been clinically approved (Teixeira </w:t>
      </w:r>
      <w:r>
        <w:rPr>
          <w:i/>
        </w:rPr>
        <w:t>et al.</w:t>
      </w:r>
      <w:r>
        <w:rPr/>
        <w:t>,2011; McGillewie and</w:t>
      </w:r>
      <w:r>
        <w:rPr>
          <w:spacing w:val="1"/>
        </w:rPr>
        <w:t> </w:t>
      </w:r>
      <w:r>
        <w:rPr/>
        <w:t>Soliman,</w:t>
      </w:r>
      <w:r>
        <w:rPr>
          <w:spacing w:val="1"/>
        </w:rPr>
        <w:t> </w:t>
      </w:r>
      <w:r>
        <w:rPr/>
        <w:t>2015).</w:t>
      </w:r>
      <w:r>
        <w:rPr>
          <w:spacing w:val="1"/>
        </w:rPr>
        <w:t> </w:t>
      </w:r>
      <w:r>
        <w:rPr/>
        <w:t>Many potent</w:t>
      </w:r>
      <w:r>
        <w:rPr>
          <w:spacing w:val="1"/>
        </w:rPr>
        <w:t> </w:t>
      </w:r>
      <w:r>
        <w:rPr/>
        <w:t>peptidyl protease</w:t>
      </w:r>
      <w:r>
        <w:rPr>
          <w:spacing w:val="1"/>
        </w:rPr>
        <w:t> </w:t>
      </w:r>
      <w:r>
        <w:rPr/>
        <w:t>inhibitors were</w:t>
      </w:r>
      <w:r>
        <w:rPr>
          <w:spacing w:val="1"/>
        </w:rPr>
        <w:t> </w:t>
      </w:r>
      <w:r>
        <w:rPr/>
        <w:t>discovered,</w:t>
      </w:r>
      <w:r>
        <w:rPr>
          <w:spacing w:val="1"/>
        </w:rPr>
        <w:t> </w:t>
      </w:r>
      <w:r>
        <w:rPr/>
        <w:t>but,</w:t>
      </w:r>
      <w:r>
        <w:rPr>
          <w:spacing w:val="60"/>
        </w:rPr>
        <w:t> </w:t>
      </w:r>
      <w:r>
        <w:rPr/>
        <w:t>their</w:t>
      </w:r>
      <w:r>
        <w:rPr>
          <w:spacing w:val="1"/>
        </w:rPr>
        <w:t> </w:t>
      </w:r>
      <w:r>
        <w:rPr/>
        <w:t>utility as therapeutic agents is limited by their susceptibility to proteolytic degradation and</w:t>
      </w:r>
      <w:r>
        <w:rPr>
          <w:spacing w:val="1"/>
        </w:rPr>
        <w:t> </w:t>
      </w:r>
      <w:r>
        <w:rPr/>
        <w:t>poor absorption through cell membranes (Ettari </w:t>
      </w:r>
      <w:r>
        <w:rPr>
          <w:i/>
        </w:rPr>
        <w:t>et al., </w:t>
      </w:r>
      <w:r>
        <w:rPr/>
        <w:t>2010). Thus, the search for small</w:t>
      </w:r>
      <w:r>
        <w:rPr>
          <w:spacing w:val="1"/>
        </w:rPr>
        <w:t> </w:t>
      </w:r>
      <w:r>
        <w:rPr/>
        <w:t>molecule</w:t>
      </w:r>
      <w:r>
        <w:rPr>
          <w:spacing w:val="5"/>
        </w:rPr>
        <w:t> </w:t>
      </w:r>
      <w:r>
        <w:rPr/>
        <w:t>non-peptide</w:t>
      </w:r>
      <w:r>
        <w:rPr>
          <w:spacing w:val="6"/>
        </w:rPr>
        <w:t> </w:t>
      </w:r>
      <w:r>
        <w:rPr/>
        <w:t>inhibitors</w:t>
      </w:r>
      <w:r>
        <w:rPr>
          <w:spacing w:val="-1"/>
        </w:rPr>
        <w:t> </w:t>
      </w:r>
      <w:r>
        <w:rPr/>
        <w:t>continues.</w:t>
      </w:r>
    </w:p>
    <w:p>
      <w:pPr>
        <w:pStyle w:val="BodyText"/>
        <w:spacing w:line="480" w:lineRule="auto" w:before="203"/>
        <w:ind w:left="312" w:right="693"/>
        <w:jc w:val="both"/>
      </w:pPr>
      <w:r>
        <w:rPr/>
        <w:t>Obviously, since functional redundancy exists among the various </w:t>
      </w:r>
      <w:r>
        <w:rPr>
          <w:i/>
        </w:rPr>
        <w:t>Plasmodial </w:t>
      </w:r>
      <w:r>
        <w:rPr/>
        <w:t>proteases,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needs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targeted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enzyme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proved</w:t>
      </w:r>
      <w:r>
        <w:rPr>
          <w:spacing w:val="1"/>
        </w:rPr>
        <w:t> </w:t>
      </w:r>
      <w:r>
        <w:rPr/>
        <w:t>dual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falcipains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plasmepsins is necessary for lethal inhibition to the parasites (Liu </w:t>
      </w:r>
      <w:r>
        <w:rPr>
          <w:i/>
        </w:rPr>
        <w:t>et al., </w:t>
      </w:r>
      <w:r>
        <w:rPr/>
        <w:t>2006; de Oliveira</w:t>
      </w:r>
      <w:r>
        <w:rPr>
          <w:spacing w:val="1"/>
        </w:rPr>
        <w:t> </w:t>
      </w:r>
      <w:r>
        <w:rPr>
          <w:i/>
        </w:rPr>
        <w:t>et al.,</w:t>
      </w:r>
      <w:r>
        <w:rPr/>
        <w:t>2013). Many efforts to computationally study interactions between the inhibitors and</w:t>
      </w:r>
      <w:r>
        <w:rPr>
          <w:spacing w:val="-57"/>
        </w:rPr>
        <w:t> </w:t>
      </w:r>
      <w:r>
        <w:rPr/>
        <w:t>different proteases are made, using various </w:t>
      </w:r>
      <w:r>
        <w:rPr>
          <w:i/>
        </w:rPr>
        <w:t>insilico </w:t>
      </w:r>
      <w:r>
        <w:rPr/>
        <w:t>methods (McGillewie and Soliman,</w:t>
      </w:r>
      <w:r>
        <w:rPr>
          <w:spacing w:val="1"/>
        </w:rPr>
        <w:t> </w:t>
      </w:r>
      <w:r>
        <w:rPr/>
        <w:t>2015; Musyoka </w:t>
      </w:r>
      <w:r>
        <w:rPr>
          <w:i/>
        </w:rPr>
        <w:t>et al., </w:t>
      </w:r>
      <w:r>
        <w:rPr/>
        <w:t>2016). However, there are limited studies on computational analysis</w:t>
      </w:r>
      <w:r>
        <w:rPr>
          <w:spacing w:val="-57"/>
        </w:rPr>
        <w:t> </w:t>
      </w:r>
      <w:r>
        <w:rPr/>
        <w:t>targeting</w:t>
      </w:r>
      <w:r>
        <w:rPr>
          <w:spacing w:val="1"/>
        </w:rPr>
        <w:t> </w:t>
      </w:r>
      <w:r>
        <w:rPr/>
        <w:t>dual</w:t>
      </w:r>
      <w:r>
        <w:rPr>
          <w:spacing w:val="-3"/>
        </w:rPr>
        <w:t> </w:t>
      </w:r>
      <w:r>
        <w:rPr/>
        <w:t>inhibition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different</w:t>
      </w:r>
      <w:r>
        <w:rPr>
          <w:spacing w:val="7"/>
        </w:rPr>
        <w:t> </w:t>
      </w:r>
      <w:r>
        <w:rPr/>
        <w:t>proteases.</w:t>
      </w:r>
    </w:p>
    <w:p>
      <w:pPr>
        <w:spacing w:after="0" w:line="480" w:lineRule="auto"/>
        <w:jc w:val="both"/>
        <w:sectPr>
          <w:headerReference w:type="default" r:id="rId57"/>
          <w:footerReference w:type="default" r:id="rId58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1"/>
          <w:numId w:val="7"/>
        </w:numPr>
        <w:tabs>
          <w:tab w:pos="3583" w:val="left" w:leader="none"/>
        </w:tabs>
        <w:spacing w:line="240" w:lineRule="auto" w:before="74" w:after="0"/>
        <w:ind w:left="3582" w:right="0" w:hanging="365"/>
        <w:jc w:val="both"/>
      </w:pPr>
      <w:bookmarkStart w:name="_TOC_250084" w:id="9"/>
      <w:r>
        <w:rPr/>
        <w:t>Justification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bookmarkEnd w:id="9"/>
      <w:r>
        <w:rPr/>
        <w:t>Study</w:t>
      </w:r>
    </w:p>
    <w:p>
      <w:pPr>
        <w:pStyle w:val="BodyText"/>
        <w:spacing w:line="480" w:lineRule="auto" w:before="195"/>
        <w:ind w:left="312" w:right="686"/>
        <w:jc w:val="both"/>
      </w:pPr>
      <w:r>
        <w:rPr/>
        <w:t>Malaria</w:t>
      </w:r>
      <w:r>
        <w:rPr>
          <w:spacing w:val="1"/>
        </w:rPr>
        <w:t> </w:t>
      </w:r>
      <w:r>
        <w:rPr/>
        <w:t>remains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tropical</w:t>
      </w:r>
      <w:r>
        <w:rPr>
          <w:spacing w:val="1"/>
        </w:rPr>
        <w:t> </w:t>
      </w:r>
      <w:r>
        <w:rPr/>
        <w:t>parasitic</w:t>
      </w:r>
      <w:r>
        <w:rPr>
          <w:spacing w:val="1"/>
        </w:rPr>
        <w:t> </w:t>
      </w:r>
      <w:r>
        <w:rPr/>
        <w:t>diseases,</w:t>
      </w:r>
      <w:r>
        <w:rPr>
          <w:spacing w:val="1"/>
        </w:rPr>
        <w:t> </w:t>
      </w:r>
      <w:r>
        <w:rPr/>
        <w:t>causing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suffering and loss of life. Nigeria suffers the world greatest burden with 97% of the total</w:t>
      </w:r>
      <w:r>
        <w:rPr>
          <w:spacing w:val="1"/>
        </w:rPr>
        <w:t> </w:t>
      </w:r>
      <w:r>
        <w:rPr/>
        <w:t>population, at risk which resulted in 192,284 deaths in 2015 (WHO, 2016). The disease</w:t>
      </w:r>
      <w:r>
        <w:rPr>
          <w:spacing w:val="1"/>
        </w:rPr>
        <w:t> </w:t>
      </w:r>
      <w:r>
        <w:rPr/>
        <w:t>remains a major cause of death in Nigeria followed by diarrhea and HIV/AIDS(Adedotun</w:t>
      </w:r>
      <w:r>
        <w:rPr>
          <w:spacing w:val="1"/>
        </w:rPr>
        <w:t> </w:t>
      </w:r>
      <w:r>
        <w:rPr>
          <w:i/>
        </w:rPr>
        <w:t>et al.</w:t>
      </w:r>
      <w:r>
        <w:rPr/>
        <w:t>, 2010). Study has shown that children underfive years of age have an average of 2-4</w:t>
      </w:r>
      <w:r>
        <w:rPr>
          <w:spacing w:val="1"/>
        </w:rPr>
        <w:t> </w:t>
      </w:r>
      <w:r>
        <w:rPr/>
        <w:t>attacks of malaria annually (Adedotun </w:t>
      </w:r>
      <w:r>
        <w:rPr>
          <w:i/>
        </w:rPr>
        <w:t>et al.</w:t>
      </w:r>
      <w:r>
        <w:rPr/>
        <w:t>, 2010). The socio-economic impact of malaria</w:t>
      </w:r>
      <w:r>
        <w:rPr>
          <w:spacing w:val="-57"/>
        </w:rPr>
        <w:t> </w:t>
      </w:r>
      <w:r>
        <w:rPr/>
        <w:t>on individual and the economy is enormous. Annually it costs Africa alone, $12 billion</w:t>
      </w:r>
      <w:r>
        <w:rPr>
          <w:spacing w:val="1"/>
        </w:rPr>
        <w:t> </w:t>
      </w:r>
      <w:r>
        <w:rPr/>
        <w:t>(WHO,</w:t>
      </w:r>
      <w:r>
        <w:rPr>
          <w:spacing w:val="3"/>
        </w:rPr>
        <w:t> </w:t>
      </w:r>
      <w:r>
        <w:rPr/>
        <w:t>2016).</w:t>
      </w:r>
    </w:p>
    <w:p>
      <w:pPr>
        <w:pStyle w:val="BodyText"/>
        <w:spacing w:line="480" w:lineRule="auto" w:before="203"/>
        <w:ind w:left="312" w:right="688"/>
        <w:jc w:val="both"/>
      </w:pP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effort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combat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mortality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morbidity</w:t>
      </w:r>
      <w:r>
        <w:rPr>
          <w:spacing w:val="1"/>
        </w:rPr>
        <w:t> </w:t>
      </w:r>
      <w:r>
        <w:rPr/>
        <w:t>burdens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arising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development of resistance to the available antimalarials, scientists from many disciplines</w:t>
      </w:r>
      <w:r>
        <w:rPr>
          <w:spacing w:val="1"/>
        </w:rPr>
        <w:t> </w:t>
      </w:r>
      <w:r>
        <w:rPr/>
        <w:t>have</w:t>
      </w:r>
      <w:r>
        <w:rPr>
          <w:spacing w:val="60"/>
        </w:rPr>
        <w:t> </w:t>
      </w:r>
      <w:r>
        <w:rPr/>
        <w:t>initiated an extensive and comprehensive</w:t>
      </w:r>
      <w:r>
        <w:rPr>
          <w:spacing w:val="60"/>
        </w:rPr>
        <w:t> </w:t>
      </w:r>
      <w:r>
        <w:rPr/>
        <w:t>malaria vaccine development program.</w:t>
      </w:r>
      <w:r>
        <w:rPr>
          <w:spacing w:val="1"/>
        </w:rPr>
        <w:t> </w:t>
      </w:r>
      <w:r>
        <w:rPr/>
        <w:t>Yet, there is currently no</w:t>
      </w:r>
      <w:r>
        <w:rPr>
          <w:spacing w:val="1"/>
        </w:rPr>
        <w:t> </w:t>
      </w:r>
      <w:r>
        <w:rPr/>
        <w:t>licensed vaccine against</w:t>
      </w:r>
      <w:r>
        <w:rPr>
          <w:spacing w:val="1"/>
        </w:rPr>
        <w:t> </w:t>
      </w:r>
      <w:r>
        <w:rPr/>
        <w:t>malaria. The vaccine Mosquirix</w:t>
      </w:r>
      <w:r>
        <w:rPr>
          <w:vertAlign w:val="superscript"/>
        </w:rPr>
        <w:t>TM</w:t>
      </w:r>
      <w:r>
        <w:rPr>
          <w:spacing w:val="1"/>
          <w:vertAlign w:val="baseline"/>
        </w:rPr>
        <w:t> </w:t>
      </w:r>
      <w:r>
        <w:rPr>
          <w:vertAlign w:val="baseline"/>
        </w:rPr>
        <w:t>(RTS,S/AS01)</w:t>
      </w:r>
      <w:r>
        <w:rPr>
          <w:spacing w:val="1"/>
          <w:vertAlign w:val="baseline"/>
        </w:rPr>
        <w:t> </w:t>
      </w:r>
      <w:r>
        <w:rPr>
          <w:vertAlign w:val="baseline"/>
        </w:rPr>
        <w:t>developed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GlaxoSmithKline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partnership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PATH</w:t>
      </w:r>
      <w:r>
        <w:rPr>
          <w:spacing w:val="60"/>
          <w:vertAlign w:val="baseline"/>
        </w:rPr>
        <w:t> </w:t>
      </w:r>
      <w:r>
        <w:rPr>
          <w:vertAlign w:val="baseline"/>
        </w:rPr>
        <w:t>malaria</w:t>
      </w:r>
      <w:r>
        <w:rPr>
          <w:spacing w:val="1"/>
          <w:vertAlign w:val="baseline"/>
        </w:rPr>
        <w:t> </w:t>
      </w:r>
      <w:r>
        <w:rPr>
          <w:vertAlign w:val="baseline"/>
        </w:rPr>
        <w:t>initiative has been found to be associated with cases of meningitis, seizures and, reduction</w:t>
      </w:r>
      <w:r>
        <w:rPr>
          <w:spacing w:val="1"/>
          <w:vertAlign w:val="baseline"/>
        </w:rPr>
        <w:t> </w:t>
      </w:r>
      <w:r>
        <w:rPr>
          <w:vertAlign w:val="baseline"/>
        </w:rPr>
        <w:t>in efficacy over time (Lell </w:t>
      </w:r>
      <w:r>
        <w:rPr>
          <w:i/>
          <w:vertAlign w:val="baseline"/>
        </w:rPr>
        <w:t>et al.</w:t>
      </w:r>
      <w:r>
        <w:rPr>
          <w:vertAlign w:val="baseline"/>
        </w:rPr>
        <w:t>, 2009). Moreover, vaccine alone cannot replace the core</w:t>
      </w:r>
      <w:r>
        <w:rPr>
          <w:spacing w:val="1"/>
          <w:vertAlign w:val="baseline"/>
        </w:rPr>
        <w:t> </w:t>
      </w:r>
      <w:r>
        <w:rPr>
          <w:vertAlign w:val="baseline"/>
        </w:rPr>
        <w:t>package of WHO-recommended preventive and treatment measures (WHO, 2017). This</w:t>
      </w:r>
      <w:r>
        <w:rPr>
          <w:spacing w:val="1"/>
          <w:vertAlign w:val="baseline"/>
        </w:rPr>
        <w:t> </w:t>
      </w:r>
      <w:r>
        <w:rPr>
          <w:vertAlign w:val="baseline"/>
        </w:rPr>
        <w:t>suggests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-4"/>
          <w:vertAlign w:val="baseline"/>
        </w:rPr>
        <w:t> </w:t>
      </w:r>
      <w:r>
        <w:rPr>
          <w:vertAlign w:val="baseline"/>
        </w:rPr>
        <w:t>there</w:t>
      </w:r>
      <w:r>
        <w:rPr>
          <w:spacing w:val="4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still</w:t>
      </w:r>
      <w:r>
        <w:rPr>
          <w:spacing w:val="-5"/>
          <w:vertAlign w:val="baseline"/>
        </w:rPr>
        <w:t> </w:t>
      </w:r>
      <w:r>
        <w:rPr>
          <w:vertAlign w:val="baseline"/>
        </w:rPr>
        <w:t>need to search for newer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4"/>
          <w:vertAlign w:val="baseline"/>
        </w:rPr>
        <w:t> </w:t>
      </w:r>
      <w:r>
        <w:rPr>
          <w:vertAlign w:val="baseline"/>
        </w:rPr>
        <w:t>more</w:t>
      </w:r>
      <w:r>
        <w:rPr>
          <w:spacing w:val="-2"/>
          <w:vertAlign w:val="baseline"/>
        </w:rPr>
        <w:t> </w:t>
      </w:r>
      <w:r>
        <w:rPr>
          <w:vertAlign w:val="baseline"/>
        </w:rPr>
        <w:t>effective</w:t>
      </w:r>
      <w:r>
        <w:rPr>
          <w:spacing w:val="-1"/>
          <w:vertAlign w:val="baseline"/>
        </w:rPr>
        <w:t> </w:t>
      </w:r>
      <w:r>
        <w:rPr>
          <w:vertAlign w:val="baseline"/>
        </w:rPr>
        <w:t>antimalarials.</w:t>
      </w:r>
    </w:p>
    <w:p>
      <w:pPr>
        <w:pStyle w:val="BodyText"/>
        <w:spacing w:line="480" w:lineRule="auto" w:before="199"/>
        <w:ind w:left="312" w:right="690"/>
        <w:jc w:val="both"/>
      </w:pPr>
      <w:r>
        <w:rPr/>
        <w:t>The</w:t>
      </w:r>
      <w:r>
        <w:rPr>
          <w:spacing w:val="1"/>
        </w:rPr>
        <w:t> </w:t>
      </w:r>
      <w:r>
        <w:rPr/>
        <w:t>antimalarial potential of the</w:t>
      </w:r>
      <w:r>
        <w:rPr>
          <w:spacing w:val="1"/>
        </w:rPr>
        <w:t> </w:t>
      </w:r>
      <w:r>
        <w:rPr/>
        <w:t>chalcones,their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structure,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cost</w:t>
      </w:r>
      <w:r>
        <w:rPr>
          <w:spacing w:val="1"/>
        </w:rPr>
        <w:t> </w:t>
      </w:r>
      <w:r>
        <w:rPr/>
        <w:t>synthesis,</w:t>
      </w:r>
      <w:r>
        <w:rPr>
          <w:spacing w:val="1"/>
        </w:rPr>
        <w:t> </w:t>
      </w:r>
      <w:r>
        <w:rPr/>
        <w:t>minimal host toxicity and ease of availability presents them as excellent alternative drug</w:t>
      </w:r>
      <w:r>
        <w:rPr>
          <w:spacing w:val="1"/>
        </w:rPr>
        <w:t> </w:t>
      </w:r>
      <w:r>
        <w:rPr/>
        <w:t>candidates for malaria (Gallup and Sachs, 2001; Sinha </w:t>
      </w:r>
      <w:r>
        <w:rPr>
          <w:i/>
        </w:rPr>
        <w:t>et al., </w:t>
      </w:r>
      <w:r>
        <w:rPr/>
        <w:t>2013). Chalcone template</w:t>
      </w:r>
      <w:r>
        <w:rPr>
          <w:spacing w:val="1"/>
        </w:rPr>
        <w:t> </w:t>
      </w:r>
      <w:r>
        <w:rPr/>
        <w:t>structures have been studied and shown to exhibit activity but, structural refinement and</w:t>
      </w:r>
      <w:r>
        <w:rPr>
          <w:spacing w:val="1"/>
        </w:rPr>
        <w:t> </w:t>
      </w:r>
      <w:r>
        <w:rPr/>
        <w:t>optimization is needed to make a viable potent drug candidate. This is limited by uncertain</w:t>
      </w:r>
      <w:r>
        <w:rPr>
          <w:spacing w:val="-57"/>
        </w:rPr>
        <w:t> </w:t>
      </w:r>
      <w:r>
        <w:rPr/>
        <w:t>SAR</w:t>
      </w:r>
      <w:r>
        <w:rPr>
          <w:spacing w:val="12"/>
        </w:rPr>
        <w:t> </w:t>
      </w:r>
      <w:r>
        <w:rPr/>
        <w:t>analysis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realization</w:t>
      </w:r>
      <w:r>
        <w:rPr>
          <w:spacing w:val="3"/>
        </w:rPr>
        <w:t> </w:t>
      </w:r>
      <w:r>
        <w:rPr/>
        <w:t>of</w:t>
      </w:r>
      <w:r>
        <w:rPr>
          <w:spacing w:val="59"/>
        </w:rPr>
        <w:t> </w:t>
      </w:r>
      <w:r>
        <w:rPr/>
        <w:t>other</w:t>
      </w:r>
      <w:r>
        <w:rPr>
          <w:spacing w:val="14"/>
        </w:rPr>
        <w:t> </w:t>
      </w:r>
      <w:r>
        <w:rPr/>
        <w:t>mechanistic</w:t>
      </w:r>
      <w:r>
        <w:rPr>
          <w:spacing w:val="11"/>
        </w:rPr>
        <w:t> </w:t>
      </w:r>
      <w:r>
        <w:rPr/>
        <w:t>pathways</w:t>
      </w:r>
      <w:r>
        <w:rPr>
          <w:spacing w:val="10"/>
        </w:rPr>
        <w:t> </w:t>
      </w:r>
      <w:r>
        <w:rPr/>
        <w:t>different</w:t>
      </w:r>
      <w:r>
        <w:rPr>
          <w:spacing w:val="18"/>
        </w:rPr>
        <w:t> </w:t>
      </w:r>
      <w:r>
        <w:rPr/>
        <w:t>from</w:t>
      </w:r>
      <w:r>
        <w:rPr>
          <w:spacing w:val="58"/>
        </w:rPr>
        <w:t> </w:t>
      </w:r>
      <w:r>
        <w:rPr/>
        <w:t>protease</w:t>
      </w:r>
    </w:p>
    <w:p>
      <w:pPr>
        <w:spacing w:after="0" w:line="480" w:lineRule="auto"/>
        <w:jc w:val="both"/>
        <w:sectPr>
          <w:headerReference w:type="default" r:id="rId59"/>
          <w:footerReference w:type="default" r:id="rId6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0"/>
        <w:jc w:val="both"/>
      </w:pPr>
      <w:r>
        <w:rPr/>
        <w:t>inhibition.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derivatives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until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true</w:t>
      </w:r>
      <w:r>
        <w:rPr>
          <w:spacing w:val="1"/>
        </w:rPr>
        <w:t> </w:t>
      </w:r>
      <w:r>
        <w:rPr/>
        <w:t>SAR</w:t>
      </w:r>
      <w:r>
        <w:rPr>
          <w:spacing w:val="60"/>
        </w:rPr>
        <w:t> </w:t>
      </w:r>
      <w:r>
        <w:rPr/>
        <w:t>is</w:t>
      </w:r>
      <w:r>
        <w:rPr>
          <w:spacing w:val="1"/>
        </w:rPr>
        <w:t> </w:t>
      </w:r>
      <w:r>
        <w:rPr/>
        <w:t>established.</w:t>
      </w:r>
    </w:p>
    <w:p>
      <w:pPr>
        <w:pStyle w:val="BodyText"/>
        <w:spacing w:line="480" w:lineRule="auto" w:before="202"/>
        <w:ind w:left="312" w:right="693"/>
        <w:jc w:val="both"/>
      </w:pPr>
      <w:r>
        <w:rPr/>
        <w:t>The drug design and discovery process are highly laborious and costly both in terms of</w:t>
      </w:r>
      <w:r>
        <w:rPr>
          <w:spacing w:val="1"/>
        </w:rPr>
        <w:t> </w:t>
      </w:r>
      <w:r>
        <w:rPr/>
        <w:t>resources and time. However, computational studies in drug design and discovery have the</w:t>
      </w:r>
      <w:r>
        <w:rPr>
          <w:spacing w:val="-57"/>
        </w:rPr>
        <w:t> </w:t>
      </w:r>
      <w:r>
        <w:rPr/>
        <w:t>advantage of being faster and far less expensive, in addition to saving lives of animals</w:t>
      </w:r>
      <w:r>
        <w:rPr>
          <w:spacing w:val="1"/>
        </w:rPr>
        <w:t> </w:t>
      </w:r>
      <w:r>
        <w:rPr/>
        <w:t>compared to standard high thorough put screening (HTS). Computational methods provide</w:t>
      </w:r>
      <w:r>
        <w:rPr>
          <w:spacing w:val="-57"/>
        </w:rPr>
        <w:t> </w:t>
      </w:r>
      <w:r>
        <w:rPr/>
        <w:t>a powerful complement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HTS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by combining</w:t>
      </w:r>
      <w:r>
        <w:rPr>
          <w:spacing w:val="1"/>
        </w:rPr>
        <w:t> </w:t>
      </w:r>
      <w:r>
        <w:rPr/>
        <w:t>chemical screening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computational tools, lead discovery and optimization can be made significantly faster and</w:t>
      </w:r>
      <w:r>
        <w:rPr>
          <w:spacing w:val="1"/>
        </w:rPr>
        <w:t> </w:t>
      </w:r>
      <w:r>
        <w:rPr/>
        <w:t>effective.</w:t>
      </w:r>
      <w:r>
        <w:rPr>
          <w:spacing w:val="1"/>
        </w:rPr>
        <w:t> </w:t>
      </w:r>
      <w:r>
        <w:rPr/>
        <w:t>A number of successful examples exist</w:t>
      </w:r>
      <w:r>
        <w:rPr>
          <w:spacing w:val="60"/>
        </w:rPr>
        <w:t> </w:t>
      </w:r>
      <w:r>
        <w:rPr/>
        <w:t>where computational chemistry has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contributions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discovery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optimization</w:t>
      </w:r>
      <w:r>
        <w:rPr>
          <w:spacing w:val="1"/>
        </w:rPr>
        <w:t> </w:t>
      </w:r>
      <w:r>
        <w:rPr/>
        <w:t>(Teixeira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5"/>
        </w:rPr>
        <w:t> </w:t>
      </w:r>
      <w:r>
        <w:rPr/>
        <w:t>2011).</w:t>
      </w:r>
    </w:p>
    <w:p>
      <w:pPr>
        <w:pStyle w:val="Heading1"/>
        <w:numPr>
          <w:ilvl w:val="1"/>
          <w:numId w:val="7"/>
        </w:numPr>
        <w:tabs>
          <w:tab w:pos="3204" w:val="left" w:leader="none"/>
        </w:tabs>
        <w:spacing w:line="240" w:lineRule="auto" w:before="203" w:after="0"/>
        <w:ind w:left="3203" w:right="0" w:hanging="366"/>
        <w:jc w:val="both"/>
      </w:pPr>
      <w:bookmarkStart w:name="_TOC_250083" w:id="10"/>
      <w:r>
        <w:rPr/>
        <w:t>Aim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Objectives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bookmarkEnd w:id="10"/>
      <w:r>
        <w:rPr/>
        <w:t>the Study</w:t>
      </w:r>
    </w:p>
    <w:p>
      <w:pPr>
        <w:pStyle w:val="BodyText"/>
        <w:spacing w:line="480" w:lineRule="auto" w:before="195"/>
        <w:ind w:left="312" w:right="699"/>
        <w:jc w:val="both"/>
      </w:pPr>
      <w:r>
        <w:rPr/>
        <w:t>The aim of the study was to design, synthesize and, evaluate antimalarial activity of some</w:t>
      </w:r>
      <w:r>
        <w:rPr>
          <w:spacing w:val="1"/>
        </w:rPr>
        <w:t> </w:t>
      </w:r>
      <w:r>
        <w:rPr/>
        <w:t>chalcone</w:t>
      </w:r>
      <w:r>
        <w:rPr>
          <w:spacing w:val="-1"/>
        </w:rPr>
        <w:t> </w:t>
      </w:r>
      <w:r>
        <w:rPr/>
        <w:t>derivatives</w:t>
      </w:r>
      <w:r>
        <w:rPr>
          <w:spacing w:val="-2"/>
        </w:rPr>
        <w:t> </w:t>
      </w:r>
      <w:r>
        <w:rPr/>
        <w:t>and</w:t>
      </w:r>
      <w:r>
        <w:rPr>
          <w:spacing w:val="3"/>
        </w:rPr>
        <w:t> </w:t>
      </w:r>
      <w:r>
        <w:rPr/>
        <w:t>explores</w:t>
      </w:r>
      <w:r>
        <w:rPr>
          <w:spacing w:val="-2"/>
        </w:rPr>
        <w:t> </w:t>
      </w:r>
      <w:r>
        <w:rPr/>
        <w:t>their</w:t>
      </w:r>
      <w:r>
        <w:rPr>
          <w:spacing w:val="3"/>
        </w:rPr>
        <w:t> </w:t>
      </w:r>
      <w:r>
        <w:rPr/>
        <w:t>optimization</w:t>
      </w:r>
      <w:r>
        <w:rPr>
          <w:spacing w:val="-2"/>
        </w:rPr>
        <w:t> </w:t>
      </w:r>
      <w:r>
        <w:rPr/>
        <w:t>through</w:t>
      </w:r>
      <w:r>
        <w:rPr>
          <w:spacing w:val="-5"/>
        </w:rPr>
        <w:t> </w:t>
      </w:r>
      <w:r>
        <w:rPr/>
        <w:t>computationalstudies</w:t>
      </w:r>
    </w:p>
    <w:p>
      <w:pPr>
        <w:pStyle w:val="BodyText"/>
        <w:spacing w:before="202"/>
        <w:ind w:left="312"/>
        <w:jc w:val="both"/>
      </w:pPr>
      <w:r>
        <w:rPr/>
        <w:t>To achieve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aim,</w:t>
      </w:r>
      <w:r>
        <w:rPr>
          <w:spacing w:val="3"/>
        </w:rPr>
        <w:t> </w:t>
      </w:r>
      <w:r>
        <w:rPr/>
        <w:t>the</w:t>
      </w:r>
      <w:r>
        <w:rPr>
          <w:spacing w:val="-1"/>
        </w:rPr>
        <w:t> </w:t>
      </w:r>
      <w:r>
        <w:rPr/>
        <w:t>objectives</w:t>
      </w:r>
      <w:r>
        <w:rPr>
          <w:spacing w:val="-2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  <w:r>
        <w:rPr>
          <w:spacing w:val="-9"/>
        </w:rPr>
        <w:t> </w:t>
      </w:r>
      <w:r>
        <w:rPr/>
        <w:t>are;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6"/>
        </w:numPr>
        <w:tabs>
          <w:tab w:pos="1187" w:val="left" w:leader="none"/>
        </w:tabs>
        <w:spacing w:line="480" w:lineRule="auto" w:before="179" w:after="0"/>
        <w:ind w:left="1186" w:right="691" w:hanging="500"/>
        <w:jc w:val="both"/>
        <w:rPr>
          <w:sz w:val="24"/>
        </w:rPr>
      </w:pPr>
      <w:r>
        <w:rPr>
          <w:sz w:val="24"/>
        </w:rPr>
        <w:t>To design some substituted chalcones based on previous studies, synthesize and</w:t>
      </w:r>
      <w:r>
        <w:rPr>
          <w:spacing w:val="1"/>
          <w:sz w:val="24"/>
        </w:rPr>
        <w:t> </w:t>
      </w:r>
      <w:r>
        <w:rPr>
          <w:sz w:val="24"/>
        </w:rPr>
        <w:t>characterize them using melting point and various spectroscopic techniques (FT-</w:t>
      </w:r>
      <w:r>
        <w:rPr>
          <w:spacing w:val="1"/>
          <w:sz w:val="24"/>
        </w:rPr>
        <w:t> </w:t>
      </w:r>
      <w:r>
        <w:rPr>
          <w:sz w:val="24"/>
        </w:rPr>
        <w:t>IR,</w:t>
      </w:r>
      <w:r>
        <w:rPr>
          <w:spacing w:val="4"/>
          <w:sz w:val="24"/>
        </w:rPr>
        <w:t> </w:t>
      </w:r>
      <w:r>
        <w:rPr>
          <w:sz w:val="24"/>
          <w:vertAlign w:val="superscript"/>
        </w:rPr>
        <w:t>1</w:t>
      </w:r>
      <w:r>
        <w:rPr>
          <w:sz w:val="24"/>
          <w:vertAlign w:val="baseline"/>
        </w:rPr>
        <w:t>H,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superscript"/>
        </w:rPr>
        <w:t>13</w:t>
      </w:r>
      <w:r>
        <w:rPr>
          <w:sz w:val="24"/>
          <w:vertAlign w:val="baseline"/>
        </w:rPr>
        <w:t>C and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2D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NMR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and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Mass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spectrometry).</w:t>
      </w:r>
    </w:p>
    <w:p>
      <w:pPr>
        <w:pStyle w:val="ListParagraph"/>
        <w:numPr>
          <w:ilvl w:val="2"/>
          <w:numId w:val="6"/>
        </w:numPr>
        <w:tabs>
          <w:tab w:pos="1187" w:val="left" w:leader="none"/>
        </w:tabs>
        <w:spacing w:line="480" w:lineRule="auto" w:before="197" w:after="0"/>
        <w:ind w:left="1186" w:right="691" w:hanging="500"/>
        <w:jc w:val="both"/>
        <w:rPr>
          <w:sz w:val="24"/>
        </w:rPr>
      </w:pPr>
      <w:r>
        <w:rPr>
          <w:sz w:val="24"/>
        </w:rPr>
        <w:t>To evaluate the theoretical oral bioavailability of the designed</w:t>
      </w:r>
      <w:r>
        <w:rPr>
          <w:spacing w:val="60"/>
          <w:sz w:val="24"/>
        </w:rPr>
        <w:t> </w:t>
      </w:r>
      <w:r>
        <w:rPr>
          <w:sz w:val="24"/>
        </w:rPr>
        <w:t>chalcones</w:t>
      </w:r>
      <w:r>
        <w:rPr>
          <w:spacing w:val="60"/>
          <w:sz w:val="24"/>
        </w:rPr>
        <w:t> </w:t>
      </w:r>
      <w:r>
        <w:rPr>
          <w:sz w:val="24"/>
        </w:rPr>
        <w:t>based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Lipinski</w:t>
      </w:r>
      <w:r>
        <w:rPr>
          <w:spacing w:val="-4"/>
          <w:sz w:val="24"/>
        </w:rPr>
        <w:t> </w:t>
      </w:r>
      <w:r>
        <w:rPr>
          <w:sz w:val="24"/>
        </w:rPr>
        <w:t>‗s rule of</w:t>
      </w:r>
      <w:r>
        <w:rPr>
          <w:spacing w:val="1"/>
          <w:sz w:val="24"/>
        </w:rPr>
        <w:t> </w:t>
      </w:r>
      <w:r>
        <w:rPr>
          <w:sz w:val="24"/>
        </w:rPr>
        <w:t>five.</w:t>
      </w:r>
    </w:p>
    <w:p>
      <w:pPr>
        <w:pStyle w:val="ListParagraph"/>
        <w:numPr>
          <w:ilvl w:val="2"/>
          <w:numId w:val="6"/>
        </w:numPr>
        <w:tabs>
          <w:tab w:pos="1187" w:val="left" w:leader="none"/>
        </w:tabs>
        <w:spacing w:line="480" w:lineRule="auto" w:before="202" w:after="0"/>
        <w:ind w:left="1186" w:right="701" w:hanging="500"/>
        <w:jc w:val="both"/>
        <w:rPr>
          <w:sz w:val="24"/>
        </w:rPr>
      </w:pPr>
      <w:r>
        <w:rPr>
          <w:sz w:val="24"/>
        </w:rPr>
        <w:t>To screen them for </w:t>
      </w:r>
      <w:r>
        <w:rPr>
          <w:i/>
          <w:sz w:val="24"/>
        </w:rPr>
        <w:t>in vivo </w:t>
      </w:r>
      <w:r>
        <w:rPr>
          <w:sz w:val="24"/>
        </w:rPr>
        <w:t>antiplasmodial activity using curative model in mice</w:t>
      </w:r>
      <w:r>
        <w:rPr>
          <w:spacing w:val="1"/>
          <w:sz w:val="24"/>
        </w:rPr>
        <w:t> </w:t>
      </w:r>
      <w:r>
        <w:rPr>
          <w:sz w:val="24"/>
        </w:rPr>
        <w:t>infected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i/>
          <w:sz w:val="24"/>
        </w:rPr>
        <w:t>Plasmodiumberghei</w:t>
      </w:r>
      <w:r>
        <w:rPr>
          <w:sz w:val="24"/>
        </w:rPr>
        <w:t>.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61"/>
          <w:footerReference w:type="default" r:id="rId62"/>
          <w:pgSz w:w="11910" w:h="16840"/>
          <w:pgMar w:header="0" w:footer="878" w:top="1200" w:bottom="1060" w:left="1560" w:right="600"/>
        </w:sectPr>
      </w:pPr>
    </w:p>
    <w:p>
      <w:pPr>
        <w:pStyle w:val="ListParagraph"/>
        <w:numPr>
          <w:ilvl w:val="2"/>
          <w:numId w:val="6"/>
        </w:numPr>
        <w:tabs>
          <w:tab w:pos="1187" w:val="left" w:leader="none"/>
        </w:tabs>
        <w:spacing w:line="480" w:lineRule="auto" w:before="70" w:after="0"/>
        <w:ind w:left="1186" w:right="694" w:hanging="500"/>
        <w:jc w:val="both"/>
        <w:rPr>
          <w:sz w:val="24"/>
        </w:rPr>
      </w:pPr>
      <w:r>
        <w:rPr>
          <w:sz w:val="24"/>
        </w:rPr>
        <w:t>To carry out molecular docking studies using the crystal structure of two cysteine</w:t>
      </w:r>
      <w:r>
        <w:rPr>
          <w:spacing w:val="-57"/>
          <w:sz w:val="24"/>
        </w:rPr>
        <w:t> </w:t>
      </w:r>
      <w:r>
        <w:rPr>
          <w:sz w:val="24"/>
        </w:rPr>
        <w:t>and two aspartic proteases of </w:t>
      </w:r>
      <w:r>
        <w:rPr>
          <w:i/>
          <w:sz w:val="24"/>
        </w:rPr>
        <w:t>P. falciparum </w:t>
      </w:r>
      <w:r>
        <w:rPr>
          <w:sz w:val="24"/>
        </w:rPr>
        <w:t>and the synthesized chalcones. And</w:t>
      </w:r>
      <w:r>
        <w:rPr>
          <w:spacing w:val="1"/>
          <w:sz w:val="24"/>
        </w:rPr>
        <w:t> </w:t>
      </w:r>
      <w:r>
        <w:rPr>
          <w:sz w:val="24"/>
        </w:rPr>
        <w:t>further study the Chalcones with good binding affinity and broad spectrum of</w:t>
      </w:r>
      <w:r>
        <w:rPr>
          <w:spacing w:val="1"/>
          <w:sz w:val="24"/>
        </w:rPr>
        <w:t> </w:t>
      </w:r>
      <w:r>
        <w:rPr>
          <w:sz w:val="24"/>
        </w:rPr>
        <w:t>inhibition from</w:t>
      </w:r>
      <w:r>
        <w:rPr>
          <w:spacing w:val="-8"/>
          <w:sz w:val="24"/>
        </w:rPr>
        <w:t> </w:t>
      </w:r>
      <w:r>
        <w:rPr>
          <w:sz w:val="24"/>
        </w:rPr>
        <w:t>docking</w:t>
      </w:r>
      <w:r>
        <w:rPr>
          <w:spacing w:val="1"/>
          <w:sz w:val="24"/>
        </w:rPr>
        <w:t> </w:t>
      </w:r>
      <w:r>
        <w:rPr>
          <w:sz w:val="24"/>
        </w:rPr>
        <w:t>study</w:t>
      </w:r>
      <w:r>
        <w:rPr>
          <w:spacing w:val="-9"/>
          <w:sz w:val="24"/>
        </w:rPr>
        <w:t> </w:t>
      </w:r>
      <w:r>
        <w:rPr>
          <w:sz w:val="24"/>
        </w:rPr>
        <w:t>using</w:t>
      </w:r>
      <w:r>
        <w:rPr>
          <w:spacing w:val="5"/>
          <w:sz w:val="24"/>
        </w:rPr>
        <w:t> </w:t>
      </w:r>
      <w:r>
        <w:rPr>
          <w:sz w:val="24"/>
        </w:rPr>
        <w:t>molecular</w:t>
      </w:r>
      <w:r>
        <w:rPr>
          <w:spacing w:val="2"/>
          <w:sz w:val="24"/>
        </w:rPr>
        <w:t> </w:t>
      </w:r>
      <w:r>
        <w:rPr>
          <w:sz w:val="24"/>
        </w:rPr>
        <w:t>dynamic</w:t>
      </w:r>
      <w:r>
        <w:rPr>
          <w:spacing w:val="-1"/>
          <w:sz w:val="24"/>
        </w:rPr>
        <w:t> </w:t>
      </w:r>
      <w:r>
        <w:rPr>
          <w:sz w:val="24"/>
        </w:rPr>
        <w:t>simulation.</w:t>
      </w:r>
    </w:p>
    <w:p>
      <w:pPr>
        <w:pStyle w:val="ListParagraph"/>
        <w:numPr>
          <w:ilvl w:val="2"/>
          <w:numId w:val="6"/>
        </w:numPr>
        <w:tabs>
          <w:tab w:pos="1187" w:val="left" w:leader="none"/>
        </w:tabs>
        <w:spacing w:line="480" w:lineRule="auto" w:before="202" w:after="0"/>
        <w:ind w:left="1186" w:right="691" w:hanging="500"/>
        <w:jc w:val="both"/>
        <w:rPr>
          <w:sz w:val="24"/>
        </w:rPr>
      </w:pPr>
      <w:r>
        <w:rPr>
          <w:sz w:val="24"/>
        </w:rPr>
        <w:t>To evaluate an alternative mechanism of action based on </w:t>
      </w:r>
      <w:r>
        <w:rPr>
          <w:i/>
          <w:sz w:val="24"/>
        </w:rPr>
        <w:t>invitro </w:t>
      </w:r>
      <w:r>
        <w:rPr>
          <w:sz w:val="24"/>
        </w:rPr>
        <w:t>assay of β-</w:t>
      </w:r>
      <w:r>
        <w:rPr>
          <w:spacing w:val="1"/>
          <w:sz w:val="24"/>
        </w:rPr>
        <w:t> </w:t>
      </w:r>
      <w:r>
        <w:rPr>
          <w:sz w:val="24"/>
        </w:rPr>
        <w:t>hematin</w:t>
      </w:r>
      <w:r>
        <w:rPr>
          <w:spacing w:val="2"/>
          <w:sz w:val="24"/>
        </w:rPr>
        <w:t> </w:t>
      </w:r>
      <w:r>
        <w:rPr>
          <w:sz w:val="24"/>
        </w:rPr>
        <w:t>inhibition.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1"/>
        </w:rPr>
      </w:pPr>
    </w:p>
    <w:p>
      <w:pPr>
        <w:pStyle w:val="Heading1"/>
        <w:numPr>
          <w:ilvl w:val="1"/>
          <w:numId w:val="7"/>
        </w:numPr>
        <w:tabs>
          <w:tab w:pos="3800" w:val="left" w:leader="none"/>
        </w:tabs>
        <w:spacing w:line="240" w:lineRule="auto" w:before="0" w:after="0"/>
        <w:ind w:left="3799" w:right="0" w:hanging="366"/>
        <w:jc w:val="left"/>
      </w:pPr>
      <w:bookmarkStart w:name="_TOC_250082" w:id="11"/>
      <w:r>
        <w:rPr/>
        <w:t>Research</w:t>
      </w:r>
      <w:r>
        <w:rPr>
          <w:spacing w:val="-5"/>
        </w:rPr>
        <w:t> </w:t>
      </w:r>
      <w:bookmarkEnd w:id="11"/>
      <w:r>
        <w:rPr/>
        <w:t>Hypothesis</w:t>
      </w:r>
    </w:p>
    <w:p>
      <w:pPr>
        <w:pStyle w:val="BodyText"/>
        <w:spacing w:line="480" w:lineRule="auto" w:before="194"/>
        <w:ind w:left="312" w:right="699"/>
      </w:pPr>
      <w:r>
        <w:rPr/>
        <w:t>The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derivatives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inhibitory to the protease of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falciparum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-57"/>
        </w:rPr>
        <w:t> </w:t>
      </w:r>
      <w:r>
        <w:rPr/>
        <w:t>therefore not</w:t>
      </w:r>
      <w:r>
        <w:rPr>
          <w:spacing w:val="2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antimalarial</w:t>
      </w:r>
      <w:r>
        <w:rPr>
          <w:spacing w:val="-7"/>
        </w:rPr>
        <w:t> </w:t>
      </w:r>
      <w:r>
        <w:rPr/>
        <w:t>agent.</w:t>
      </w:r>
    </w:p>
    <w:p>
      <w:pPr>
        <w:spacing w:after="0" w:line="480" w:lineRule="auto"/>
        <w:sectPr>
          <w:headerReference w:type="default" r:id="rId63"/>
          <w:footerReference w:type="default" r:id="rId64"/>
          <w:pgSz w:w="11910" w:h="16840"/>
          <w:pgMar w:header="0" w:footer="878" w:top="1200" w:bottom="106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1"/>
        <w:spacing w:before="90"/>
        <w:ind w:left="305" w:right="687"/>
        <w:jc w:val="center"/>
      </w:pPr>
      <w:bookmarkStart w:name="_TOC_250081" w:id="12"/>
      <w:r>
        <w:rPr/>
        <w:t>CHAPTER</w:t>
      </w:r>
      <w:r>
        <w:rPr>
          <w:spacing w:val="-4"/>
        </w:rPr>
        <w:t> </w:t>
      </w:r>
      <w:bookmarkEnd w:id="12"/>
      <w:r>
        <w:rPr/>
        <w:t>TWO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8"/>
        </w:numPr>
        <w:tabs>
          <w:tab w:pos="3721" w:val="left" w:leader="none"/>
          <w:tab w:pos="3722" w:val="left" w:leader="none"/>
        </w:tabs>
        <w:spacing w:line="240" w:lineRule="auto" w:before="179" w:after="0"/>
        <w:ind w:left="3722" w:right="0" w:hanging="720"/>
        <w:jc w:val="left"/>
      </w:pPr>
      <w:bookmarkStart w:name="_TOC_250080" w:id="13"/>
      <w:r>
        <w:rPr/>
        <w:t>LITERATURE</w:t>
      </w:r>
      <w:r>
        <w:rPr>
          <w:spacing w:val="-6"/>
        </w:rPr>
        <w:t> </w:t>
      </w:r>
      <w:bookmarkEnd w:id="13"/>
      <w:r>
        <w:rPr/>
        <w:t>REVIEW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8"/>
        </w:numPr>
        <w:tabs>
          <w:tab w:pos="4452" w:val="left" w:leader="none"/>
        </w:tabs>
        <w:spacing w:line="240" w:lineRule="auto" w:before="174" w:after="0"/>
        <w:ind w:left="4452" w:right="0" w:hanging="360"/>
        <w:jc w:val="both"/>
      </w:pPr>
      <w:bookmarkStart w:name="_TOC_250079" w:id="14"/>
      <w:bookmarkEnd w:id="14"/>
      <w:r>
        <w:rPr/>
        <w:t>Malaria</w:t>
      </w:r>
    </w:p>
    <w:p>
      <w:pPr>
        <w:pStyle w:val="BodyText"/>
        <w:spacing w:line="480" w:lineRule="auto" w:before="194"/>
        <w:ind w:left="312" w:right="692"/>
        <w:jc w:val="both"/>
      </w:pPr>
      <w:r>
        <w:rPr/>
        <w:t>Malaria is one of the earliest known diseases. The French researcher Laveran (Nobel Prize</w:t>
      </w:r>
      <w:r>
        <w:rPr>
          <w:spacing w:val="-57"/>
        </w:rPr>
        <w:t> </w:t>
      </w:r>
      <w:r>
        <w:rPr/>
        <w:t>in Medicine 1907) discovered the malaria parasite in human blood. In 1897, the English</w:t>
      </w:r>
      <w:r>
        <w:rPr>
          <w:spacing w:val="1"/>
        </w:rPr>
        <w:t> </w:t>
      </w:r>
      <w:r>
        <w:rPr/>
        <w:t>physician Ross (Nobel Prize in Medicine 1902) and, in 1898, the Italian zoologist Grassi,</w:t>
      </w:r>
      <w:r>
        <w:rPr>
          <w:spacing w:val="1"/>
        </w:rPr>
        <w:t> </w:t>
      </w:r>
      <w:r>
        <w:rPr/>
        <w:t>demonstrated that the parasite was injected into the human bloodstream through the bite of</w:t>
      </w:r>
      <w:r>
        <w:rPr>
          <w:spacing w:val="-57"/>
        </w:rPr>
        <w:t> </w:t>
      </w:r>
      <w:r>
        <w:rPr/>
        <w:t>an infected female mosquito (Teixeira </w:t>
      </w:r>
      <w:r>
        <w:rPr>
          <w:i/>
        </w:rPr>
        <w:t>et al., </w:t>
      </w:r>
      <w:r>
        <w:rPr/>
        <w:t>2011). Malaria remains a human disease of</w:t>
      </w:r>
      <w:r>
        <w:rPr>
          <w:spacing w:val="1"/>
        </w:rPr>
        <w:t> </w:t>
      </w:r>
      <w:r>
        <w:rPr/>
        <w:t>global significance and a major cause of high infant mortality in endemic nations(Miller </w:t>
      </w:r>
      <w:r>
        <w:rPr>
          <w:i/>
        </w:rPr>
        <w:t>et</w:t>
      </w:r>
      <w:r>
        <w:rPr>
          <w:i/>
          <w:spacing w:val="-57"/>
        </w:rPr>
        <w:t> </w:t>
      </w:r>
      <w:r>
        <w:rPr>
          <w:i/>
        </w:rPr>
        <w:t>al., </w:t>
      </w:r>
      <w:r>
        <w:rPr/>
        <w:t>2013). Parasites of the genus Plasmodium cause the disease by degrading human</w:t>
      </w:r>
      <w:r>
        <w:rPr>
          <w:spacing w:val="1"/>
        </w:rPr>
        <w:t> </w:t>
      </w:r>
      <w:r>
        <w:rPr/>
        <w:t>hemoglobin as a source of amino acids for their growth and maturation (Rosenthal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2002).</w:t>
      </w:r>
    </w:p>
    <w:p>
      <w:pPr>
        <w:pStyle w:val="Heading1"/>
        <w:numPr>
          <w:ilvl w:val="2"/>
          <w:numId w:val="9"/>
        </w:numPr>
        <w:tabs>
          <w:tab w:pos="1033" w:val="left" w:leader="none"/>
        </w:tabs>
        <w:spacing w:line="240" w:lineRule="auto" w:before="209" w:after="0"/>
        <w:ind w:left="1033" w:right="0" w:hanging="721"/>
        <w:jc w:val="both"/>
      </w:pPr>
      <w:bookmarkStart w:name="_TOC_250078" w:id="15"/>
      <w:bookmarkEnd w:id="15"/>
      <w:r>
        <w:rPr/>
        <w:t>Pathogenesis</w:t>
      </w:r>
    </w:p>
    <w:p>
      <w:pPr>
        <w:pStyle w:val="BodyText"/>
        <w:spacing w:line="480" w:lineRule="auto" w:before="194"/>
        <w:ind w:left="312" w:right="687"/>
        <w:jc w:val="both"/>
      </w:pPr>
      <w:r>
        <w:rPr/>
        <w:t>Understanding the interplay of the Plasmodium parasite with its cellular host provides the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basis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control,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eradication(Teixeira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2011).</w:t>
      </w:r>
      <w:r>
        <w:rPr>
          <w:spacing w:val="1"/>
        </w:rPr>
        <w:t> </w:t>
      </w:r>
      <w:r>
        <w:rPr/>
        <w:t>Plasmodium parasites have a complex life cycle, consisting of two basic cycles; an asexual</w:t>
      </w:r>
      <w:r>
        <w:rPr>
          <w:spacing w:val="-57"/>
        </w:rPr>
        <w:t> </w:t>
      </w:r>
      <w:r>
        <w:rPr/>
        <w:t>cycle in the human host and a sexual cycle in the mosquito host (Khan and Waters, 2004).</w:t>
      </w:r>
      <w:r>
        <w:rPr>
          <w:spacing w:val="1"/>
        </w:rPr>
        <w:t> </w:t>
      </w:r>
      <w:r>
        <w:rPr/>
        <w:t>The asexual cycle is further divided into a liver stage (or a pre-erythrocytic stage) and an</w:t>
      </w:r>
      <w:r>
        <w:rPr>
          <w:spacing w:val="1"/>
        </w:rPr>
        <w:t> </w:t>
      </w:r>
      <w:r>
        <w:rPr/>
        <w:t>erythrocytic stage. Figure 2.1is a schematic representation of the transmission cycle of</w:t>
      </w:r>
      <w:r>
        <w:rPr>
          <w:spacing w:val="1"/>
        </w:rPr>
        <w:t> </w:t>
      </w:r>
      <w:r>
        <w:rPr/>
        <w:t>malaria parasite</w:t>
      </w:r>
      <w:r>
        <w:rPr>
          <w:spacing w:val="1"/>
        </w:rPr>
        <w:t> </w:t>
      </w:r>
      <w:r>
        <w:rPr/>
        <w:t>(Hoffman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4"/>
        </w:rPr>
        <w:t> </w:t>
      </w:r>
      <w:r>
        <w:rPr/>
        <w:t>2002).</w:t>
      </w:r>
    </w:p>
    <w:p>
      <w:pPr>
        <w:spacing w:after="0" w:line="480" w:lineRule="auto"/>
        <w:jc w:val="both"/>
        <w:sectPr>
          <w:headerReference w:type="default" r:id="rId65"/>
          <w:footerReference w:type="default" r:id="rId66"/>
          <w:pgSz w:w="11910" w:h="16840"/>
          <w:pgMar w:header="0" w:footer="878" w:top="158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4141967" cy="2846831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967" cy="284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5"/>
        </w:rPr>
      </w:pPr>
    </w:p>
    <w:p>
      <w:pPr>
        <w:pStyle w:val="Heading1"/>
        <w:spacing w:line="242" w:lineRule="auto" w:before="90"/>
        <w:ind w:right="697"/>
      </w:pPr>
      <w:r>
        <w:rPr/>
        <w:t>Figure</w:t>
      </w:r>
      <w:r>
        <w:rPr>
          <w:spacing w:val="-2"/>
        </w:rPr>
        <w:t> </w:t>
      </w:r>
      <w:r>
        <w:rPr/>
        <w:t>2.1:The</w:t>
      </w:r>
      <w:r>
        <w:rPr>
          <w:spacing w:val="-2"/>
        </w:rPr>
        <w:t> </w:t>
      </w:r>
      <w:r>
        <w:rPr/>
        <w:t>life</w:t>
      </w:r>
      <w:r>
        <w:rPr>
          <w:spacing w:val="-1"/>
        </w:rPr>
        <w:t> </w:t>
      </w:r>
      <w:r>
        <w:rPr/>
        <w:t>cycle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i/>
        </w:rPr>
        <w:t>Plasmodium falciparum</w:t>
      </w:r>
      <w:r>
        <w:rPr/>
        <w:t>,</w:t>
      </w:r>
      <w:r>
        <w:rPr>
          <w:spacing w:val="1"/>
        </w:rPr>
        <w:t> </w:t>
      </w:r>
      <w:r>
        <w:rPr/>
        <w:t>where</w:t>
      </w:r>
      <w:r>
        <w:rPr>
          <w:spacing w:val="-2"/>
        </w:rPr>
        <w:t> </w:t>
      </w:r>
      <w:r>
        <w:rPr/>
        <w:t>(a)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(b)</w:t>
      </w:r>
      <w:r>
        <w:rPr>
          <w:spacing w:val="-3"/>
        </w:rPr>
        <w:t> </w:t>
      </w:r>
      <w:r>
        <w:rPr/>
        <w:t>represent the</w:t>
      </w:r>
      <w:r>
        <w:rPr>
          <w:spacing w:val="-57"/>
        </w:rPr>
        <w:t> </w:t>
      </w:r>
      <w:r>
        <w:rPr/>
        <w:t>asexual</w:t>
      </w:r>
      <w:r>
        <w:rPr>
          <w:spacing w:val="-6"/>
        </w:rPr>
        <w:t> </w:t>
      </w:r>
      <w:r>
        <w:rPr/>
        <w:t>cycle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human</w:t>
      </w:r>
      <w:r>
        <w:rPr>
          <w:spacing w:val="-1"/>
        </w:rPr>
        <w:t> </w:t>
      </w:r>
      <w:r>
        <w:rPr/>
        <w:t>host</w:t>
      </w:r>
      <w:r>
        <w:rPr>
          <w:spacing w:val="1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sexual</w:t>
      </w:r>
      <w:r>
        <w:rPr>
          <w:spacing w:val="-5"/>
        </w:rPr>
        <w:t> </w:t>
      </w:r>
      <w:r>
        <w:rPr/>
        <w:t>cycle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mosquito,</w:t>
      </w:r>
      <w:r>
        <w:rPr>
          <w:spacing w:val="-4"/>
        </w:rPr>
        <w:t> </w:t>
      </w:r>
      <w:r>
        <w:rPr/>
        <w:t>respectively.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38"/>
        </w:rPr>
      </w:pPr>
    </w:p>
    <w:p>
      <w:pPr>
        <w:pStyle w:val="BodyText"/>
        <w:spacing w:line="480" w:lineRule="auto"/>
        <w:ind w:left="312" w:right="690"/>
        <w:jc w:val="both"/>
      </w:pPr>
      <w:r>
        <w:rPr/>
        <w:t>The parasite enters the bloodstream in the form of sporozoites through the bite of an</w:t>
      </w:r>
      <w:r>
        <w:rPr>
          <w:spacing w:val="1"/>
        </w:rPr>
        <w:t> </w:t>
      </w:r>
      <w:r>
        <w:rPr/>
        <w:t>infected female </w:t>
      </w:r>
      <w:r>
        <w:rPr>
          <w:i/>
        </w:rPr>
        <w:t>Anopheles </w:t>
      </w:r>
      <w:r>
        <w:rPr/>
        <w:t>mosquito. The sporozoites then travel to the liver and invade</w:t>
      </w:r>
      <w:r>
        <w:rPr>
          <w:spacing w:val="1"/>
        </w:rPr>
        <w:t> </w:t>
      </w:r>
      <w:r>
        <w:rPr/>
        <w:t>hepatocytes, where they are converted, through an asexual transformation, to trophozoites,</w:t>
      </w:r>
      <w:r>
        <w:rPr>
          <w:spacing w:val="-57"/>
        </w:rPr>
        <w:t> </w:t>
      </w:r>
      <w:r>
        <w:rPr/>
        <w:t>which in turn divide into several schizonts, eventually generating merozoites. After being</w:t>
      </w:r>
      <w:r>
        <w:rPr>
          <w:spacing w:val="1"/>
        </w:rPr>
        <w:t> </w:t>
      </w:r>
      <w:r>
        <w:rPr/>
        <w:t>multiplied in huge numbers, these merozoites rupture the hepatocytes and are released into</w:t>
      </w:r>
      <w:r>
        <w:rPr>
          <w:spacing w:val="-57"/>
        </w:rPr>
        <w:t> </w:t>
      </w:r>
      <w:r>
        <w:rPr/>
        <w:t>the blood stream. The merozoites invade the erythrocytes, initiating the erythrocytic stage</w:t>
      </w:r>
      <w:r>
        <w:rPr>
          <w:spacing w:val="1"/>
        </w:rPr>
        <w:t> </w:t>
      </w:r>
      <w:r>
        <w:rPr/>
        <w:t>and feed on the hemoglobin. After proliferation, theerythrocyte rupture and the liberated</w:t>
      </w:r>
      <w:r>
        <w:rPr>
          <w:spacing w:val="1"/>
        </w:rPr>
        <w:t> </w:t>
      </w:r>
      <w:r>
        <w:rPr/>
        <w:t>merozoites</w:t>
      </w:r>
      <w:r>
        <w:rPr>
          <w:spacing w:val="1"/>
        </w:rPr>
        <w:t> </w:t>
      </w:r>
      <w:r>
        <w:rPr/>
        <w:t>invade other</w:t>
      </w:r>
      <w:r>
        <w:rPr>
          <w:spacing w:val="1"/>
        </w:rPr>
        <w:t> </w:t>
      </w:r>
      <w:r>
        <w:rPr/>
        <w:t>erythrocytes.</w:t>
      </w:r>
      <w:r>
        <w:rPr>
          <w:spacing w:val="1"/>
        </w:rPr>
        <w:t> </w:t>
      </w:r>
      <w:r>
        <w:rPr/>
        <w:t>Sometimes,</w:t>
      </w:r>
      <w:r>
        <w:rPr>
          <w:spacing w:val="1"/>
        </w:rPr>
        <w:t> </w:t>
      </w:r>
      <w:r>
        <w:rPr/>
        <w:t>during this endo-erythrocytic</w:t>
      </w:r>
      <w:r>
        <w:rPr>
          <w:spacing w:val="1"/>
        </w:rPr>
        <w:t> </w:t>
      </w:r>
      <w:r>
        <w:rPr/>
        <w:t>stage,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forms of the</w:t>
      </w:r>
      <w:r>
        <w:rPr>
          <w:spacing w:val="1"/>
        </w:rPr>
        <w:t> </w:t>
      </w:r>
      <w:r>
        <w:rPr/>
        <w:t>parasite</w:t>
      </w:r>
      <w:r>
        <w:rPr>
          <w:spacing w:val="1"/>
        </w:rPr>
        <w:t> </w:t>
      </w:r>
      <w:r>
        <w:rPr/>
        <w:t>emerge</w:t>
      </w:r>
      <w:r>
        <w:rPr>
          <w:spacing w:val="1"/>
        </w:rPr>
        <w:t> </w:t>
      </w:r>
      <w:r>
        <w:rPr/>
        <w:t>as gametocytes,</w:t>
      </w:r>
      <w:r>
        <w:rPr>
          <w:spacing w:val="1"/>
        </w:rPr>
        <w:t> </w:t>
      </w:r>
      <w:r>
        <w:rPr/>
        <w:t>sexually differentiated</w:t>
      </w:r>
      <w:r>
        <w:rPr>
          <w:spacing w:val="60"/>
        </w:rPr>
        <w:t> </w:t>
      </w:r>
      <w:r>
        <w:rPr/>
        <w:t>forms that,</w:t>
      </w:r>
      <w:r>
        <w:rPr>
          <w:spacing w:val="1"/>
        </w:rPr>
        <w:t> </w:t>
      </w:r>
      <w:r>
        <w:rPr/>
        <w:t>when taken up by a feeding mosquito, will complete the sexual cycle within the mosquito</w:t>
      </w:r>
      <w:r>
        <w:rPr>
          <w:spacing w:val="1"/>
        </w:rPr>
        <w:t> </w:t>
      </w:r>
      <w:r>
        <w:rPr/>
        <w:t>gut until new sporozoites are formed and migrate to the insect ‗s salivary glands, for</w:t>
      </w:r>
      <w:r>
        <w:rPr>
          <w:spacing w:val="1"/>
        </w:rPr>
        <w:t> </w:t>
      </w:r>
      <w:r>
        <w:rPr/>
        <w:t>another</w:t>
      </w:r>
      <w:r>
        <w:rPr>
          <w:spacing w:val="3"/>
        </w:rPr>
        <w:t> </w:t>
      </w:r>
      <w:r>
        <w:rPr/>
        <w:t>round</w:t>
      </w:r>
      <w:r>
        <w:rPr>
          <w:spacing w:val="2"/>
        </w:rPr>
        <w:t> </w:t>
      </w:r>
      <w:r>
        <w:rPr/>
        <w:t>in</w:t>
      </w:r>
      <w:r>
        <w:rPr>
          <w:spacing w:val="-3"/>
        </w:rPr>
        <w:t> </w:t>
      </w:r>
      <w:r>
        <w:rPr/>
        <w:t>the spreading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infection</w:t>
      </w:r>
      <w:r>
        <w:rPr>
          <w:spacing w:val="-3"/>
        </w:rPr>
        <w:t> </w:t>
      </w:r>
      <w:r>
        <w:rPr/>
        <w:t>(Teixeira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2011).</w:t>
      </w:r>
    </w:p>
    <w:p>
      <w:pPr>
        <w:pStyle w:val="BodyText"/>
        <w:spacing w:line="480" w:lineRule="auto" w:before="204"/>
        <w:ind w:left="312" w:right="699"/>
        <w:jc w:val="both"/>
      </w:pPr>
      <w:r>
        <w:rPr/>
        <w:t>The</w:t>
      </w:r>
      <w:r>
        <w:rPr>
          <w:spacing w:val="1"/>
        </w:rPr>
        <w:t> </w:t>
      </w:r>
      <w:r>
        <w:rPr/>
        <w:t>asexual</w:t>
      </w:r>
      <w:r>
        <w:rPr>
          <w:spacing w:val="1"/>
        </w:rPr>
        <w:t> </w:t>
      </w:r>
      <w:r>
        <w:rPr/>
        <w:t>erythrocytic</w:t>
      </w:r>
      <w:r>
        <w:rPr>
          <w:spacing w:val="1"/>
        </w:rPr>
        <w:t> </w:t>
      </w:r>
      <w:r>
        <w:rPr/>
        <w:t>parasites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typical</w:t>
      </w:r>
      <w:r>
        <w:rPr>
          <w:spacing w:val="60"/>
        </w:rPr>
        <w:t> </w:t>
      </w:r>
      <w:r>
        <w:rPr/>
        <w:t>clinical</w:t>
      </w:r>
      <w:r>
        <w:rPr>
          <w:spacing w:val="1"/>
        </w:rPr>
        <w:t> </w:t>
      </w:r>
      <w:r>
        <w:rPr/>
        <w:t>symptoms associated</w:t>
      </w:r>
      <w:r>
        <w:rPr>
          <w:spacing w:val="3"/>
        </w:rPr>
        <w:t> </w:t>
      </w:r>
      <w:r>
        <w:rPr/>
        <w:t>with</w:t>
      </w:r>
      <w:r>
        <w:rPr>
          <w:spacing w:val="2"/>
        </w:rPr>
        <w:t> </w:t>
      </w:r>
      <w:r>
        <w:rPr/>
        <w:t>malaria.</w:t>
      </w:r>
      <w:r>
        <w:rPr>
          <w:spacing w:val="9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parasites develop</w:t>
      </w:r>
      <w:r>
        <w:rPr>
          <w:spacing w:val="7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3"/>
        </w:rPr>
        <w:t> </w:t>
      </w:r>
      <w:r>
        <w:rPr/>
        <w:t>erythrocytes,</w:t>
      </w:r>
      <w:r>
        <w:rPr>
          <w:spacing w:val="5"/>
        </w:rPr>
        <w:t> </w:t>
      </w:r>
      <w:r>
        <w:rPr/>
        <w:t>numerous</w:t>
      </w:r>
    </w:p>
    <w:p>
      <w:pPr>
        <w:spacing w:after="0" w:line="480" w:lineRule="auto"/>
        <w:jc w:val="both"/>
        <w:sectPr>
          <w:headerReference w:type="default" r:id="rId67"/>
          <w:footerReference w:type="default" r:id="rId68"/>
          <w:pgSz w:w="11910" w:h="16840"/>
          <w:pgMar w:header="0" w:footer="878" w:top="1280" w:bottom="1060" w:left="1560" w:right="600"/>
        </w:sectPr>
      </w:pPr>
    </w:p>
    <w:p>
      <w:pPr>
        <w:pStyle w:val="BodyText"/>
        <w:spacing w:line="480" w:lineRule="auto" w:before="70"/>
        <w:ind w:left="312" w:right="693"/>
        <w:jc w:val="both"/>
      </w:pPr>
      <w:r>
        <w:rPr/>
        <w:t>waste and toxic substances accumulate. These are dumped into the blood stream as the</w:t>
      </w:r>
      <w:r>
        <w:rPr>
          <w:spacing w:val="1"/>
        </w:rPr>
        <w:t> </w:t>
      </w:r>
      <w:r>
        <w:rPr/>
        <w:t>infected red blood cells lysed and liberated the merozoites. The waste and toxic substances</w:t>
      </w:r>
      <w:r>
        <w:rPr>
          <w:spacing w:val="-57"/>
        </w:rPr>
        <w:t> </w:t>
      </w:r>
      <w:r>
        <w:rPr/>
        <w:t>such as</w:t>
      </w:r>
      <w:r>
        <w:rPr>
          <w:spacing w:val="1"/>
        </w:rPr>
        <w:t> </w:t>
      </w:r>
      <w:r>
        <w:rPr/>
        <w:t>hemozoin and glucose phosphate</w:t>
      </w:r>
      <w:r>
        <w:rPr>
          <w:spacing w:val="1"/>
        </w:rPr>
        <w:t> </w:t>
      </w:r>
      <w:r>
        <w:rPr/>
        <w:t>isomerase (GPI)</w:t>
      </w:r>
      <w:r>
        <w:rPr>
          <w:spacing w:val="1"/>
        </w:rPr>
        <w:t> </w:t>
      </w:r>
      <w:r>
        <w:rPr/>
        <w:t>stimulate</w:t>
      </w:r>
      <w:r>
        <w:rPr>
          <w:spacing w:val="60"/>
        </w:rPr>
        <w:t> </w:t>
      </w:r>
      <w:r>
        <w:rPr/>
        <w:t>microphages and</w:t>
      </w:r>
      <w:r>
        <w:rPr>
          <w:spacing w:val="1"/>
        </w:rPr>
        <w:t> </w:t>
      </w:r>
      <w:r>
        <w:rPr/>
        <w:t>other cells to produce cytokines and other soluble factors which act to produce fever and</w:t>
      </w:r>
      <w:r>
        <w:rPr>
          <w:spacing w:val="1"/>
        </w:rPr>
        <w:t> </w:t>
      </w:r>
      <w:r>
        <w:rPr/>
        <w:t>probably</w:t>
      </w:r>
      <w:r>
        <w:rPr>
          <w:spacing w:val="-4"/>
        </w:rPr>
        <w:t> </w:t>
      </w:r>
      <w:r>
        <w:rPr/>
        <w:t>influence other</w:t>
      </w:r>
      <w:r>
        <w:rPr>
          <w:spacing w:val="2"/>
        </w:rPr>
        <w:t> </w:t>
      </w:r>
      <w:r>
        <w:rPr/>
        <w:t>severe pathophysiology</w:t>
      </w:r>
      <w:r>
        <w:rPr>
          <w:spacing w:val="-9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malaria.</w:t>
      </w:r>
    </w:p>
    <w:p>
      <w:pPr>
        <w:pStyle w:val="Heading1"/>
        <w:numPr>
          <w:ilvl w:val="2"/>
          <w:numId w:val="9"/>
        </w:numPr>
        <w:tabs>
          <w:tab w:pos="856" w:val="left" w:leader="none"/>
        </w:tabs>
        <w:spacing w:line="240" w:lineRule="auto" w:before="207" w:after="0"/>
        <w:ind w:left="855" w:right="0" w:hanging="544"/>
        <w:jc w:val="both"/>
      </w:pPr>
      <w:bookmarkStart w:name="_TOC_250077" w:id="16"/>
      <w:bookmarkEnd w:id="16"/>
      <w:r>
        <w:rPr/>
        <w:t>Chemotherapy</w:t>
      </w:r>
    </w:p>
    <w:p>
      <w:pPr>
        <w:pStyle w:val="BodyText"/>
        <w:spacing w:line="480" w:lineRule="auto" w:before="195"/>
        <w:ind w:left="312" w:right="694"/>
        <w:jc w:val="both"/>
      </w:pPr>
      <w:r>
        <w:rPr/>
        <w:t>The complex life cycle of the malaria parasite above offer a clue on target</w:t>
      </w:r>
      <w:r>
        <w:rPr>
          <w:spacing w:val="1"/>
        </w:rPr>
        <w:t> </w:t>
      </w:r>
      <w:r>
        <w:rPr/>
        <w:t>for drug</w:t>
      </w:r>
      <w:r>
        <w:rPr>
          <w:spacing w:val="1"/>
        </w:rPr>
        <w:t> </w:t>
      </w:r>
      <w:r>
        <w:rPr/>
        <w:t>development by attacking stages of important development. However, discovery of drugs</w:t>
      </w:r>
      <w:r>
        <w:rPr>
          <w:spacing w:val="1"/>
        </w:rPr>
        <w:t> </w:t>
      </w:r>
      <w:r>
        <w:rPr/>
        <w:t>to combat malaria has to a large extent been serendipitous, and the mechanism of action of</w:t>
      </w:r>
      <w:r>
        <w:rPr>
          <w:spacing w:val="-57"/>
        </w:rPr>
        <w:t> </w:t>
      </w:r>
      <w:r>
        <w:rPr/>
        <w:t>many agents is still partially or totally unknown (Kumar </w:t>
      </w:r>
      <w:r>
        <w:rPr>
          <w:i/>
        </w:rPr>
        <w:t>et al., </w:t>
      </w:r>
      <w:r>
        <w:rPr/>
        <w:t>2010). Chloroquine and</w:t>
      </w:r>
      <w:r>
        <w:rPr>
          <w:spacing w:val="1"/>
        </w:rPr>
        <w:t> </w:t>
      </w:r>
      <w:r>
        <w:rPr/>
        <w:t>other quinine alkaloid derivatives have been the mainstay in malaria chemotherapy for</w:t>
      </w:r>
      <w:r>
        <w:rPr>
          <w:spacing w:val="1"/>
        </w:rPr>
        <w:t> </w:t>
      </w:r>
      <w:r>
        <w:rPr/>
        <w:t>decades. Chloroquine appears to act by blocking the bio crystallization of heme, while the</w:t>
      </w:r>
      <w:r>
        <w:rPr>
          <w:spacing w:val="1"/>
        </w:rPr>
        <w:t> </w:t>
      </w:r>
      <w:r>
        <w:rPr/>
        <w:t>mechanisms for related drugs, including quinine, are unknown. Antifolate drugs, such as</w:t>
      </w:r>
      <w:r>
        <w:rPr>
          <w:spacing w:val="1"/>
        </w:rPr>
        <w:t> </w:t>
      </w:r>
      <w:r>
        <w:rPr/>
        <w:t>pyrimethamine,</w:t>
      </w:r>
      <w:r>
        <w:rPr>
          <w:spacing w:val="5"/>
        </w:rPr>
        <w:t> </w:t>
      </w:r>
      <w:r>
        <w:rPr/>
        <w:t>inhibit</w:t>
      </w:r>
      <w:r>
        <w:rPr>
          <w:spacing w:val="9"/>
        </w:rPr>
        <w:t> </w:t>
      </w:r>
      <w:r>
        <w:rPr/>
        <w:t>folate</w:t>
      </w:r>
      <w:r>
        <w:rPr>
          <w:spacing w:val="3"/>
        </w:rPr>
        <w:t> </w:t>
      </w:r>
      <w:r>
        <w:rPr/>
        <w:t>metabolism.</w:t>
      </w:r>
      <w:r>
        <w:rPr>
          <w:spacing w:val="1"/>
        </w:rPr>
        <w:t> </w:t>
      </w:r>
      <w:r>
        <w:rPr/>
        <w:t>(Wiesner</w:t>
      </w:r>
      <w:r>
        <w:rPr>
          <w:spacing w:val="8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2003;</w:t>
      </w:r>
      <w:r>
        <w:rPr>
          <w:spacing w:val="-6"/>
        </w:rPr>
        <w:t> </w:t>
      </w:r>
      <w:r>
        <w:rPr/>
        <w:t>Baird </w:t>
      </w:r>
      <w:r>
        <w:rPr>
          <w:i/>
        </w:rPr>
        <w:t>et al.,</w:t>
      </w:r>
      <w:r>
        <w:rPr>
          <w:i/>
          <w:spacing w:val="2"/>
        </w:rPr>
        <w:t> </w:t>
      </w:r>
      <w:r>
        <w:rPr/>
        <w:t>2005)</w:t>
      </w:r>
    </w:p>
    <w:p>
      <w:pPr>
        <w:pStyle w:val="BodyText"/>
        <w:spacing w:line="480" w:lineRule="auto" w:before="198"/>
        <w:ind w:left="312" w:right="699"/>
        <w:jc w:val="both"/>
      </w:pPr>
      <w:r>
        <w:rPr/>
        <w:t>Unfortunately, parasite resistance is rendering antimalarial medicines ineffective in most</w:t>
      </w:r>
      <w:r>
        <w:rPr>
          <w:spacing w:val="1"/>
        </w:rPr>
        <w:t> </w:t>
      </w:r>
      <w:r>
        <w:rPr/>
        <w:t>parts of the world. This resistance to antimalarial drugs arises as a result of spontaneously</w:t>
      </w:r>
      <w:r>
        <w:rPr>
          <w:spacing w:val="1"/>
        </w:rPr>
        <w:t> </w:t>
      </w:r>
      <w:r>
        <w:rPr/>
        <w:t>occurring mutationsthat affect the structure and activity at the molecular level of the drug</w:t>
      </w:r>
      <w:r>
        <w:rPr>
          <w:spacing w:val="1"/>
        </w:rPr>
        <w:t> </w:t>
      </w:r>
      <w:r>
        <w:rPr/>
        <w:t>target in the malaria parasite or affect the access of the drug to that target (Hayton and Su,</w:t>
      </w:r>
      <w:r>
        <w:rPr>
          <w:spacing w:val="1"/>
        </w:rPr>
        <w:t> </w:t>
      </w:r>
      <w:r>
        <w:rPr/>
        <w:t>2004).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date,</w:t>
      </w:r>
      <w:r>
        <w:rPr>
          <w:spacing w:val="1"/>
        </w:rPr>
        <w:t> </w:t>
      </w:r>
      <w:r>
        <w:rPr/>
        <w:t>clinically</w:t>
      </w:r>
      <w:r>
        <w:rPr>
          <w:spacing w:val="1"/>
        </w:rPr>
        <w:t> </w:t>
      </w:r>
      <w:r>
        <w:rPr/>
        <w:t>relevant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emerged,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classes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antimalarial</w:t>
      </w:r>
      <w:r>
        <w:rPr>
          <w:spacing w:val="-8"/>
        </w:rPr>
        <w:t> </w:t>
      </w:r>
      <w:r>
        <w:rPr/>
        <w:t>drugs.</w:t>
      </w:r>
    </w:p>
    <w:p>
      <w:pPr>
        <w:pStyle w:val="BodyText"/>
        <w:spacing w:line="480" w:lineRule="auto" w:before="203"/>
        <w:ind w:left="312" w:right="691"/>
        <w:jc w:val="both"/>
      </w:pPr>
      <w:r>
        <w:rPr/>
        <w:t>Fortunately, quinine has remained the drug of choice for treating the chloroquine and</w:t>
      </w:r>
      <w:r>
        <w:rPr>
          <w:spacing w:val="1"/>
        </w:rPr>
        <w:t> </w:t>
      </w:r>
      <w:r>
        <w:rPr/>
        <w:t>multidrug resistant </w:t>
      </w:r>
      <w:r>
        <w:rPr>
          <w:i/>
        </w:rPr>
        <w:t>P. falciparum </w:t>
      </w:r>
      <w:r>
        <w:rPr/>
        <w:t>malaria; however, its use is limited because of potential</w:t>
      </w:r>
      <w:r>
        <w:rPr>
          <w:spacing w:val="1"/>
        </w:rPr>
        <w:t> </w:t>
      </w:r>
      <w:r>
        <w:rPr/>
        <w:t>toxicity</w:t>
      </w:r>
      <w:r>
        <w:rPr>
          <w:spacing w:val="1"/>
        </w:rPr>
        <w:t> </w:t>
      </w:r>
      <w:r>
        <w:rPr/>
        <w:t>(Kapoor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Kumar,</w:t>
      </w:r>
      <w:r>
        <w:rPr>
          <w:spacing w:val="1"/>
        </w:rPr>
        <w:t> </w:t>
      </w:r>
      <w:r>
        <w:rPr/>
        <w:t>2005).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combination</w:t>
      </w:r>
      <w:r>
        <w:rPr>
          <w:spacing w:val="1"/>
        </w:rPr>
        <w:t> </w:t>
      </w:r>
      <w:r>
        <w:rPr/>
        <w:t>therapy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antimalarial drugs available, such as artemisinin and its analogues remain WHO global</w:t>
      </w:r>
      <w:r>
        <w:rPr>
          <w:spacing w:val="1"/>
        </w:rPr>
        <w:t> </w:t>
      </w:r>
      <w:r>
        <w:rPr/>
        <w:t>strategy</w:t>
      </w:r>
      <w:r>
        <w:rPr>
          <w:spacing w:val="19"/>
        </w:rPr>
        <w:t> </w:t>
      </w:r>
      <w:r>
        <w:rPr/>
        <w:t>for</w:t>
      </w:r>
      <w:r>
        <w:rPr>
          <w:spacing w:val="25"/>
        </w:rPr>
        <w:t> </w:t>
      </w:r>
      <w:r>
        <w:rPr/>
        <w:t>malarial</w:t>
      </w:r>
      <w:r>
        <w:rPr>
          <w:spacing w:val="16"/>
        </w:rPr>
        <w:t> </w:t>
      </w:r>
      <w:r>
        <w:rPr/>
        <w:t>treatment</w:t>
      </w:r>
      <w:r>
        <w:rPr>
          <w:spacing w:val="24"/>
        </w:rPr>
        <w:t> </w:t>
      </w:r>
      <w:r>
        <w:rPr/>
        <w:t>(WHO,</w:t>
      </w:r>
      <w:r>
        <w:rPr>
          <w:spacing w:val="21"/>
        </w:rPr>
        <w:t> </w:t>
      </w:r>
      <w:r>
        <w:rPr/>
        <w:t>2016),</w:t>
      </w:r>
      <w:r>
        <w:rPr>
          <w:spacing w:val="26"/>
        </w:rPr>
        <w:t> </w:t>
      </w:r>
      <w:r>
        <w:rPr/>
        <w:t>in</w:t>
      </w:r>
      <w:r>
        <w:rPr>
          <w:spacing w:val="20"/>
        </w:rPr>
        <w:t> </w:t>
      </w:r>
      <w:r>
        <w:rPr/>
        <w:t>addition</w:t>
      </w:r>
      <w:r>
        <w:rPr>
          <w:spacing w:val="14"/>
        </w:rPr>
        <w:t> </w:t>
      </w:r>
      <w:r>
        <w:rPr/>
        <w:t>to</w:t>
      </w:r>
      <w:r>
        <w:rPr>
          <w:spacing w:val="20"/>
        </w:rPr>
        <w:t> </w:t>
      </w:r>
      <w:r>
        <w:rPr/>
        <w:t>other</w:t>
      </w:r>
      <w:r>
        <w:rPr>
          <w:spacing w:val="20"/>
        </w:rPr>
        <w:t> </w:t>
      </w:r>
      <w:r>
        <w:rPr/>
        <w:t>control</w:t>
      </w:r>
      <w:r>
        <w:rPr>
          <w:spacing w:val="19"/>
        </w:rPr>
        <w:t> </w:t>
      </w:r>
      <w:r>
        <w:rPr/>
        <w:t>measures.</w:t>
      </w:r>
      <w:r>
        <w:rPr>
          <w:spacing w:val="22"/>
        </w:rPr>
        <w:t> </w:t>
      </w:r>
      <w:r>
        <w:rPr/>
        <w:t>It</w:t>
      </w:r>
      <w:r>
        <w:rPr>
          <w:spacing w:val="24"/>
        </w:rPr>
        <w:t> </w:t>
      </w:r>
      <w:r>
        <w:rPr/>
        <w:t>is</w:t>
      </w:r>
    </w:p>
    <w:p>
      <w:pPr>
        <w:spacing w:after="0" w:line="480" w:lineRule="auto"/>
        <w:jc w:val="both"/>
        <w:sectPr>
          <w:headerReference w:type="default" r:id="rId70"/>
          <w:footerReference w:type="default" r:id="rId71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1"/>
        <w:jc w:val="both"/>
      </w:pPr>
      <w:r>
        <w:rPr/>
        <w:t>therefore evident that extensive scientific effort should be committed to the discovery of</w:t>
      </w:r>
      <w:r>
        <w:rPr>
          <w:spacing w:val="1"/>
        </w:rPr>
        <w:t> </w:t>
      </w:r>
      <w:r>
        <w:rPr/>
        <w:t>additional</w:t>
      </w:r>
      <w:r>
        <w:rPr>
          <w:spacing w:val="-4"/>
        </w:rPr>
        <w:t> </w:t>
      </w:r>
      <w:r>
        <w:rPr/>
        <w:t>novel</w:t>
      </w:r>
      <w:r>
        <w:rPr>
          <w:spacing w:val="-8"/>
        </w:rPr>
        <w:t> </w:t>
      </w:r>
      <w:r>
        <w:rPr/>
        <w:t>therapeutic</w:t>
      </w:r>
      <w:r>
        <w:rPr>
          <w:spacing w:val="1"/>
        </w:rPr>
        <w:t> </w:t>
      </w:r>
      <w:r>
        <w:rPr/>
        <w:t>targets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drugs aimed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targets.</w:t>
      </w:r>
    </w:p>
    <w:p>
      <w:pPr>
        <w:pStyle w:val="Heading1"/>
        <w:numPr>
          <w:ilvl w:val="2"/>
          <w:numId w:val="9"/>
        </w:numPr>
        <w:tabs>
          <w:tab w:pos="856" w:val="left" w:leader="none"/>
        </w:tabs>
        <w:spacing w:line="240" w:lineRule="auto" w:before="207" w:after="0"/>
        <w:ind w:left="855" w:right="0" w:hanging="544"/>
        <w:jc w:val="both"/>
      </w:pPr>
      <w:bookmarkStart w:name="_TOC_250076" w:id="17"/>
      <w:r>
        <w:rPr/>
        <w:t>Novel</w:t>
      </w:r>
      <w:r>
        <w:rPr>
          <w:spacing w:val="-8"/>
        </w:rPr>
        <w:t> </w:t>
      </w:r>
      <w:r>
        <w:rPr/>
        <w:t>malaria</w:t>
      </w:r>
      <w:r>
        <w:rPr>
          <w:spacing w:val="-2"/>
        </w:rPr>
        <w:t> </w:t>
      </w:r>
      <w:bookmarkEnd w:id="17"/>
      <w:r>
        <w:rPr/>
        <w:t>targets</w:t>
      </w:r>
    </w:p>
    <w:p>
      <w:pPr>
        <w:pStyle w:val="BodyText"/>
        <w:spacing w:line="480" w:lineRule="auto" w:before="194"/>
        <w:ind w:left="312" w:right="687"/>
        <w:jc w:val="both"/>
      </w:pPr>
      <w:r>
        <w:rPr/>
        <w:t>Since the unveiling of the </w:t>
      </w:r>
      <w:r>
        <w:rPr>
          <w:i/>
        </w:rPr>
        <w:t>P. falciparum </w:t>
      </w:r>
      <w:r>
        <w:rPr/>
        <w:t>genome in 2002 (Gardner </w:t>
      </w:r>
      <w:r>
        <w:rPr>
          <w:i/>
        </w:rPr>
        <w:t>et al., </w:t>
      </w:r>
      <w:r>
        <w:rPr/>
        <w:t>2002) a number</w:t>
      </w:r>
      <w:r>
        <w:rPr>
          <w:spacing w:val="1"/>
        </w:rPr>
        <w:t> </w:t>
      </w:r>
      <w:r>
        <w:rPr/>
        <w:t>of potential targets for drug intervention have emerged(Wiesner </w:t>
      </w:r>
      <w:r>
        <w:rPr>
          <w:i/>
        </w:rPr>
        <w:t>et al., </w:t>
      </w:r>
      <w:r>
        <w:rPr/>
        <w:t>2003; Jana and</w:t>
      </w:r>
      <w:r>
        <w:rPr>
          <w:spacing w:val="1"/>
        </w:rPr>
        <w:t> </w:t>
      </w:r>
      <w:r>
        <w:rPr/>
        <w:t>Paliwal,</w:t>
      </w:r>
      <w:r>
        <w:rPr>
          <w:spacing w:val="1"/>
        </w:rPr>
        <w:t> </w:t>
      </w:r>
      <w:r>
        <w:rPr/>
        <w:t>2007). These potential antimalarial drug targets can be broadly classified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three categories, according to their function in the parasite ‗s life cycle as; i) targets</w:t>
      </w:r>
      <w:r>
        <w:rPr>
          <w:spacing w:val="1"/>
        </w:rPr>
        <w:t> </w:t>
      </w:r>
      <w:r>
        <w:rPr/>
        <w:t>involved in macromolecular and metabolite synthesis, ii) targets engaged in membrane</w:t>
      </w:r>
      <w:r>
        <w:rPr>
          <w:spacing w:val="1"/>
        </w:rPr>
        <w:t> </w:t>
      </w:r>
      <w:r>
        <w:rPr/>
        <w:t>transport and signaling, and iii) targets involved in hemoglobin degradation (Teixeira</w:t>
      </w:r>
      <w:r>
        <w:rPr>
          <w:spacing w:val="60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2011).</w:t>
      </w:r>
    </w:p>
    <w:p>
      <w:pPr>
        <w:pStyle w:val="BodyText"/>
        <w:spacing w:line="480" w:lineRule="auto" w:before="198"/>
        <w:ind w:left="312" w:right="688"/>
        <w:jc w:val="both"/>
      </w:pPr>
      <w:r>
        <w:rPr/>
        <w:t>Proteases having key roles on the degradation of host ‗s hemoglobin within the food</w:t>
      </w:r>
      <w:r>
        <w:rPr>
          <w:spacing w:val="1"/>
        </w:rPr>
        <w:t> </w:t>
      </w:r>
      <w:r>
        <w:rPr/>
        <w:t>vacuole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blood-stage</w:t>
      </w:r>
      <w:r>
        <w:rPr>
          <w:spacing w:val="1"/>
        </w:rPr>
        <w:t> </w:t>
      </w:r>
      <w:r>
        <w:rPr/>
        <w:t>parasites,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increasingly</w:t>
      </w:r>
      <w:r>
        <w:rPr>
          <w:spacing w:val="1"/>
        </w:rPr>
        <w:t> </w:t>
      </w:r>
      <w:r>
        <w:rPr/>
        <w:t>attracting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medicinal chemists worldwide as promising drug targets since </w:t>
      </w:r>
      <w:r>
        <w:rPr>
          <w:i/>
        </w:rPr>
        <w:t>Plasmodium </w:t>
      </w:r>
      <w:r>
        <w:rPr/>
        <w:t>depends on the</w:t>
      </w:r>
      <w:r>
        <w:rPr>
          <w:spacing w:val="-57"/>
        </w:rPr>
        <w:t> </w:t>
      </w:r>
      <w:r>
        <w:rPr/>
        <w:t>hemoglobin</w:t>
      </w:r>
      <w:r>
        <w:rPr>
          <w:spacing w:val="-5"/>
        </w:rPr>
        <w:t> </w:t>
      </w:r>
      <w:r>
        <w:rPr/>
        <w:t>degradation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their</w:t>
      </w:r>
      <w:r>
        <w:rPr>
          <w:spacing w:val="1"/>
        </w:rPr>
        <w:t> </w:t>
      </w:r>
      <w:r>
        <w:rPr/>
        <w:t>survival</w:t>
      </w:r>
      <w:r>
        <w:rPr>
          <w:spacing w:val="-8"/>
        </w:rPr>
        <w:t> </w:t>
      </w:r>
      <w:r>
        <w:rPr/>
        <w:t>(Rosenthal</w:t>
      </w:r>
      <w:r>
        <w:rPr>
          <w:spacing w:val="3"/>
        </w:rPr>
        <w:t> </w:t>
      </w:r>
      <w:r>
        <w:rPr>
          <w:i/>
        </w:rPr>
        <w:t>et al.,</w:t>
      </w:r>
      <w:r>
        <w:rPr>
          <w:i/>
          <w:spacing w:val="3"/>
        </w:rPr>
        <w:t> </w:t>
      </w:r>
      <w:r>
        <w:rPr/>
        <w:t>2002;</w:t>
      </w:r>
      <w:r>
        <w:rPr>
          <w:spacing w:val="-5"/>
        </w:rPr>
        <w:t> </w:t>
      </w:r>
      <w:r>
        <w:rPr/>
        <w:t>Musyako</w:t>
      </w:r>
      <w:r>
        <w:rPr>
          <w:spacing w:val="6"/>
        </w:rPr>
        <w:t> </w:t>
      </w:r>
      <w:r>
        <w:rPr>
          <w:i/>
        </w:rPr>
        <w:t>et al.,</w:t>
      </w:r>
      <w:r>
        <w:rPr>
          <w:i/>
          <w:spacing w:val="-2"/>
        </w:rPr>
        <w:t> </w:t>
      </w:r>
      <w:r>
        <w:rPr/>
        <w:t>2016).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7"/>
        </w:rPr>
      </w:pPr>
    </w:p>
    <w:p>
      <w:pPr>
        <w:pStyle w:val="Heading1"/>
        <w:numPr>
          <w:ilvl w:val="1"/>
          <w:numId w:val="8"/>
        </w:numPr>
        <w:tabs>
          <w:tab w:pos="4155" w:val="left" w:leader="none"/>
        </w:tabs>
        <w:spacing w:line="240" w:lineRule="auto" w:before="1" w:after="0"/>
        <w:ind w:left="4154" w:right="0" w:hanging="366"/>
        <w:jc w:val="both"/>
      </w:pPr>
      <w:bookmarkStart w:name="_TOC_250075" w:id="18"/>
      <w:r>
        <w:rPr/>
        <w:t>The</w:t>
      </w:r>
      <w:r>
        <w:rPr>
          <w:spacing w:val="-6"/>
        </w:rPr>
        <w:t> </w:t>
      </w:r>
      <w:bookmarkEnd w:id="18"/>
      <w:r>
        <w:rPr/>
        <w:t>Proteases</w:t>
      </w:r>
    </w:p>
    <w:p>
      <w:pPr>
        <w:pStyle w:val="BodyText"/>
        <w:spacing w:line="480" w:lineRule="auto" w:before="194"/>
        <w:ind w:left="312" w:right="692"/>
        <w:jc w:val="both"/>
      </w:pPr>
      <w:r>
        <w:rPr/>
        <w:t>Proteases are enzymes that catalyze the hydrolysis of amide bonds in peptide and protein</w:t>
      </w:r>
      <w:r>
        <w:rPr>
          <w:spacing w:val="1"/>
        </w:rPr>
        <w:t> </w:t>
      </w:r>
      <w:r>
        <w:rPr/>
        <w:t>substrates. They have been identified in biological systems, from viruses to vertebrates.</w:t>
      </w:r>
      <w:r>
        <w:rPr>
          <w:spacing w:val="1"/>
        </w:rPr>
        <w:t> </w:t>
      </w:r>
      <w:r>
        <w:rPr/>
        <w:t>Proteases range from monomers of 10 kDa to multimeric complexes of several hundred</w:t>
      </w:r>
      <w:r>
        <w:rPr>
          <w:spacing w:val="1"/>
        </w:rPr>
        <w:t> </w:t>
      </w:r>
      <w:r>
        <w:rPr/>
        <w:t>kDa.</w:t>
      </w:r>
      <w:r>
        <w:rPr>
          <w:spacing w:val="20"/>
        </w:rPr>
        <w:t> </w:t>
      </w:r>
      <w:r>
        <w:rPr/>
        <w:t>They</w:t>
      </w:r>
      <w:r>
        <w:rPr>
          <w:spacing w:val="19"/>
        </w:rPr>
        <w:t> </w:t>
      </w:r>
      <w:r>
        <w:rPr/>
        <w:t>have</w:t>
      </w:r>
      <w:r>
        <w:rPr>
          <w:spacing w:val="22"/>
        </w:rPr>
        <w:t> </w:t>
      </w:r>
      <w:r>
        <w:rPr/>
        <w:t>been</w:t>
      </w:r>
      <w:r>
        <w:rPr>
          <w:spacing w:val="19"/>
        </w:rPr>
        <w:t> </w:t>
      </w:r>
      <w:r>
        <w:rPr/>
        <w:t>divided</w:t>
      </w:r>
      <w:r>
        <w:rPr>
          <w:spacing w:val="23"/>
        </w:rPr>
        <w:t> </w:t>
      </w:r>
      <w:r>
        <w:rPr/>
        <w:t>into</w:t>
      </w:r>
      <w:r>
        <w:rPr>
          <w:spacing w:val="23"/>
        </w:rPr>
        <w:t> </w:t>
      </w:r>
      <w:r>
        <w:rPr/>
        <w:t>groups</w:t>
      </w:r>
      <w:r>
        <w:rPr>
          <w:spacing w:val="16"/>
        </w:rPr>
        <w:t> </w:t>
      </w:r>
      <w:r>
        <w:rPr/>
        <w:t>based</w:t>
      </w:r>
      <w:r>
        <w:rPr>
          <w:spacing w:val="24"/>
        </w:rPr>
        <w:t> </w:t>
      </w:r>
      <w:r>
        <w:rPr/>
        <w:t>on</w:t>
      </w:r>
      <w:r>
        <w:rPr>
          <w:spacing w:val="14"/>
        </w:rPr>
        <w:t> </w:t>
      </w:r>
      <w:r>
        <w:rPr/>
        <w:t>the</w:t>
      </w:r>
      <w:r>
        <w:rPr>
          <w:spacing w:val="17"/>
        </w:rPr>
        <w:t> </w:t>
      </w:r>
      <w:r>
        <w:rPr/>
        <w:t>catalytic</w:t>
      </w:r>
      <w:r>
        <w:rPr>
          <w:spacing w:val="27"/>
        </w:rPr>
        <w:t> </w:t>
      </w:r>
      <w:r>
        <w:rPr/>
        <w:t>mechanism</w:t>
      </w:r>
      <w:r>
        <w:rPr>
          <w:spacing w:val="18"/>
        </w:rPr>
        <w:t> </w:t>
      </w:r>
      <w:r>
        <w:rPr/>
        <w:t>used</w:t>
      </w:r>
      <w:r>
        <w:rPr>
          <w:spacing w:val="23"/>
        </w:rPr>
        <w:t> </w:t>
      </w:r>
      <w:r>
        <w:rPr/>
        <w:t>during</w:t>
      </w:r>
      <w:r>
        <w:rPr>
          <w:spacing w:val="-58"/>
        </w:rPr>
        <w:t> </w:t>
      </w:r>
      <w:r>
        <w:rPr/>
        <w:t>the hydrolysis of peptide bonds. The main catalytic types are serine, threonine, aspartate,</w:t>
      </w:r>
      <w:r>
        <w:rPr>
          <w:spacing w:val="1"/>
        </w:rPr>
        <w:t> </w:t>
      </w:r>
      <w:r>
        <w:rPr/>
        <w:t>metallo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proteases (Sajid</w:t>
      </w:r>
      <w:r>
        <w:rPr>
          <w:spacing w:val="1"/>
        </w:rPr>
        <w:t> </w:t>
      </w:r>
      <w:r>
        <w:rPr/>
        <w:t>and McKerrow,</w:t>
      </w:r>
      <w:r>
        <w:rPr>
          <w:spacing w:val="1"/>
        </w:rPr>
        <w:t> </w:t>
      </w:r>
      <w:r>
        <w:rPr/>
        <w:t>2002).</w:t>
      </w:r>
      <w:r>
        <w:rPr>
          <w:spacing w:val="1"/>
        </w:rPr>
        <w:t> </w:t>
      </w:r>
      <w:r>
        <w:rPr/>
        <w:t>Proteases are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therapeutic targets because they play a role in various biologicalprocesses, such as protein</w:t>
      </w:r>
      <w:r>
        <w:rPr>
          <w:spacing w:val="1"/>
        </w:rPr>
        <w:t> </w:t>
      </w:r>
      <w:r>
        <w:rPr/>
        <w:t>synthesis, turnover, and function. These critical roles proteases play in the life cycle of</w:t>
      </w:r>
      <w:r>
        <w:rPr>
          <w:spacing w:val="1"/>
        </w:rPr>
        <w:t> </w:t>
      </w:r>
      <w:r>
        <w:rPr/>
        <w:t>parasitic</w:t>
      </w:r>
      <w:r>
        <w:rPr>
          <w:spacing w:val="17"/>
        </w:rPr>
        <w:t> </w:t>
      </w:r>
      <w:r>
        <w:rPr/>
        <w:t>organisms</w:t>
      </w:r>
      <w:r>
        <w:rPr>
          <w:spacing w:val="26"/>
        </w:rPr>
        <w:t> </w:t>
      </w:r>
      <w:r>
        <w:rPr/>
        <w:t>makes</w:t>
      </w:r>
      <w:r>
        <w:rPr>
          <w:spacing w:val="16"/>
        </w:rPr>
        <w:t> </w:t>
      </w:r>
      <w:r>
        <w:rPr/>
        <w:t>them</w:t>
      </w:r>
      <w:r>
        <w:rPr>
          <w:spacing w:val="15"/>
        </w:rPr>
        <w:t> </w:t>
      </w:r>
      <w:r>
        <w:rPr/>
        <w:t>attractive</w:t>
      </w:r>
      <w:r>
        <w:rPr>
          <w:spacing w:val="18"/>
        </w:rPr>
        <w:t> </w:t>
      </w:r>
      <w:r>
        <w:rPr/>
        <w:t>drug-design</w:t>
      </w:r>
      <w:r>
        <w:rPr>
          <w:spacing w:val="14"/>
        </w:rPr>
        <w:t> </w:t>
      </w:r>
      <w:r>
        <w:rPr/>
        <w:t>targets</w:t>
      </w:r>
      <w:r>
        <w:rPr>
          <w:spacing w:val="21"/>
        </w:rPr>
        <w:t> </w:t>
      </w:r>
      <w:r>
        <w:rPr/>
        <w:t>for</w:t>
      </w:r>
      <w:r>
        <w:rPr>
          <w:spacing w:val="23"/>
        </w:rPr>
        <w:t> </w:t>
      </w:r>
      <w:r>
        <w:rPr/>
        <w:t>malaria.</w:t>
      </w:r>
      <w:r>
        <w:rPr>
          <w:spacing w:val="21"/>
        </w:rPr>
        <w:t> </w:t>
      </w:r>
      <w:r>
        <w:rPr/>
        <w:t>Malarial</w:t>
      </w:r>
      <w:r>
        <w:rPr>
          <w:spacing w:val="18"/>
        </w:rPr>
        <w:t> </w:t>
      </w:r>
      <w:r>
        <w:rPr/>
        <w:t>main</w:t>
      </w:r>
    </w:p>
    <w:p>
      <w:pPr>
        <w:spacing w:after="0" w:line="480" w:lineRule="auto"/>
        <w:jc w:val="both"/>
        <w:sectPr>
          <w:headerReference w:type="default" r:id="rId72"/>
          <w:footerReference w:type="default" r:id="rId73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5"/>
        <w:jc w:val="both"/>
      </w:pPr>
      <w:r>
        <w:rPr/>
        <w:t>proteases</w:t>
      </w:r>
      <w:r>
        <w:rPr>
          <w:spacing w:val="1"/>
        </w:rPr>
        <w:t> </w:t>
      </w:r>
      <w:r>
        <w:rPr/>
        <w:t>include;</w:t>
      </w:r>
      <w:r>
        <w:rPr>
          <w:spacing w:val="1"/>
        </w:rPr>
        <w:t> </w:t>
      </w:r>
      <w:r>
        <w:rPr/>
        <w:t>Falcipains-FP</w:t>
      </w:r>
      <w:r>
        <w:rPr>
          <w:spacing w:val="1"/>
        </w:rPr>
        <w:t> </w:t>
      </w:r>
      <w:r>
        <w:rPr/>
        <w:t>(cysteine</w:t>
      </w:r>
      <w:r>
        <w:rPr>
          <w:spacing w:val="1"/>
        </w:rPr>
        <w:t> </w:t>
      </w:r>
      <w:r>
        <w:rPr/>
        <w:t>proteases)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Plasmepsins-Plm</w:t>
      </w:r>
      <w:r>
        <w:rPr>
          <w:spacing w:val="1"/>
        </w:rPr>
        <w:t> </w:t>
      </w:r>
      <w:r>
        <w:rPr/>
        <w:t>(aspartic</w:t>
      </w:r>
      <w:r>
        <w:rPr>
          <w:spacing w:val="1"/>
        </w:rPr>
        <w:t> </w:t>
      </w:r>
      <w:r>
        <w:rPr/>
        <w:t>proteases).</w:t>
      </w:r>
    </w:p>
    <w:p>
      <w:pPr>
        <w:pStyle w:val="Heading1"/>
        <w:numPr>
          <w:ilvl w:val="2"/>
          <w:numId w:val="10"/>
        </w:numPr>
        <w:tabs>
          <w:tab w:pos="856" w:val="left" w:leader="none"/>
        </w:tabs>
        <w:spacing w:line="240" w:lineRule="auto" w:before="207" w:after="0"/>
        <w:ind w:left="855" w:right="0" w:hanging="544"/>
        <w:jc w:val="both"/>
      </w:pPr>
      <w:bookmarkStart w:name="_TOC_250074" w:id="19"/>
      <w:r>
        <w:rPr/>
        <w:t>Cysteine</w:t>
      </w:r>
      <w:r>
        <w:rPr>
          <w:spacing w:val="-4"/>
        </w:rPr>
        <w:t> </w:t>
      </w:r>
      <w:bookmarkEnd w:id="19"/>
      <w:r>
        <w:rPr/>
        <w:t>protease</w:t>
      </w:r>
    </w:p>
    <w:p>
      <w:pPr>
        <w:pStyle w:val="BodyText"/>
        <w:spacing w:line="480" w:lineRule="auto" w:before="194"/>
        <w:ind w:left="312" w:right="690"/>
        <w:jc w:val="both"/>
      </w:pPr>
      <w:r>
        <w:rPr/>
        <w:t>Plasmodium cysteine proteases belong to Clan CA, or papain-like proteases. Cysteine</w:t>
      </w:r>
      <w:r>
        <w:rPr>
          <w:spacing w:val="1"/>
        </w:rPr>
        <w:t> </w:t>
      </w:r>
      <w:r>
        <w:rPr/>
        <w:t>proteases use a cysteine residue in the enzyme active site to catalyze protein hydrolysis </w:t>
      </w:r>
      <w:r>
        <w:rPr>
          <w:i/>
        </w:rPr>
        <w:t>via</w:t>
      </w:r>
      <w:r>
        <w:rPr>
          <w:i/>
          <w:spacing w:val="-57"/>
        </w:rPr>
        <w:t> </w:t>
      </w:r>
      <w:r>
        <w:rPr/>
        <w:t>nucleophillic attack</w:t>
      </w:r>
      <w:r>
        <w:rPr>
          <w:spacing w:val="-5"/>
        </w:rPr>
        <w:t> </w:t>
      </w:r>
      <w:r>
        <w:rPr/>
        <w:t>to the</w:t>
      </w:r>
      <w:r>
        <w:rPr>
          <w:spacing w:val="-1"/>
        </w:rPr>
        <w:t> </w:t>
      </w:r>
      <w:r>
        <w:rPr/>
        <w:t>carbonyl</w:t>
      </w:r>
      <w:r>
        <w:rPr>
          <w:spacing w:val="-5"/>
        </w:rPr>
        <w:t> </w:t>
      </w:r>
      <w:r>
        <w:rPr/>
        <w:t>carbon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/>
        <w:t>a</w:t>
      </w:r>
      <w:r>
        <w:rPr>
          <w:spacing w:val="-1"/>
        </w:rPr>
        <w:t> </w:t>
      </w:r>
      <w:r>
        <w:rPr/>
        <w:t>susceptible</w:t>
      </w:r>
      <w:r>
        <w:rPr>
          <w:spacing w:val="4"/>
        </w:rPr>
        <w:t> </w:t>
      </w:r>
      <w:r>
        <w:rPr/>
        <w:t>bond (Lecaille,</w:t>
      </w:r>
      <w:r>
        <w:rPr>
          <w:spacing w:val="10"/>
        </w:rPr>
        <w:t> </w:t>
      </w:r>
      <w:r>
        <w:rPr>
          <w:i/>
        </w:rPr>
        <w:t>et al.,</w:t>
      </w:r>
      <w:r>
        <w:rPr>
          <w:i/>
          <w:spacing w:val="3"/>
        </w:rPr>
        <w:t> </w:t>
      </w:r>
      <w:r>
        <w:rPr/>
        <w:t>2002).</w:t>
      </w:r>
    </w:p>
    <w:p>
      <w:pPr>
        <w:pStyle w:val="BodyText"/>
        <w:spacing w:line="480" w:lineRule="auto" w:before="197"/>
        <w:ind w:left="312" w:right="689"/>
        <w:jc w:val="both"/>
      </w:pPr>
      <w:r>
        <w:rPr/>
        <w:t>Plasmodium cysteine proteases adopt the classical papain-like fold in which the protease is</w:t>
      </w:r>
      <w:r>
        <w:rPr>
          <w:spacing w:val="-57"/>
        </w:rPr>
        <w:t> </w:t>
      </w:r>
      <w:r>
        <w:rPr/>
        <w:t>divided into L (left) and R (right) domains (Figure 2.2). The catalytic residues CYS42,</w:t>
      </w:r>
      <w:r>
        <w:rPr>
          <w:spacing w:val="1"/>
        </w:rPr>
        <w:t> </w:t>
      </w:r>
      <w:r>
        <w:rPr/>
        <w:t>HIS174 and ASN204 for FP2 and CYS44, HIS176 and ASN206 for FP3 are located at the</w:t>
      </w:r>
      <w:r>
        <w:rPr>
          <w:spacing w:val="1"/>
        </w:rPr>
        <w:t> </w:t>
      </w:r>
      <w:r>
        <w:rPr/>
        <w:t>junction between the L and R domains (Kerr</w:t>
      </w:r>
      <w:r>
        <w:rPr>
          <w:spacing w:val="60"/>
        </w:rPr>
        <w:t> </w:t>
      </w:r>
      <w:r>
        <w:rPr>
          <w:i/>
        </w:rPr>
        <w:t>et al., </w:t>
      </w:r>
      <w:r>
        <w:rPr/>
        <w:t>2009). Thus, the catalytic site is</w:t>
      </w:r>
      <w:r>
        <w:rPr>
          <w:spacing w:val="1"/>
        </w:rPr>
        <w:t> </w:t>
      </w:r>
      <w:r>
        <w:rPr/>
        <w:t>formed by a cysteine and a histidine, whose side chains form a thiolate/imidazolium ion</w:t>
      </w:r>
      <w:r>
        <w:rPr>
          <w:spacing w:val="1"/>
        </w:rPr>
        <w:t> </w:t>
      </w:r>
      <w:r>
        <w:rPr/>
        <w:t>pair, and also by an asparagine, which has a crucial role in the appropriate orientation of</w:t>
      </w:r>
      <w:r>
        <w:rPr>
          <w:spacing w:val="1"/>
        </w:rPr>
        <w:t> </w:t>
      </w:r>
      <w:r>
        <w:rPr/>
        <w:t>the ion pair. The active site of falcipains is generally formed by four pockets: S1, S2,</w:t>
      </w:r>
      <w:r>
        <w:rPr>
          <w:spacing w:val="1"/>
        </w:rPr>
        <w:t> </w:t>
      </w:r>
      <w:r>
        <w:rPr/>
        <w:t>S1‗and</w:t>
      </w:r>
      <w:r>
        <w:rPr>
          <w:spacing w:val="-4"/>
        </w:rPr>
        <w:t> </w:t>
      </w:r>
      <w:r>
        <w:rPr/>
        <w:t>S3.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S1</w:t>
      </w:r>
      <w:r>
        <w:rPr>
          <w:spacing w:val="-4"/>
        </w:rPr>
        <w:t> </w:t>
      </w:r>
      <w:r>
        <w:rPr/>
        <w:t>pocket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/>
        <w:t>the least defined</w:t>
      </w:r>
      <w:r>
        <w:rPr>
          <w:spacing w:val="-4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4"/>
        </w:rPr>
        <w:t> </w:t>
      </w:r>
      <w:r>
        <w:rPr/>
        <w:t>four</w:t>
      </w:r>
      <w:r>
        <w:rPr>
          <w:spacing w:val="-3"/>
        </w:rPr>
        <w:t> </w:t>
      </w:r>
      <w:r>
        <w:rPr/>
        <w:t>grooves</w:t>
      </w:r>
      <w:r>
        <w:rPr>
          <w:spacing w:val="-6"/>
        </w:rPr>
        <w:t> </w:t>
      </w:r>
      <w:r>
        <w:rPr/>
        <w:t>and,</w:t>
      </w:r>
      <w:r>
        <w:rPr>
          <w:spacing w:val="-2"/>
        </w:rPr>
        <w:t> </w:t>
      </w:r>
      <w:r>
        <w:rPr/>
        <w:t>usually,</w:t>
      </w:r>
      <w:r>
        <w:rPr>
          <w:spacing w:val="3"/>
        </w:rPr>
        <w:t> </w:t>
      </w:r>
      <w:r>
        <w:rPr/>
        <w:t>includes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>
          <w:spacing w:val="4"/>
        </w:rPr>
        <w:t>g</w:t>
      </w:r>
      <w:r>
        <w:rPr>
          <w:spacing w:val="-10"/>
        </w:rPr>
        <w:t>l</w:t>
      </w:r>
      <w:r>
        <w:rPr/>
        <w:t>u</w:t>
      </w:r>
      <w:r>
        <w:rPr>
          <w:spacing w:val="5"/>
        </w:rPr>
        <w:t>t</w:t>
      </w:r>
      <w:r>
        <w:rPr>
          <w:spacing w:val="3"/>
        </w:rPr>
        <w:t>a</w:t>
      </w:r>
      <w:r>
        <w:rPr>
          <w:spacing w:val="-5"/>
        </w:rPr>
        <w:t>mi</w:t>
      </w:r>
      <w:r>
        <w:rPr/>
        <w:t>ne </w:t>
      </w:r>
      <w:r>
        <w:rPr>
          <w:spacing w:val="-30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23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 </w:t>
      </w:r>
      <w:r>
        <w:rPr>
          <w:spacing w:val="-26"/>
        </w:rPr>
        <w:t> </w:t>
      </w:r>
      <w:r>
        <w:rPr>
          <w:spacing w:val="-6"/>
          <w:w w:val="44"/>
        </w:rPr>
        <w:t>―</w:t>
      </w:r>
      <w:r>
        <w:rPr>
          <w:spacing w:val="4"/>
        </w:rPr>
        <w:t>o</w:t>
      </w:r>
      <w:r>
        <w:rPr/>
        <w:t>x</w:t>
      </w:r>
      <w:r>
        <w:rPr>
          <w:spacing w:val="-5"/>
        </w:rPr>
        <w:t>y</w:t>
      </w:r>
      <w:r>
        <w:rPr>
          <w:spacing w:val="3"/>
        </w:rPr>
        <w:t>a</w:t>
      </w:r>
      <w:r>
        <w:rPr/>
        <w:t>n</w:t>
      </w:r>
      <w:r>
        <w:rPr>
          <w:spacing w:val="-10"/>
        </w:rPr>
        <w:t>i</w:t>
      </w:r>
      <w:r>
        <w:rPr>
          <w:spacing w:val="9"/>
        </w:rPr>
        <w:t>o</w:t>
      </w:r>
      <w:r>
        <w:rPr/>
        <w:t>n </w:t>
      </w:r>
      <w:r>
        <w:rPr>
          <w:spacing w:val="-30"/>
        </w:rPr>
        <w:t> </w:t>
      </w:r>
      <w:r>
        <w:rPr>
          <w:spacing w:val="-5"/>
        </w:rPr>
        <w:t>h</w:t>
      </w:r>
      <w:r>
        <w:rPr>
          <w:spacing w:val="9"/>
        </w:rPr>
        <w:t>o</w:t>
      </w:r>
      <w:r>
        <w:rPr>
          <w:spacing w:val="-10"/>
        </w:rPr>
        <w:t>l</w:t>
      </w:r>
      <w:r>
        <w:rPr>
          <w:spacing w:val="3"/>
        </w:rPr>
        <w:t>e</w:t>
      </w:r>
      <w:r>
        <w:rPr>
          <w:spacing w:val="-1"/>
          <w:w w:val="158"/>
        </w:rPr>
        <w:t>‖</w:t>
      </w:r>
      <w:r>
        <w:rPr/>
        <w:t>.  </w:t>
      </w:r>
      <w:r>
        <w:rPr>
          <w:spacing w:val="4"/>
        </w:rPr>
        <w:t> </w:t>
      </w:r>
      <w:r>
        <w:rPr>
          <w:spacing w:val="1"/>
        </w:rPr>
        <w:t>T</w:t>
      </w:r>
      <w:r>
        <w:rPr>
          <w:spacing w:val="-5"/>
        </w:rPr>
        <w:t>h</w:t>
      </w:r>
      <w:r>
        <w:rPr>
          <w:spacing w:val="3"/>
        </w:rPr>
        <w:t>e</w:t>
      </w:r>
      <w:r>
        <w:rPr>
          <w:spacing w:val="-10"/>
        </w:rPr>
        <w:t>m</w:t>
      </w:r>
      <w:r>
        <w:rPr>
          <w:spacing w:val="9"/>
        </w:rPr>
        <w:t>o</w:t>
      </w:r>
      <w:r>
        <w:rPr>
          <w:spacing w:val="-3"/>
          <w:w w:val="99"/>
        </w:rPr>
        <w:t>s</w:t>
      </w:r>
      <w:r>
        <w:rPr/>
        <w:t>t </w:t>
      </w:r>
      <w:r>
        <w:rPr>
          <w:spacing w:val="-24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</w:rPr>
        <w:t>l</w:t>
      </w:r>
      <w:r>
        <w:rPr>
          <w:spacing w:val="-2"/>
        </w:rPr>
        <w:t>l</w:t>
      </w:r>
      <w:r>
        <w:rPr>
          <w:spacing w:val="1"/>
        </w:rPr>
        <w:t>-</w:t>
      </w:r>
      <w:r>
        <w:rPr/>
        <w:t>d</w:t>
      </w:r>
      <w:r>
        <w:rPr>
          <w:spacing w:val="3"/>
        </w:rPr>
        <w:t>e</w:t>
      </w:r>
      <w:r>
        <w:rPr>
          <w:spacing w:val="-4"/>
        </w:rPr>
        <w:t>f</w:t>
      </w:r>
      <w:r>
        <w:rPr>
          <w:spacing w:val="-5"/>
        </w:rPr>
        <w:t>i</w:t>
      </w:r>
      <w:r>
        <w:rPr/>
        <w:t>n</w:t>
      </w:r>
      <w:r>
        <w:rPr>
          <w:spacing w:val="-1"/>
        </w:rPr>
        <w:t>e</w:t>
      </w:r>
      <w:r>
        <w:rPr/>
        <w:t>d </w:t>
      </w:r>
      <w:r>
        <w:rPr>
          <w:spacing w:val="-30"/>
        </w:rPr>
        <w:t> </w:t>
      </w:r>
      <w:r>
        <w:rPr/>
        <w:t>p</w:t>
      </w:r>
      <w:r>
        <w:rPr>
          <w:spacing w:val="4"/>
        </w:rPr>
        <w:t>o</w:t>
      </w:r>
      <w:r>
        <w:rPr>
          <w:spacing w:val="-1"/>
        </w:rPr>
        <w:t>c</w:t>
      </w:r>
      <w:r>
        <w:rPr/>
        <w:t>k</w:t>
      </w:r>
      <w:r>
        <w:rPr>
          <w:spacing w:val="-1"/>
        </w:rPr>
        <w:t>e</w:t>
      </w:r>
      <w:r>
        <w:rPr/>
        <w:t>t </w:t>
      </w:r>
      <w:r>
        <w:rPr>
          <w:spacing w:val="-20"/>
        </w:rPr>
        <w:t> </w:t>
      </w:r>
      <w:r>
        <w:rPr>
          <w:spacing w:val="-10"/>
        </w:rPr>
        <w:t>i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w w:val="99"/>
        </w:rPr>
        <w:t>S</w:t>
      </w:r>
      <w:r>
        <w:rPr/>
        <w:t>2, </w:t>
      </w:r>
      <w:r>
        <w:rPr>
          <w:spacing w:val="-27"/>
        </w:rPr>
        <w:t> </w:t>
      </w:r>
      <w:r>
        <w:rPr>
          <w:w w:val="99"/>
        </w:rPr>
        <w:t>wh</w:t>
      </w:r>
      <w:r>
        <w:rPr>
          <w:spacing w:val="-5"/>
          <w:w w:val="99"/>
        </w:rPr>
        <w:t>i</w:t>
      </w:r>
      <w:r>
        <w:rPr>
          <w:spacing w:val="3"/>
        </w:rPr>
        <w:t>c</w:t>
      </w:r>
      <w:r>
        <w:rPr/>
        <w:t>h </w:t>
      </w:r>
      <w:r>
        <w:rPr>
          <w:spacing w:val="-30"/>
        </w:rPr>
        <w:t> </w:t>
      </w:r>
      <w:r>
        <w:rPr>
          <w:spacing w:val="-3"/>
          <w:w w:val="99"/>
        </w:rPr>
        <w:t>s</w:t>
      </w:r>
      <w:r>
        <w:rPr>
          <w:spacing w:val="-1"/>
        </w:rPr>
        <w:t>e</w:t>
      </w:r>
      <w:r>
        <w:rPr>
          <w:spacing w:val="3"/>
        </w:rPr>
        <w:t>e</w:t>
      </w:r>
      <w:r>
        <w:rPr>
          <w:spacing w:val="-5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27"/>
        </w:rPr>
        <w:t> </w:t>
      </w:r>
      <w:r>
        <w:rPr/>
        <w:t>to govern</w:t>
      </w:r>
      <w:r>
        <w:rPr>
          <w:spacing w:val="1"/>
        </w:rPr>
        <w:t> </w:t>
      </w:r>
      <w:r>
        <w:rPr/>
        <w:t>specificity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falcipains-2</w:t>
      </w:r>
      <w:r>
        <w:rPr>
          <w:spacing w:val="1"/>
        </w:rPr>
        <w:t> </w:t>
      </w:r>
      <w:r>
        <w:rPr/>
        <w:t>(FP2)</w:t>
      </w:r>
      <w:r>
        <w:rPr>
          <w:spacing w:val="1"/>
        </w:rPr>
        <w:t> </w:t>
      </w:r>
      <w:r>
        <w:rPr/>
        <w:t>and/or</w:t>
      </w:r>
      <w:r>
        <w:rPr>
          <w:spacing w:val="1"/>
        </w:rPr>
        <w:t> </w:t>
      </w:r>
      <w:r>
        <w:rPr/>
        <w:t>falcipains-3</w:t>
      </w:r>
      <w:r>
        <w:rPr>
          <w:spacing w:val="1"/>
        </w:rPr>
        <w:t> </w:t>
      </w:r>
      <w:r>
        <w:rPr/>
        <w:t>(FP3),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prefer</w:t>
      </w:r>
      <w:r>
        <w:rPr>
          <w:spacing w:val="1"/>
        </w:rPr>
        <w:t> </w:t>
      </w:r>
      <w:r>
        <w:rPr/>
        <w:t>substrates bearing a LEU in the corresponding P2 site. The S1‗pocket contains a highly</w:t>
      </w:r>
      <w:r>
        <w:rPr>
          <w:spacing w:val="1"/>
        </w:rPr>
        <w:t> </w:t>
      </w:r>
      <w:r>
        <w:rPr/>
        <w:t>conserved tryptophan, which is known to participate in hydrophobic interactions with</w:t>
      </w:r>
      <w:r>
        <w:rPr>
          <w:spacing w:val="1"/>
        </w:rPr>
        <w:t> </w:t>
      </w:r>
      <w:r>
        <w:rPr/>
        <w:t>substrates. Finally, a glycine-rich region of the binding site represents the S3 groove (Sajid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McKerrow,</w:t>
      </w:r>
      <w:r>
        <w:rPr>
          <w:spacing w:val="-1"/>
        </w:rPr>
        <w:t> </w:t>
      </w:r>
      <w:r>
        <w:rPr/>
        <w:t>2002;</w:t>
      </w:r>
      <w:r>
        <w:rPr>
          <w:spacing w:val="-3"/>
        </w:rPr>
        <w:t> </w:t>
      </w:r>
      <w:r>
        <w:rPr/>
        <w:t>Kerr</w:t>
      </w:r>
      <w:r>
        <w:rPr>
          <w:spacing w:val="7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2009).</w:t>
      </w:r>
    </w:p>
    <w:p>
      <w:pPr>
        <w:pStyle w:val="BodyText"/>
        <w:spacing w:line="480" w:lineRule="auto" w:before="205"/>
        <w:ind w:left="312" w:right="694"/>
        <w:jc w:val="both"/>
        <w:rPr>
          <w:i/>
        </w:rPr>
      </w:pPr>
      <w:r>
        <w:rPr/>
        <w:t>Unique structural features of falcipains are two</w:t>
      </w:r>
      <w:r>
        <w:rPr>
          <w:spacing w:val="60"/>
        </w:rPr>
        <w:t> </w:t>
      </w:r>
      <w:r>
        <w:rPr/>
        <w:t>novel insertions assigned as FP2/3 nose</w:t>
      </w:r>
      <w:r>
        <w:rPr>
          <w:spacing w:val="1"/>
        </w:rPr>
        <w:t> </w:t>
      </w:r>
      <w:r>
        <w:rPr/>
        <w:t>and FP2/3 arm (Figure 2.2). The FP2/3 nose motif, situated at the N-terminus, is required</w:t>
      </w:r>
      <w:r>
        <w:rPr>
          <w:spacing w:val="1"/>
        </w:rPr>
        <w:t> </w:t>
      </w:r>
      <w:r>
        <w:rPr/>
        <w:t>for folding, while the FP2/3 arm contains a C- terminal insertion and mediates interaction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4"/>
        </w:rPr>
        <w:t> </w:t>
      </w:r>
      <w:r>
        <w:rPr/>
        <w:t>falcipains</w:t>
      </w:r>
      <w:r>
        <w:rPr>
          <w:spacing w:val="3"/>
        </w:rPr>
        <w:t> </w:t>
      </w:r>
      <w:r>
        <w:rPr/>
        <w:t>and</w:t>
      </w:r>
      <w:r>
        <w:rPr>
          <w:spacing w:val="4"/>
        </w:rPr>
        <w:t> </w:t>
      </w:r>
      <w:r>
        <w:rPr/>
        <w:t>hemoglobin</w:t>
      </w:r>
      <w:r>
        <w:rPr>
          <w:spacing w:val="4"/>
        </w:rPr>
        <w:t> </w:t>
      </w:r>
      <w:r>
        <w:rPr/>
        <w:t>independent</w:t>
      </w:r>
      <w:r>
        <w:rPr>
          <w:spacing w:val="6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12"/>
        </w:rPr>
        <w:t> </w:t>
      </w:r>
      <w:r>
        <w:rPr/>
        <w:t>enzyme</w:t>
      </w:r>
      <w:r>
        <w:rPr>
          <w:spacing w:val="8"/>
        </w:rPr>
        <w:t> </w:t>
      </w:r>
      <w:r>
        <w:rPr/>
        <w:t>‗s</w:t>
      </w:r>
      <w:r>
        <w:rPr>
          <w:spacing w:val="2"/>
        </w:rPr>
        <w:t> </w:t>
      </w:r>
      <w:r>
        <w:rPr/>
        <w:t>active</w:t>
      </w:r>
      <w:r>
        <w:rPr>
          <w:spacing w:val="4"/>
        </w:rPr>
        <w:t> </w:t>
      </w:r>
      <w:r>
        <w:rPr/>
        <w:t>site</w:t>
      </w:r>
      <w:r>
        <w:rPr>
          <w:spacing w:val="3"/>
        </w:rPr>
        <w:t> </w:t>
      </w:r>
      <w:r>
        <w:rPr/>
        <w:t>(Wang</w:t>
      </w:r>
      <w:r>
        <w:rPr>
          <w:spacing w:val="9"/>
        </w:rPr>
        <w:t> </w:t>
      </w:r>
      <w:r>
        <w:rPr>
          <w:i/>
        </w:rPr>
        <w:t>et</w:t>
      </w:r>
    </w:p>
    <w:p>
      <w:pPr>
        <w:spacing w:after="0" w:line="480" w:lineRule="auto"/>
        <w:jc w:val="both"/>
        <w:sectPr>
          <w:headerReference w:type="default" r:id="rId74"/>
          <w:footerReference w:type="default" r:id="rId7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7"/>
        <w:jc w:val="both"/>
      </w:pPr>
      <w:r>
        <w:rPr>
          <w:i/>
        </w:rPr>
        <w:t>al.,</w:t>
      </w:r>
      <w:r>
        <w:rPr>
          <w:i/>
          <w:spacing w:val="1"/>
        </w:rPr>
        <w:t> </w:t>
      </w:r>
      <w:r>
        <w:rPr/>
        <w:t>2006).</w:t>
      </w:r>
      <w:r>
        <w:rPr>
          <w:spacing w:val="1"/>
        </w:rPr>
        <w:t> </w:t>
      </w:r>
      <w:r>
        <w:rPr/>
        <w:t>FP2 and FP3 are single polypeptide</w:t>
      </w:r>
      <w:r>
        <w:rPr>
          <w:spacing w:val="1"/>
        </w:rPr>
        <w:t> </w:t>
      </w:r>
      <w:r>
        <w:rPr/>
        <w:t>chains of 241 and 243 amino</w:t>
      </w:r>
      <w:r>
        <w:rPr>
          <w:spacing w:val="1"/>
        </w:rPr>
        <w:t> </w:t>
      </w:r>
      <w:r>
        <w:rPr/>
        <w:t>acids,</w:t>
      </w:r>
      <w:r>
        <w:rPr>
          <w:spacing w:val="1"/>
        </w:rPr>
        <w:t> </w:t>
      </w:r>
      <w:r>
        <w:rPr/>
        <w:t>respectively.</w:t>
      </w: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1887727</wp:posOffset>
            </wp:positionH>
            <wp:positionV relativeFrom="paragraph">
              <wp:posOffset>132901</wp:posOffset>
            </wp:positionV>
            <wp:extent cx="4130256" cy="2833687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256" cy="2833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0"/>
        </w:rPr>
      </w:pPr>
    </w:p>
    <w:p>
      <w:pPr>
        <w:pStyle w:val="Heading1"/>
        <w:spacing w:before="0"/>
        <w:ind w:right="833"/>
      </w:pPr>
      <w:r>
        <w:rPr/>
        <w:t>Figure 2.2: Cartoon representation of the structure of falcipain-2 (PDB code: 3BPF)</w:t>
      </w:r>
      <w:r>
        <w:rPr>
          <w:spacing w:val="-57"/>
        </w:rPr>
        <w:t> </w:t>
      </w:r>
      <w:r>
        <w:rPr/>
        <w:t>with the L domain (Left) and the R (Right). The N- terminal extension (FP nose) at</w:t>
      </w:r>
      <w:r>
        <w:rPr>
          <w:spacing w:val="1"/>
        </w:rPr>
        <w:t> </w:t>
      </w:r>
      <w:r>
        <w:rPr/>
        <w:t>the most right and the C-terminal insertion (FP arm) at the bottom are colored in</w:t>
      </w:r>
      <w:r>
        <w:rPr>
          <w:spacing w:val="1"/>
        </w:rPr>
        <w:t> </w:t>
      </w:r>
      <w:r>
        <w:rPr/>
        <w:t>dark</w:t>
      </w:r>
      <w:r>
        <w:rPr>
          <w:spacing w:val="-3"/>
        </w:rPr>
        <w:t> </w:t>
      </w:r>
      <w:r>
        <w:rPr/>
        <w:t>grey</w:t>
      </w:r>
      <w:r>
        <w:rPr>
          <w:spacing w:val="2"/>
        </w:rPr>
        <w:t> </w:t>
      </w:r>
      <w:r>
        <w:rPr/>
        <w:t>(Wang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2006)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52"/>
        <w:ind w:left="312" w:right="691"/>
        <w:jc w:val="both"/>
      </w:pPr>
      <w:r>
        <w:rPr/>
        <w:t>Falcipains are the best characterized cysteine proteases of the malaria parasite. Analysis of</w:t>
      </w:r>
      <w:r>
        <w:rPr>
          <w:spacing w:val="-57"/>
        </w:rPr>
        <w:t> </w:t>
      </w:r>
      <w:r>
        <w:rPr/>
        <w:t>the </w:t>
      </w:r>
      <w:r>
        <w:rPr>
          <w:i/>
        </w:rPr>
        <w:t>P. falciparum </w:t>
      </w:r>
      <w:r>
        <w:rPr/>
        <w:t>genome sequence suggested the existence of a family of four falcipains:</w:t>
      </w:r>
      <w:r>
        <w:rPr>
          <w:spacing w:val="1"/>
        </w:rPr>
        <w:t> </w:t>
      </w:r>
      <w:r>
        <w:rPr/>
        <w:t>falcipain-1 (FP1),</w:t>
      </w:r>
      <w:r>
        <w:rPr>
          <w:spacing w:val="1"/>
        </w:rPr>
        <w:t> </w:t>
      </w:r>
      <w:r>
        <w:rPr/>
        <w:t>falcipain-2 (FP2),</w:t>
      </w:r>
      <w:r>
        <w:rPr>
          <w:spacing w:val="1"/>
        </w:rPr>
        <w:t> </w:t>
      </w:r>
      <w:r>
        <w:rPr/>
        <w:t>falcipain-2‗(FP2‗) and</w:t>
      </w:r>
      <w:r>
        <w:rPr>
          <w:spacing w:val="1"/>
        </w:rPr>
        <w:t> </w:t>
      </w:r>
      <w:r>
        <w:rPr/>
        <w:t>falcipain-3 (FP3).</w:t>
      </w:r>
      <w:r>
        <w:rPr>
          <w:spacing w:val="1"/>
        </w:rPr>
        <w:t> </w:t>
      </w:r>
      <w:r>
        <w:rPr/>
        <w:t>FP1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encoded on chromosome 14 and is distantly related to the other falcipains in terms of</w:t>
      </w:r>
      <w:r>
        <w:rPr>
          <w:spacing w:val="1"/>
        </w:rPr>
        <w:t> </w:t>
      </w:r>
      <w:r>
        <w:rPr/>
        <w:t>sequence (&lt;40% amino acid identity) and function. Its exact physiological role is yet to be</w:t>
      </w:r>
      <w:r>
        <w:rPr>
          <w:spacing w:val="1"/>
        </w:rPr>
        <w:t> </w:t>
      </w:r>
      <w:r>
        <w:rPr/>
        <w:t>elucidated.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suggested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FP1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oocyst</w:t>
      </w:r>
      <w:r>
        <w:rPr>
          <w:spacing w:val="1"/>
        </w:rPr>
        <w:t> </w:t>
      </w:r>
      <w:r>
        <w:rPr/>
        <w:t>production during parasite development in the mosquito mid-gut and also could help in the</w:t>
      </w:r>
      <w:r>
        <w:rPr>
          <w:spacing w:val="-57"/>
        </w:rPr>
        <w:t> </w:t>
      </w:r>
      <w:r>
        <w:rPr/>
        <w:t>invasion of the host cell by the</w:t>
      </w:r>
      <w:r>
        <w:rPr>
          <w:i/>
        </w:rPr>
        <w:t>P. falciparum</w:t>
      </w:r>
      <w:r>
        <w:rPr/>
        <w:t>. FP2, FP2‗and FP3 encoded on chromosome</w:t>
      </w:r>
      <w:r>
        <w:rPr>
          <w:spacing w:val="1"/>
        </w:rPr>
        <w:t> </w:t>
      </w:r>
      <w:r>
        <w:rPr/>
        <w:t>11, are closely related and appear to be the key hemoglobinases in the acidic food vacuole.</w:t>
      </w:r>
      <w:r>
        <w:rPr>
          <w:spacing w:val="-57"/>
        </w:rPr>
        <w:t> </w:t>
      </w:r>
      <w:r>
        <w:rPr/>
        <w:t>Also, they are believed tobe involved in the transformation of pro-plasmepsins into the</w:t>
      </w:r>
      <w:r>
        <w:rPr>
          <w:spacing w:val="1"/>
        </w:rPr>
        <w:t> </w:t>
      </w:r>
      <w:r>
        <w:rPr/>
        <w:t>mature active</w:t>
      </w:r>
      <w:r>
        <w:rPr>
          <w:spacing w:val="1"/>
        </w:rPr>
        <w:t> </w:t>
      </w:r>
      <w:r>
        <w:rPr/>
        <w:t>enzymes (Teixeira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2011).</w:t>
      </w:r>
    </w:p>
    <w:p>
      <w:pPr>
        <w:spacing w:after="0" w:line="480" w:lineRule="auto"/>
        <w:jc w:val="both"/>
        <w:sectPr>
          <w:headerReference w:type="default" r:id="rId76"/>
          <w:footerReference w:type="default" r:id="rId77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FP2 and FP3 present a high similarity in sequence (68% identity), share similar sized pro-</w:t>
      </w:r>
      <w:r>
        <w:rPr>
          <w:spacing w:val="1"/>
        </w:rPr>
        <w:t> </w:t>
      </w:r>
      <w:r>
        <w:rPr/>
        <w:t>domains and include an unusual amino-terminal extension of the catalytic domain that is</w:t>
      </w:r>
      <w:r>
        <w:rPr>
          <w:spacing w:val="1"/>
        </w:rPr>
        <w:t> </w:t>
      </w:r>
      <w:r>
        <w:rPr/>
        <w:t>not found in FP1. Both enzymes require a reducing environment and acidic pH for optimal</w:t>
      </w:r>
      <w:r>
        <w:rPr>
          <w:spacing w:val="-57"/>
        </w:rPr>
        <w:t> </w:t>
      </w:r>
      <w:r>
        <w:rPr/>
        <w:t>activity. At acidic pH, FP3 is more active and stable, presenting a higher activity against</w:t>
      </w:r>
      <w:r>
        <w:rPr>
          <w:spacing w:val="1"/>
        </w:rPr>
        <w:t> </w:t>
      </w:r>
      <w:r>
        <w:rPr/>
        <w:t>native hemoglobin than FP2. It has been discovered that, despite the concentration of FP2</w:t>
      </w:r>
      <w:r>
        <w:rPr>
          <w:spacing w:val="1"/>
        </w:rPr>
        <w:t> </w:t>
      </w:r>
      <w:r>
        <w:rPr/>
        <w:t>in trophozoites being 1.8 times that of FP3, the latter seems to cleave hemoglobin about</w:t>
      </w:r>
      <w:r>
        <w:rPr>
          <w:spacing w:val="1"/>
        </w:rPr>
        <w:t> </w:t>
      </w:r>
      <w:r>
        <w:rPr/>
        <w:t>twice as rapidly as the former. This indicates that the relative contribution of the two</w:t>
      </w:r>
      <w:r>
        <w:rPr>
          <w:spacing w:val="1"/>
        </w:rPr>
        <w:t> </w:t>
      </w:r>
      <w:r>
        <w:rPr/>
        <w:t>enzymes to hemoglobin degradation is essentially equivalent. The loss of FP2 is probably</w:t>
      </w:r>
      <w:r>
        <w:rPr>
          <w:spacing w:val="1"/>
        </w:rPr>
        <w:t> </w:t>
      </w:r>
      <w:r>
        <w:rPr/>
        <w:t>compensated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expression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FP2‗and/or</w:t>
      </w:r>
      <w:r>
        <w:rPr>
          <w:spacing w:val="1"/>
        </w:rPr>
        <w:t> </w:t>
      </w:r>
      <w:r>
        <w:rPr/>
        <w:t>FP3,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suggesting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overlapping functions performed by the falcipains (Rosenthal, 2011; Marco and Miguel,</w:t>
      </w:r>
      <w:r>
        <w:rPr>
          <w:spacing w:val="1"/>
        </w:rPr>
        <w:t> </w:t>
      </w:r>
      <w:r>
        <w:rPr/>
        <w:t>2012). On the other hand, disruption of the FP3 gene is not possible, strongly suggesting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FP3</w:t>
      </w:r>
      <w:r>
        <w:rPr>
          <w:spacing w:val="2"/>
        </w:rPr>
        <w:t> </w:t>
      </w:r>
      <w:r>
        <w:rPr/>
        <w:t>is</w:t>
      </w:r>
      <w:r>
        <w:rPr>
          <w:spacing w:val="-1"/>
        </w:rPr>
        <w:t> </w:t>
      </w:r>
      <w:r>
        <w:rPr/>
        <w:t>essential</w:t>
      </w:r>
      <w:r>
        <w:rPr>
          <w:spacing w:val="-3"/>
        </w:rPr>
        <w:t> </w:t>
      </w:r>
      <w:r>
        <w:rPr/>
        <w:t>for</w:t>
      </w:r>
      <w:r>
        <w:rPr>
          <w:spacing w:val="2"/>
        </w:rPr>
        <w:t> </w:t>
      </w:r>
      <w:r>
        <w:rPr/>
        <w:t>erythrocytic</w:t>
      </w:r>
      <w:r>
        <w:rPr>
          <w:spacing w:val="1"/>
        </w:rPr>
        <w:t> </w:t>
      </w:r>
      <w:r>
        <w:rPr/>
        <w:t>parasites.</w:t>
      </w:r>
    </w:p>
    <w:p>
      <w:pPr>
        <w:pStyle w:val="BodyText"/>
        <w:spacing w:line="480" w:lineRule="auto" w:before="204"/>
        <w:ind w:left="312" w:right="697"/>
        <w:jc w:val="both"/>
      </w:pPr>
      <w:r>
        <w:rPr/>
        <w:t>These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suggest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focused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falcipains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simultaneous</w:t>
      </w:r>
      <w:r>
        <w:rPr>
          <w:spacing w:val="3"/>
        </w:rPr>
        <w:t> </w:t>
      </w:r>
      <w:r>
        <w:rPr/>
        <w:t>inhibition</w:t>
      </w:r>
      <w:r>
        <w:rPr>
          <w:spacing w:val="-3"/>
        </w:rPr>
        <w:t> </w:t>
      </w:r>
      <w:r>
        <w:rPr/>
        <w:t>of</w:t>
      </w:r>
      <w:r>
        <w:rPr>
          <w:spacing w:val="-7"/>
        </w:rPr>
        <w:t> </w:t>
      </w:r>
      <w:r>
        <w:rPr/>
        <w:t>all</w:t>
      </w:r>
      <w:r>
        <w:rPr>
          <w:spacing w:val="-3"/>
        </w:rPr>
        <w:t> </w:t>
      </w:r>
      <w:r>
        <w:rPr/>
        <w:t>the essential</w:t>
      </w:r>
      <w:r>
        <w:rPr>
          <w:spacing w:val="-3"/>
        </w:rPr>
        <w:t> </w:t>
      </w:r>
      <w:r>
        <w:rPr/>
        <w:t>falcipains.</w:t>
      </w:r>
    </w:p>
    <w:p>
      <w:pPr>
        <w:pStyle w:val="Heading1"/>
        <w:numPr>
          <w:ilvl w:val="2"/>
          <w:numId w:val="10"/>
        </w:numPr>
        <w:tabs>
          <w:tab w:pos="856" w:val="left" w:leader="none"/>
        </w:tabs>
        <w:spacing w:line="240" w:lineRule="auto" w:before="202" w:after="0"/>
        <w:ind w:left="855" w:right="0" w:hanging="544"/>
        <w:jc w:val="both"/>
      </w:pPr>
      <w:bookmarkStart w:name="_TOC_250073" w:id="20"/>
      <w:r>
        <w:rPr/>
        <w:t>Aspartic</w:t>
      </w:r>
      <w:r>
        <w:rPr>
          <w:spacing w:val="-6"/>
        </w:rPr>
        <w:t> </w:t>
      </w:r>
      <w:bookmarkEnd w:id="20"/>
      <w:r>
        <w:rPr/>
        <w:t>proteases</w:t>
      </w:r>
    </w:p>
    <w:p>
      <w:pPr>
        <w:pStyle w:val="BodyText"/>
        <w:spacing w:line="480" w:lineRule="auto" w:before="194"/>
        <w:ind w:left="312" w:right="705"/>
        <w:jc w:val="both"/>
      </w:pPr>
      <w:r>
        <w:rPr/>
        <w:t>Aspartic proteases have aspartic acid as their catalytic apparatus and, use water molecules</w:t>
      </w:r>
      <w:r>
        <w:rPr>
          <w:spacing w:val="1"/>
        </w:rPr>
        <w:t> </w:t>
      </w:r>
      <w:r>
        <w:rPr/>
        <w:t>for proteolysis through a nucleophilic attack on the carbonyl carbon in acidic conditions</w:t>
      </w:r>
      <w:r>
        <w:rPr>
          <w:spacing w:val="1"/>
        </w:rPr>
        <w:t> </w:t>
      </w:r>
      <w:r>
        <w:rPr/>
        <w:t>(Bjelic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/>
        <w:t>2007).</w:t>
      </w:r>
    </w:p>
    <w:p>
      <w:pPr>
        <w:pStyle w:val="BodyText"/>
        <w:spacing w:line="480" w:lineRule="auto" w:before="203"/>
        <w:ind w:left="312" w:right="691"/>
        <w:jc w:val="both"/>
      </w:pPr>
      <w:r>
        <w:rPr/>
        <w:t>Aspartic proteases (Figure 2.3) are bi-lobed (two assymetrical lobes) molecules (N- and C-</w:t>
      </w:r>
      <w:r>
        <w:rPr>
          <w:spacing w:val="-57"/>
        </w:rPr>
        <w:t> </w:t>
      </w:r>
      <w:r>
        <w:rPr/>
        <w:t>terminals) with the active site situated at the interface of the two domains; each lobe</w:t>
      </w:r>
      <w:r>
        <w:rPr>
          <w:spacing w:val="1"/>
        </w:rPr>
        <w:t> </w:t>
      </w:r>
      <w:r>
        <w:rPr/>
        <w:t>contributes an aspartic acid to the catalytic dyad of the active site. The two aspartic acids</w:t>
      </w:r>
      <w:r>
        <w:rPr>
          <w:spacing w:val="1"/>
        </w:rPr>
        <w:t> </w:t>
      </w:r>
      <w:r>
        <w:rPr/>
        <w:t>(Asp34 and Asp214) are located in close geometrical proximity to each other, functioning</w:t>
      </w:r>
      <w:r>
        <w:rPr>
          <w:spacing w:val="1"/>
        </w:rPr>
        <w:t> </w:t>
      </w:r>
      <w:r>
        <w:rPr/>
        <w:t>at an optimum acidic pH which ensures at any given moment one of the aspartic acid</w:t>
      </w:r>
      <w:r>
        <w:rPr>
          <w:spacing w:val="1"/>
        </w:rPr>
        <w:t> </w:t>
      </w:r>
      <w:r>
        <w:rPr/>
        <w:t>residues is protonated (ionized) and the other is deprotonated (unionized) (Asojo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2003;</w:t>
      </w:r>
      <w:r>
        <w:rPr>
          <w:spacing w:val="-7"/>
        </w:rPr>
        <w:t> </w:t>
      </w:r>
      <w:r>
        <w:rPr/>
        <w:t>Silva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/>
        <w:t>1996).</w:t>
      </w:r>
      <w:r>
        <w:rPr>
          <w:spacing w:val="-5"/>
        </w:rPr>
        <w:t> </w:t>
      </w:r>
      <w:r>
        <w:rPr/>
        <w:t>The</w:t>
      </w:r>
      <w:r>
        <w:rPr>
          <w:spacing w:val="3"/>
        </w:rPr>
        <w:t> </w:t>
      </w:r>
      <w:r>
        <w:rPr/>
        <w:t>mature</w:t>
      </w:r>
      <w:r>
        <w:rPr>
          <w:spacing w:val="-3"/>
        </w:rPr>
        <w:t> </w:t>
      </w:r>
      <w:r>
        <w:rPr/>
        <w:t>enzyme</w:t>
      </w:r>
      <w:r>
        <w:rPr>
          <w:spacing w:val="3"/>
        </w:rPr>
        <w:t> </w:t>
      </w:r>
      <w:r>
        <w:rPr/>
        <w:t>is formed</w:t>
      </w:r>
      <w:r>
        <w:rPr>
          <w:spacing w:val="3"/>
        </w:rPr>
        <w:t> </w:t>
      </w:r>
      <w:r>
        <w:rPr/>
        <w:t>by</w:t>
      </w:r>
      <w:r>
        <w:rPr>
          <w:spacing w:val="-11"/>
        </w:rPr>
        <w:t> </w:t>
      </w:r>
      <w:r>
        <w:rPr/>
        <w:t>a</w:t>
      </w:r>
      <w:r>
        <w:rPr>
          <w:spacing w:val="-2"/>
        </w:rPr>
        <w:t> </w:t>
      </w:r>
      <w:r>
        <w:rPr/>
        <w:t>single</w:t>
      </w:r>
      <w:r>
        <w:rPr>
          <w:spacing w:val="-3"/>
        </w:rPr>
        <w:t> </w:t>
      </w:r>
      <w:r>
        <w:rPr/>
        <w:t>chain</w:t>
      </w:r>
      <w:r>
        <w:rPr>
          <w:spacing w:val="-1"/>
        </w:rPr>
        <w:t> </w:t>
      </w:r>
      <w:r>
        <w:rPr/>
        <w:t>of</w:t>
      </w:r>
      <w:r>
        <w:rPr>
          <w:spacing w:val="-9"/>
        </w:rPr>
        <w:t> </w:t>
      </w:r>
      <w:r>
        <w:rPr/>
        <w:t>329</w:t>
      </w:r>
      <w:r>
        <w:rPr>
          <w:spacing w:val="-2"/>
        </w:rPr>
        <w:t> </w:t>
      </w:r>
      <w:r>
        <w:rPr/>
        <w:t>amino</w:t>
      </w:r>
      <w:r>
        <w:rPr>
          <w:spacing w:val="3"/>
        </w:rPr>
        <w:t> </w:t>
      </w:r>
      <w:r>
        <w:rPr/>
        <w:t>acid</w:t>
      </w:r>
    </w:p>
    <w:p>
      <w:pPr>
        <w:spacing w:after="0" w:line="480" w:lineRule="auto"/>
        <w:jc w:val="both"/>
        <w:sectPr>
          <w:headerReference w:type="default" r:id="rId79"/>
          <w:footerReference w:type="default" r:id="rId8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3"/>
        <w:jc w:val="both"/>
      </w:pPr>
      <w:r>
        <w:rPr/>
        <w:t>residues. A unique structural feature of aspartic protease enzymes is the flap region lying</w:t>
      </w:r>
      <w:r>
        <w:rPr>
          <w:spacing w:val="1"/>
        </w:rPr>
        <w:t> </w:t>
      </w:r>
      <w:r>
        <w:rPr/>
        <w:t>perpendicular to the catalytic aspartic acid in the active site and, partially covering the</w:t>
      </w:r>
      <w:r>
        <w:rPr>
          <w:spacing w:val="1"/>
        </w:rPr>
        <w:t> </w:t>
      </w:r>
      <w:r>
        <w:rPr/>
        <w:t>active site. The flap region plays crucial role in ligand recognition and in regulating access</w:t>
      </w:r>
      <w:r>
        <w:rPr>
          <w:spacing w:val="-57"/>
        </w:rPr>
        <w:t> </w:t>
      </w:r>
      <w:r>
        <w:rPr/>
        <w:t>to</w:t>
      </w:r>
      <w:r>
        <w:rPr>
          <w:spacing w:val="-3"/>
        </w:rPr>
        <w:t> </w:t>
      </w:r>
      <w:r>
        <w:rPr/>
        <w:t>the active site,</w:t>
      </w:r>
      <w:r>
        <w:rPr>
          <w:spacing w:val="3"/>
        </w:rPr>
        <w:t> </w:t>
      </w:r>
      <w:r>
        <w:rPr/>
        <w:t>thereby</w:t>
      </w:r>
      <w:r>
        <w:rPr>
          <w:spacing w:val="-4"/>
        </w:rPr>
        <w:t> </w:t>
      </w:r>
      <w:r>
        <w:rPr/>
        <w:t>regulating</w:t>
      </w:r>
      <w:r>
        <w:rPr>
          <w:spacing w:val="5"/>
        </w:rPr>
        <w:t> </w:t>
      </w:r>
      <w:r>
        <w:rPr/>
        <w:t>ligand</w:t>
      </w:r>
      <w:r>
        <w:rPr>
          <w:spacing w:val="1"/>
        </w:rPr>
        <w:t> </w:t>
      </w:r>
      <w:r>
        <w:rPr/>
        <w:t>binding</w:t>
      </w:r>
      <w:r>
        <w:rPr>
          <w:spacing w:val="5"/>
        </w:rPr>
        <w:t> </w:t>
      </w:r>
      <w:r>
        <w:rPr/>
        <w:t>(Bjelic</w:t>
      </w:r>
      <w:r>
        <w:rPr>
          <w:spacing w:val="7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2007).</w:t>
      </w: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2452497</wp:posOffset>
            </wp:positionH>
            <wp:positionV relativeFrom="paragraph">
              <wp:posOffset>132961</wp:posOffset>
            </wp:positionV>
            <wp:extent cx="3024927" cy="2919983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927" cy="291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spacing w:before="200"/>
        <w:ind w:right="691"/>
        <w:jc w:val="both"/>
      </w:pPr>
      <w:r>
        <w:rPr/>
        <w:t>Figure 2.3: Figure 2.3: Ribbon diagram of the complex of plasmepsins II with EH58</w:t>
      </w:r>
      <w:r>
        <w:rPr>
          <w:spacing w:val="1"/>
        </w:rPr>
        <w:t> </w:t>
      </w:r>
      <w:r>
        <w:rPr/>
        <w:t>showing disulfide bridges, catalytic dyad, inhibitor, flap, flexible loop and proline-</w:t>
      </w:r>
      <w:r>
        <w:rPr>
          <w:spacing w:val="1"/>
        </w:rPr>
        <w:t> </w:t>
      </w:r>
      <w:r>
        <w:rPr/>
        <w:t>rich loop in red, magenta, white, blue, yellow and green, respectively (Asojo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2003).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38"/>
        </w:rPr>
      </w:pPr>
    </w:p>
    <w:p>
      <w:pPr>
        <w:pStyle w:val="BodyText"/>
        <w:spacing w:line="480" w:lineRule="auto"/>
        <w:ind w:left="312" w:right="691"/>
        <w:jc w:val="both"/>
      </w:pPr>
      <w:r>
        <w:rPr/>
        <w:t>The mechanism of action of aspartic proteases is through a general acid-base reaction</w:t>
      </w:r>
      <w:r>
        <w:rPr>
          <w:spacing w:val="1"/>
        </w:rPr>
        <w:t> (</w:t>
      </w:r>
      <w:r>
        <w:rPr>
          <w:spacing w:val="-6"/>
          <w:w w:val="44"/>
        </w:rPr>
        <w:t>―</w:t>
      </w:r>
      <w:r>
        <w:rPr>
          <w:w w:val="99"/>
        </w:rPr>
        <w:t>pu</w:t>
      </w:r>
      <w:r>
        <w:rPr>
          <w:spacing w:val="2"/>
          <w:w w:val="99"/>
        </w:rPr>
        <w:t>s</w:t>
      </w:r>
      <w:r>
        <w:rPr>
          <w:spacing w:val="-5"/>
        </w:rPr>
        <w:t>h</w:t>
      </w:r>
      <w:r>
        <w:rPr>
          <w:spacing w:val="1"/>
        </w:rPr>
        <w:t>-</w:t>
      </w:r>
      <w:r>
        <w:rPr/>
        <w:t>p</w:t>
      </w:r>
      <w:r>
        <w:rPr>
          <w:spacing w:val="4"/>
        </w:rPr>
        <w:t>u</w:t>
      </w:r>
      <w:r>
        <w:rPr/>
        <w:t>ll</w:t>
      </w:r>
      <w:r>
        <w:rPr>
          <w:spacing w:val="12"/>
        </w:rPr>
        <w:t> </w:t>
      </w:r>
      <w:r>
        <w:rPr>
          <w:spacing w:val="-5"/>
        </w:rPr>
        <w:t>m</w:t>
      </w:r>
      <w:r>
        <w:rPr>
          <w:spacing w:val="-1"/>
        </w:rPr>
        <w:t>e</w:t>
      </w:r>
      <w:r>
        <w:rPr>
          <w:spacing w:val="3"/>
        </w:rPr>
        <w:t>c</w:t>
      </w:r>
      <w:r>
        <w:rPr/>
        <w:t>h</w:t>
      </w:r>
      <w:r>
        <w:rPr>
          <w:spacing w:val="3"/>
        </w:rPr>
        <w:t>a</w:t>
      </w:r>
      <w:r>
        <w:rPr/>
        <w:t>n</w:t>
      </w:r>
      <w:r>
        <w:rPr>
          <w:spacing w:val="-5"/>
        </w:rPr>
        <w:t>i</w:t>
      </w:r>
      <w:r>
        <w:rPr>
          <w:spacing w:val="2"/>
          <w:w w:val="99"/>
        </w:rPr>
        <w:t>s</w:t>
      </w:r>
      <w:r>
        <w:rPr>
          <w:spacing w:val="-3"/>
        </w:rPr>
        <w:t>m</w:t>
      </w:r>
      <w:r>
        <w:rPr>
          <w:spacing w:val="-1"/>
          <w:w w:val="158"/>
        </w:rPr>
        <w:t>‖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18"/>
          <w:w w:val="9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  <w:w w:val="99"/>
        </w:rPr>
        <w:t> </w:t>
      </w:r>
      <w:r>
        <w:rPr>
          <w:spacing w:val="4"/>
          <w:w w:val="99"/>
        </w:rPr>
        <w:t>w</w:t>
      </w:r>
      <w:r>
        <w:rPr/>
        <w:t>h</w:t>
      </w:r>
      <w:r>
        <w:rPr>
          <w:spacing w:val="-5"/>
        </w:rPr>
        <w:t>i</w:t>
      </w:r>
      <w:r>
        <w:rPr>
          <w:spacing w:val="3"/>
        </w:rPr>
        <w:t>c</w:t>
      </w:r>
      <w:r>
        <w:rPr/>
        <w:t>h</w:t>
      </w:r>
      <w:r>
        <w:rPr>
          <w:spacing w:val="6"/>
        </w:rPr>
        <w:t> </w:t>
      </w:r>
      <w:r>
        <w:rPr/>
        <w:t>a</w:t>
      </w:r>
      <w:r>
        <w:rPr>
          <w:spacing w:val="20"/>
        </w:rPr>
        <w:t> </w:t>
      </w:r>
      <w:r>
        <w:rPr>
          <w:spacing w:val="-5"/>
        </w:rPr>
        <w:t>n</w:t>
      </w:r>
      <w:r>
        <w:rPr/>
        <w:t>u</w:t>
      </w:r>
      <w:r>
        <w:rPr>
          <w:spacing w:val="3"/>
        </w:rPr>
        <w:t>c</w:t>
      </w:r>
      <w:r>
        <w:rPr>
          <w:spacing w:val="-5"/>
        </w:rPr>
        <w:t>l</w:t>
      </w:r>
      <w:r>
        <w:rPr>
          <w:spacing w:val="-1"/>
        </w:rPr>
        <w:t>e</w:t>
      </w:r>
      <w:r>
        <w:rPr>
          <w:spacing w:val="4"/>
        </w:rPr>
        <w:t>o</w:t>
      </w:r>
      <w:r>
        <w:rPr/>
        <w:t>phil</w:t>
      </w:r>
      <w:r>
        <w:rPr>
          <w:spacing w:val="-5"/>
        </w:rPr>
        <w:t>i</w:t>
      </w:r>
      <w:r>
        <w:rPr/>
        <w:t>c</w:t>
      </w:r>
      <w:r>
        <w:rPr>
          <w:spacing w:val="15"/>
        </w:rPr>
        <w:t> </w:t>
      </w:r>
      <w:r>
        <w:rPr>
          <w:spacing w:val="-1"/>
        </w:rPr>
        <w:t>a</w:t>
      </w:r>
      <w:r>
        <w:rPr/>
        <w:t>t</w:t>
      </w:r>
      <w:r>
        <w:rPr>
          <w:spacing w:val="5"/>
        </w:rPr>
        <w:t>t</w:t>
      </w:r>
      <w:r>
        <w:rPr>
          <w:spacing w:val="-1"/>
        </w:rPr>
        <w:t>ac</w:t>
      </w:r>
      <w:r>
        <w:rPr/>
        <w:t>k</w:t>
      </w:r>
      <w:r>
        <w:rPr>
          <w:spacing w:val="11"/>
        </w:rPr>
        <w:t> </w:t>
      </w:r>
      <w:r>
        <w:rPr>
          <w:spacing w:val="4"/>
        </w:rPr>
        <w:t>o</w:t>
      </w:r>
      <w:r>
        <w:rPr>
          <w:spacing w:val="-1"/>
        </w:rPr>
        <w:t>cc</w:t>
      </w:r>
      <w:r>
        <w:rPr/>
        <w:t>u</w:t>
      </w:r>
      <w:r>
        <w:rPr>
          <w:spacing w:val="1"/>
        </w:rPr>
        <w:t>r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>
          <w:spacing w:val="-4"/>
        </w:rPr>
        <w:t>r</w:t>
      </w:r>
      <w:r>
        <w:rPr>
          <w:spacing w:val="4"/>
        </w:rPr>
        <w:t>o</w:t>
      </w:r>
      <w:r>
        <w:rPr/>
        <w:t>ugh</w:t>
      </w:r>
      <w:r>
        <w:rPr>
          <w:spacing w:val="6"/>
        </w:rPr>
        <w:t> </w:t>
      </w:r>
      <w:r>
        <w:rPr>
          <w:spacing w:val="5"/>
        </w:rPr>
        <w:t>t</w:t>
      </w:r>
      <w:r>
        <w:rPr>
          <w:spacing w:val="-5"/>
        </w:rPr>
        <w:t>h</w:t>
      </w:r>
      <w:r>
        <w:rPr/>
        <w:t>e</w:t>
      </w:r>
      <w:r>
        <w:rPr>
          <w:spacing w:val="15"/>
        </w:rPr>
        <w:t> </w:t>
      </w:r>
      <w:r>
        <w:rPr>
          <w:spacing w:val="2"/>
          <w:w w:val="99"/>
        </w:rPr>
        <w:t>s</w:t>
      </w:r>
      <w:r>
        <w:rPr>
          <w:spacing w:val="-5"/>
        </w:rPr>
        <w:t>im</w:t>
      </w:r>
      <w:r>
        <w:rPr>
          <w:spacing w:val="4"/>
        </w:rPr>
        <w:t>u</w:t>
      </w:r>
      <w:r>
        <w:rPr>
          <w:spacing w:val="-10"/>
        </w:rPr>
        <w:t>l</w:t>
      </w:r>
      <w:r>
        <w:rPr>
          <w:spacing w:val="5"/>
        </w:rPr>
        <w:t>t</w:t>
      </w:r>
      <w:r>
        <w:rPr>
          <w:spacing w:val="3"/>
        </w:rPr>
        <w:t>a</w:t>
      </w:r>
      <w:r>
        <w:rPr/>
        <w:t>n</w:t>
      </w:r>
      <w:r>
        <w:rPr>
          <w:spacing w:val="-1"/>
        </w:rPr>
        <w:t>e</w:t>
      </w:r>
      <w:r>
        <w:rPr>
          <w:spacing w:val="4"/>
        </w:rPr>
        <w:t>o</w:t>
      </w:r>
      <w:r>
        <w:rPr>
          <w:w w:val="99"/>
        </w:rPr>
        <w:t>us </w:t>
      </w:r>
      <w:r>
        <w:rPr/>
        <w:t>transfer of two protons (between the conserved water molecule, the catalytic dyad and the</w:t>
      </w:r>
      <w:r>
        <w:rPr>
          <w:spacing w:val="1"/>
        </w:rPr>
        <w:t> </w:t>
      </w:r>
      <w:r>
        <w:rPr/>
        <w:t>substrate) leading to the formation of a transient neutral tetrahedral intermediate held non-</w:t>
      </w:r>
      <w:r>
        <w:rPr>
          <w:spacing w:val="1"/>
        </w:rPr>
        <w:t> </w:t>
      </w:r>
      <w:r>
        <w:rPr/>
        <w:t>covalently 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active site until</w:t>
      </w:r>
      <w:r>
        <w:rPr>
          <w:spacing w:val="1"/>
        </w:rPr>
        <w:t> </w:t>
      </w:r>
      <w:r>
        <w:rPr/>
        <w:t>bond</w:t>
      </w:r>
      <w:r>
        <w:rPr>
          <w:spacing w:val="1"/>
        </w:rPr>
        <w:t> </w:t>
      </w:r>
      <w:r>
        <w:rPr/>
        <w:t>cleavage occurs</w:t>
      </w:r>
      <w:r>
        <w:rPr>
          <w:spacing w:val="-1"/>
        </w:rPr>
        <w:t> </w:t>
      </w:r>
      <w:r>
        <w:rPr/>
        <w:t>(Bjelic</w:t>
      </w:r>
      <w:r>
        <w:rPr>
          <w:spacing w:val="10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2007).</w:t>
      </w:r>
    </w:p>
    <w:p>
      <w:pPr>
        <w:pStyle w:val="BodyText"/>
        <w:spacing w:line="480" w:lineRule="auto" w:before="203"/>
        <w:ind w:left="312" w:right="695"/>
        <w:jc w:val="both"/>
      </w:pPr>
      <w:r>
        <w:rPr/>
        <w:t>With the unveiling of </w:t>
      </w:r>
      <w:r>
        <w:rPr>
          <w:i/>
        </w:rPr>
        <w:t>P. falciparum </w:t>
      </w:r>
      <w:r>
        <w:rPr/>
        <w:t>genome, ten (I – X) malarial aspartic proteases, also</w:t>
      </w:r>
      <w:r>
        <w:rPr>
          <w:spacing w:val="1"/>
        </w:rPr>
        <w:t> </w:t>
      </w:r>
      <w:r>
        <w:rPr/>
        <w:t>known as plasmepsins (Plm) have been identified. Plasmepsin I, II, IV and histo-aspartic</w:t>
      </w:r>
      <w:r>
        <w:rPr>
          <w:spacing w:val="1"/>
        </w:rPr>
        <w:t> </w:t>
      </w:r>
      <w:r>
        <w:rPr/>
        <w:t>protease</w:t>
      </w:r>
      <w:r>
        <w:rPr>
          <w:spacing w:val="1"/>
        </w:rPr>
        <w:t> </w:t>
      </w:r>
      <w:r>
        <w:rPr/>
        <w:t>(HAP)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situated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food</w:t>
      </w:r>
      <w:r>
        <w:rPr>
          <w:spacing w:val="1"/>
        </w:rPr>
        <w:t> </w:t>
      </w:r>
      <w:r>
        <w:rPr/>
        <w:t>vacuole(FV)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degradation</w:t>
      </w:r>
      <w:r>
        <w:rPr>
          <w:spacing w:val="17"/>
        </w:rPr>
        <w:t> </w:t>
      </w:r>
      <w:r>
        <w:rPr/>
        <w:t>of</w:t>
      </w:r>
      <w:r>
        <w:rPr>
          <w:spacing w:val="20"/>
        </w:rPr>
        <w:t> </w:t>
      </w:r>
      <w:r>
        <w:rPr/>
        <w:t>hemoglobin,</w:t>
      </w:r>
      <w:r>
        <w:rPr>
          <w:spacing w:val="25"/>
        </w:rPr>
        <w:t> </w:t>
      </w:r>
      <w:r>
        <w:rPr/>
        <w:t>providing</w:t>
      </w:r>
      <w:r>
        <w:rPr>
          <w:spacing w:val="27"/>
        </w:rPr>
        <w:t> </w:t>
      </w:r>
      <w:r>
        <w:rPr/>
        <w:t>nutrients</w:t>
      </w:r>
      <w:r>
        <w:rPr>
          <w:spacing w:val="24"/>
        </w:rPr>
        <w:t> </w:t>
      </w:r>
      <w:r>
        <w:rPr/>
        <w:t>for</w:t>
      </w:r>
      <w:r>
        <w:rPr>
          <w:spacing w:val="24"/>
        </w:rPr>
        <w:t> </w:t>
      </w:r>
      <w:r>
        <w:rPr/>
        <w:t>parasite</w:t>
      </w:r>
      <w:r>
        <w:rPr>
          <w:spacing w:val="22"/>
        </w:rPr>
        <w:t> </w:t>
      </w:r>
      <w:r>
        <w:rPr/>
        <w:t>growth.</w:t>
      </w:r>
      <w:r>
        <w:rPr>
          <w:spacing w:val="35"/>
        </w:rPr>
        <w:t> </w:t>
      </w:r>
      <w:r>
        <w:rPr>
          <w:i/>
        </w:rPr>
        <w:t>P.</w:t>
      </w:r>
      <w:r>
        <w:rPr>
          <w:i/>
          <w:spacing w:val="21"/>
        </w:rPr>
        <w:t> </w:t>
      </w:r>
      <w:r>
        <w:rPr>
          <w:i/>
        </w:rPr>
        <w:t>falciparum</w:t>
      </w:r>
      <w:r>
        <w:rPr>
          <w:i/>
          <w:spacing w:val="28"/>
        </w:rPr>
        <w:t> </w:t>
      </w:r>
      <w:r>
        <w:rPr/>
        <w:t>is</w:t>
      </w:r>
      <w:r>
        <w:rPr>
          <w:spacing w:val="20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headerReference w:type="default" r:id="rId81"/>
          <w:footerReference w:type="default" r:id="rId8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9"/>
        <w:jc w:val="both"/>
      </w:pPr>
      <w:r>
        <w:rPr/>
        <w:t>only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actively</w:t>
      </w:r>
      <w:r>
        <w:rPr>
          <w:spacing w:val="1"/>
        </w:rPr>
        <w:t> </w:t>
      </w:r>
      <w:r>
        <w:rPr/>
        <w:t>expresses</w:t>
      </w:r>
      <w:r>
        <w:rPr>
          <w:spacing w:val="1"/>
        </w:rPr>
        <w:t> </w:t>
      </w:r>
      <w:r>
        <w:rPr/>
        <w:t>numerous</w:t>
      </w:r>
      <w:r>
        <w:rPr>
          <w:spacing w:val="1"/>
        </w:rPr>
        <w:t> </w:t>
      </w:r>
      <w:r>
        <w:rPr/>
        <w:t>plasmepsins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FV,</w:t>
      </w:r>
      <w:r>
        <w:rPr>
          <w:spacing w:val="1"/>
        </w:rPr>
        <w:t> </w:t>
      </w:r>
      <w:r>
        <w:rPr/>
        <w:t>whereas the only aspartic protease in the FV of other </w:t>
      </w:r>
      <w:r>
        <w:rPr>
          <w:i/>
        </w:rPr>
        <w:t>Plasmodium </w:t>
      </w:r>
      <w:r>
        <w:rPr/>
        <w:t>species is an orthologue</w:t>
      </w:r>
      <w:r>
        <w:rPr>
          <w:spacing w:val="-57"/>
        </w:rPr>
        <w:t> </w:t>
      </w:r>
      <w:r>
        <w:rPr/>
        <w:t>of PlmIV. Plasmepsins outside the FV, Plm V – X are highly conserved in all </w:t>
      </w:r>
      <w:r>
        <w:rPr>
          <w:i/>
        </w:rPr>
        <w:t>Plasmodium</w:t>
      </w:r>
      <w:r>
        <w:rPr>
          <w:i/>
          <w:spacing w:val="-57"/>
        </w:rPr>
        <w:t> </w:t>
      </w:r>
      <w:r>
        <w:rPr/>
        <w:t>species (Banerjee </w:t>
      </w:r>
      <w:r>
        <w:rPr>
          <w:i/>
        </w:rPr>
        <w:t>et al., </w:t>
      </w:r>
      <w:r>
        <w:rPr/>
        <w:t>2002). Their overall structure and general mechanism of action is</w:t>
      </w:r>
      <w:r>
        <w:rPr>
          <w:spacing w:val="1"/>
        </w:rPr>
        <w:t> </w:t>
      </w:r>
      <w:r>
        <w:rPr/>
        <w:t>conserved throughout plasmepsins. However, sequence heterogeneity in regions lining the</w:t>
      </w:r>
      <w:r>
        <w:rPr>
          <w:spacing w:val="1"/>
        </w:rPr>
        <w:t> </w:t>
      </w:r>
      <w:r>
        <w:rPr/>
        <w:t>active site such as the flap and other essential regions that regulate ligand access ensures</w:t>
      </w:r>
      <w:r>
        <w:rPr>
          <w:spacing w:val="1"/>
        </w:rPr>
        <w:t> </w:t>
      </w:r>
      <w:r>
        <w:rPr/>
        <w:t>unique substrate specificity and response to inhibitors (McGillewie </w:t>
      </w:r>
      <w:r>
        <w:rPr>
          <w:i/>
        </w:rPr>
        <w:t>et al., </w:t>
      </w:r>
      <w:r>
        <w:rPr/>
        <w:t>2015). Previous</w:t>
      </w:r>
      <w:r>
        <w:rPr>
          <w:spacing w:val="1"/>
        </w:rPr>
        <w:t> </w:t>
      </w:r>
      <w:r>
        <w:rPr/>
        <w:t>studies (McGillewie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2015; Karubiu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2015)</w:t>
      </w:r>
      <w:r>
        <w:rPr>
          <w:spacing w:val="1"/>
        </w:rPr>
        <w:t> </w:t>
      </w:r>
      <w:r>
        <w:rPr/>
        <w:t>have proposed</w:t>
      </w:r>
      <w:r>
        <w:rPr>
          <w:spacing w:val="1"/>
        </w:rPr>
        <w:t> </w:t>
      </w:r>
      <w:r>
        <w:rPr/>
        <w:t>parameters to</w:t>
      </w:r>
      <w:r>
        <w:rPr>
          <w:spacing w:val="1"/>
        </w:rPr>
        <w:t> </w:t>
      </w:r>
      <w:r>
        <w:rPr/>
        <w:t>accurately describe the twisting motion of the flaps which move away from the active site</w:t>
      </w:r>
      <w:r>
        <w:rPr>
          <w:spacing w:val="1"/>
        </w:rPr>
        <w:t> </w:t>
      </w:r>
      <w:r>
        <w:rPr/>
        <w:t>in the absence of an inhibitor. Upon inhibitor binding, residues in the flap region form</w:t>
      </w:r>
      <w:r>
        <w:rPr>
          <w:spacing w:val="1"/>
        </w:rPr>
        <w:t> </w:t>
      </w:r>
      <w:r>
        <w:rPr/>
        <w:t>hydrogen bonds with the inhibitor pulling it inward towards the active site rendering the</w:t>
      </w:r>
      <w:r>
        <w:rPr>
          <w:spacing w:val="1"/>
        </w:rPr>
        <w:t> </w:t>
      </w:r>
      <w:r>
        <w:rPr/>
        <w:t>enzyme inactive. This could potentially aid in the development of plasmpesin inhibitors as</w:t>
      </w:r>
      <w:r>
        <w:rPr>
          <w:spacing w:val="1"/>
        </w:rPr>
        <w:t> </w:t>
      </w:r>
      <w:r>
        <w:rPr/>
        <w:t>antimalarials.</w:t>
      </w:r>
    </w:p>
    <w:p>
      <w:pPr>
        <w:pStyle w:val="Heading1"/>
        <w:numPr>
          <w:ilvl w:val="2"/>
          <w:numId w:val="10"/>
        </w:numPr>
        <w:tabs>
          <w:tab w:pos="856" w:val="left" w:leader="none"/>
        </w:tabs>
        <w:spacing w:line="240" w:lineRule="auto" w:before="209" w:after="0"/>
        <w:ind w:left="855" w:right="0" w:hanging="544"/>
        <w:jc w:val="both"/>
      </w:pPr>
      <w:bookmarkStart w:name="_TOC_250072" w:id="21"/>
      <w:r>
        <w:rPr/>
        <w:t>Mechanism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hemoglobin</w:t>
      </w:r>
      <w:r>
        <w:rPr>
          <w:spacing w:val="-1"/>
        </w:rPr>
        <w:t> </w:t>
      </w:r>
      <w:r>
        <w:rPr/>
        <w:t>degradation</w:t>
      </w:r>
      <w:r>
        <w:rPr>
          <w:spacing w:val="-1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bookmarkEnd w:id="21"/>
      <w:r>
        <w:rPr/>
        <w:t>protease</w:t>
      </w:r>
    </w:p>
    <w:p>
      <w:pPr>
        <w:pStyle w:val="BodyText"/>
        <w:spacing w:line="480" w:lineRule="auto" w:before="194"/>
        <w:ind w:left="312" w:right="686"/>
        <w:jc w:val="both"/>
      </w:pPr>
      <w:r>
        <w:rPr/>
        <w:t>Hemoglobin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abundant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erythrocytes,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becomes</w:t>
      </w:r>
      <w:r>
        <w:rPr>
          <w:spacing w:val="1"/>
        </w:rPr>
        <w:t> </w:t>
      </w:r>
      <w:r>
        <w:rPr/>
        <w:t>completely</w:t>
      </w:r>
      <w:r>
        <w:rPr>
          <w:spacing w:val="1"/>
        </w:rPr>
        <w:t> </w:t>
      </w:r>
      <w:r>
        <w:rPr/>
        <w:t>degraded after parasite entry. Given that Plasmodia have limited capacity for de novo</w:t>
      </w:r>
      <w:r>
        <w:rPr>
          <w:spacing w:val="1"/>
        </w:rPr>
        <w:t> </w:t>
      </w:r>
      <w:r>
        <w:rPr/>
        <w:t>amino acid biosynthesis, it has been suggested that hemoglobin degradation products are</w:t>
      </w:r>
      <w:r>
        <w:rPr>
          <w:spacing w:val="1"/>
        </w:rPr>
        <w:t> </w:t>
      </w:r>
      <w:r>
        <w:rPr/>
        <w:t>essential for the parasite ‗s own proteinbiosynthesis, for its survival (Bjelic</w:t>
      </w:r>
      <w:r>
        <w:rPr>
          <w:i/>
        </w:rPr>
        <w:t>et al., </w:t>
      </w:r>
      <w:r>
        <w:rPr/>
        <w:t>2007).</w:t>
      </w:r>
      <w:r>
        <w:rPr>
          <w:spacing w:val="1"/>
        </w:rPr>
        <w:t> </w:t>
      </w:r>
      <w:r>
        <w:rPr/>
        <w:t>Amino</w:t>
      </w:r>
      <w:r>
        <w:rPr>
          <w:spacing w:val="1"/>
        </w:rPr>
        <w:t> </w:t>
      </w:r>
      <w:r>
        <w:rPr/>
        <w:t>acids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hemoglobin</w:t>
      </w:r>
      <w:r>
        <w:rPr>
          <w:spacing w:val="1"/>
        </w:rPr>
        <w:t> </w:t>
      </w:r>
      <w:r>
        <w:rPr/>
        <w:t>proteolysis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appear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metabolism (Francis </w:t>
      </w:r>
      <w:r>
        <w:rPr>
          <w:i/>
        </w:rPr>
        <w:t>et al.,</w:t>
      </w:r>
      <w:r>
        <w:rPr/>
        <w:t>1997) the regulation of osmotic pressure and the creation of</w:t>
      </w:r>
      <w:r>
        <w:rPr>
          <w:spacing w:val="1"/>
        </w:rPr>
        <w:t> </w:t>
      </w:r>
      <w:r>
        <w:rPr/>
        <w:t>space</w:t>
      </w:r>
      <w:r>
        <w:rPr>
          <w:spacing w:val="5"/>
        </w:rPr>
        <w:t> </w:t>
      </w:r>
      <w:r>
        <w:rPr/>
        <w:t>in</w:t>
      </w:r>
      <w:r>
        <w:rPr>
          <w:spacing w:val="-4"/>
        </w:rPr>
        <w:t> </w:t>
      </w:r>
      <w:r>
        <w:rPr/>
        <w:t>the host</w:t>
      </w:r>
      <w:r>
        <w:rPr>
          <w:spacing w:val="7"/>
        </w:rPr>
        <w:t> </w:t>
      </w:r>
      <w:r>
        <w:rPr/>
        <w:t>cell</w:t>
      </w:r>
      <w:r>
        <w:rPr>
          <w:spacing w:val="-4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growing</w:t>
      </w:r>
      <w:r>
        <w:rPr>
          <w:spacing w:val="1"/>
        </w:rPr>
        <w:t> </w:t>
      </w:r>
      <w:r>
        <w:rPr/>
        <w:t>parasites</w:t>
      </w:r>
      <w:r>
        <w:rPr>
          <w:spacing w:val="-1"/>
        </w:rPr>
        <w:t> </w:t>
      </w:r>
      <w:r>
        <w:rPr/>
        <w:t>(Goldberg,</w:t>
      </w:r>
      <w:r>
        <w:rPr>
          <w:spacing w:val="3"/>
        </w:rPr>
        <w:t> </w:t>
      </w:r>
      <w:r>
        <w:rPr/>
        <w:t>2005).</w:t>
      </w:r>
    </w:p>
    <w:p>
      <w:pPr>
        <w:pStyle w:val="BodyText"/>
        <w:spacing w:line="480" w:lineRule="auto" w:before="199"/>
        <w:ind w:left="312" w:right="692"/>
        <w:jc w:val="both"/>
        <w:rPr>
          <w:i/>
        </w:rPr>
      </w:pPr>
      <w:r>
        <w:rPr/>
        <w:t>Reports on malaria both in culture and in animal models have revealed that hemoglobin</w:t>
      </w:r>
      <w:r>
        <w:rPr>
          <w:spacing w:val="1"/>
        </w:rPr>
        <w:t> </w:t>
      </w:r>
      <w:r>
        <w:rPr/>
        <w:t>catabolism takes place in the acidic food vacuole and is essential for parasite survival.</w:t>
      </w:r>
      <w:r>
        <w:rPr>
          <w:spacing w:val="1"/>
        </w:rPr>
        <w:t> </w:t>
      </w:r>
      <w:r>
        <w:rPr/>
        <w:t>Three different classes of enzymes have been found in the acidic food vacuole of the</w:t>
      </w:r>
      <w:r>
        <w:rPr>
          <w:spacing w:val="1"/>
        </w:rPr>
        <w:t> </w:t>
      </w:r>
      <w:r>
        <w:rPr/>
        <w:t>parasite</w:t>
      </w:r>
      <w:r>
        <w:rPr>
          <w:spacing w:val="-2"/>
        </w:rPr>
        <w:t> </w:t>
      </w:r>
      <w:r>
        <w:rPr/>
        <w:t>that</w:t>
      </w:r>
      <w:r>
        <w:rPr>
          <w:spacing w:val="4"/>
        </w:rPr>
        <w:t> </w:t>
      </w:r>
      <w:r>
        <w:rPr/>
        <w:t>digest</w:t>
      </w:r>
      <w:r>
        <w:rPr>
          <w:spacing w:val="5"/>
        </w:rPr>
        <w:t> </w:t>
      </w:r>
      <w:r>
        <w:rPr/>
        <w:t>hemoglobin;</w:t>
      </w:r>
      <w:r>
        <w:rPr>
          <w:spacing w:val="4"/>
        </w:rPr>
        <w:t> </w:t>
      </w:r>
      <w:r>
        <w:rPr/>
        <w:t>cysteine</w:t>
      </w:r>
      <w:r>
        <w:rPr>
          <w:spacing w:val="-2"/>
        </w:rPr>
        <w:t> </w:t>
      </w:r>
      <w:r>
        <w:rPr/>
        <w:t>protease</w:t>
      </w:r>
      <w:r>
        <w:rPr>
          <w:spacing w:val="-1"/>
        </w:rPr>
        <w:t> </w:t>
      </w:r>
      <w:r>
        <w:rPr/>
        <w:t>(falcipains</w:t>
      </w:r>
      <w:r>
        <w:rPr>
          <w:spacing w:val="-3"/>
        </w:rPr>
        <w:t> </w:t>
      </w:r>
      <w:r>
        <w:rPr/>
        <w:t>1,</w:t>
      </w:r>
      <w:r>
        <w:rPr>
          <w:spacing w:val="2"/>
        </w:rPr>
        <w:t> </w:t>
      </w:r>
      <w:r>
        <w:rPr/>
        <w:t>2,</w:t>
      </w:r>
      <w:r>
        <w:rPr>
          <w:spacing w:val="1"/>
        </w:rPr>
        <w:t> </w:t>
      </w:r>
      <w:r>
        <w:rPr/>
        <w:t>and 3) (Rosenthal</w:t>
      </w:r>
      <w:r>
        <w:rPr>
          <w:spacing w:val="9"/>
        </w:rPr>
        <w:t> </w:t>
      </w:r>
      <w:r>
        <w:rPr>
          <w:i/>
        </w:rPr>
        <w:t>et al.,</w:t>
      </w:r>
    </w:p>
    <w:p>
      <w:pPr>
        <w:spacing w:after="0" w:line="480" w:lineRule="auto"/>
        <w:jc w:val="both"/>
        <w:sectPr>
          <w:headerReference w:type="default" r:id="rId84"/>
          <w:footerReference w:type="default" r:id="rId8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8"/>
        <w:jc w:val="both"/>
      </w:pPr>
      <w:r>
        <w:rPr/>
        <w:t>2002), aspartic proteases (plasmepsin I, II, IV, and histoaspartic protease) (Banerjee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2002), and metalloprotease (falcilysin) (Eggleson </w:t>
      </w:r>
      <w:r>
        <w:rPr>
          <w:i/>
        </w:rPr>
        <w:t>et al., </w:t>
      </w:r>
      <w:r>
        <w:rPr/>
        <w:t>1999). The degradation process</w:t>
      </w:r>
      <w:r>
        <w:rPr>
          <w:spacing w:val="1"/>
        </w:rPr>
        <w:t> </w:t>
      </w:r>
      <w:r>
        <w:rPr/>
        <w:t>appears to follow an ordered pathway (Gluzman </w:t>
      </w:r>
      <w:r>
        <w:rPr>
          <w:i/>
        </w:rPr>
        <w:t>et al., </w:t>
      </w:r>
      <w:r>
        <w:rPr/>
        <w:t>1994) which is outlined in (Figure</w:t>
      </w:r>
      <w:r>
        <w:rPr>
          <w:spacing w:val="1"/>
        </w:rPr>
        <w:t> </w:t>
      </w:r>
      <w:r>
        <w:rPr/>
        <w:t>2.4). Falcipains are implicated for initial cleavage of native hemoglobin (Rosenthal, 1998).</w:t>
      </w:r>
      <w:r>
        <w:rPr>
          <w:spacing w:val="-57"/>
        </w:rPr>
        <w:t> </w:t>
      </w:r>
      <w:r>
        <w:rPr/>
        <w:t>However, other studies have shown that</w:t>
      </w:r>
      <w:r>
        <w:rPr>
          <w:spacing w:val="1"/>
        </w:rPr>
        <w:t> </w:t>
      </w:r>
      <w:r>
        <w:rPr/>
        <w:t>native</w:t>
      </w:r>
      <w:r>
        <w:rPr>
          <w:spacing w:val="1"/>
        </w:rPr>
        <w:t> </w:t>
      </w:r>
      <w:r>
        <w:rPr/>
        <w:t>hemoglobin</w:t>
      </w:r>
      <w:r>
        <w:rPr>
          <w:spacing w:val="1"/>
        </w:rPr>
        <w:t> </w:t>
      </w:r>
      <w:r>
        <w:rPr/>
        <w:t>is cleaved</w:t>
      </w:r>
      <w:r>
        <w:rPr>
          <w:spacing w:val="60"/>
        </w:rPr>
        <w:t> </w:t>
      </w:r>
      <w:r>
        <w:rPr/>
        <w:t>by plasmepsin II,</w:t>
      </w:r>
      <w:r>
        <w:rPr>
          <w:spacing w:val="1"/>
        </w:rPr>
        <w:t> </w:t>
      </w:r>
      <w:r>
        <w:rPr/>
        <w:t>but not falcipain, in non- reducing conditions that may be present in the food vacuole</w:t>
      </w:r>
      <w:r>
        <w:rPr>
          <w:spacing w:val="1"/>
        </w:rPr>
        <w:t> </w:t>
      </w:r>
      <w:r>
        <w:rPr/>
        <w:t>(Semenov </w:t>
      </w:r>
      <w:r>
        <w:rPr>
          <w:i/>
        </w:rPr>
        <w:t>et al., </w:t>
      </w:r>
      <w:r>
        <w:rPr/>
        <w:t>1998). It is difficult to determine whether a plasmepsin or falcipain</w:t>
      </w:r>
      <w:r>
        <w:rPr>
          <w:spacing w:val="1"/>
        </w:rPr>
        <w:t> </w:t>
      </w:r>
      <w:r>
        <w:rPr/>
        <w:t>catalyzes the initial cleavage (Liu, 2006). However, it has been suggested that an initial</w:t>
      </w:r>
      <w:r>
        <w:rPr>
          <w:spacing w:val="1"/>
        </w:rPr>
        <w:t> </w:t>
      </w:r>
      <w:r>
        <w:rPr/>
        <w:t>cleavage between Phe33 and Leu34 in the hinge region, of the domain responsible for</w:t>
      </w:r>
      <w:r>
        <w:rPr>
          <w:spacing w:val="1"/>
        </w:rPr>
        <w:t> </w:t>
      </w:r>
      <w:r>
        <w:rPr/>
        <w:t>holding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oxygen</w:t>
      </w:r>
      <w:r>
        <w:rPr>
          <w:spacing w:val="1"/>
        </w:rPr>
        <w:t> </w:t>
      </w:r>
      <w:r>
        <w:rPr/>
        <w:t>bound</w:t>
      </w:r>
      <w:r>
        <w:rPr>
          <w:spacing w:val="1"/>
        </w:rPr>
        <w:t> </w:t>
      </w:r>
      <w:r>
        <w:rPr/>
        <w:t>tetramer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plasmepsin,</w:t>
      </w:r>
      <w:r>
        <w:rPr>
          <w:spacing w:val="1"/>
        </w:rPr>
        <w:t> </w:t>
      </w:r>
      <w:r>
        <w:rPr/>
        <w:t>unravels</w:t>
      </w:r>
      <w:r>
        <w:rPr>
          <w:spacing w:val="1"/>
        </w:rPr>
        <w:t> </w:t>
      </w:r>
      <w:r>
        <w:rPr/>
        <w:t>hemoglobin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expose</w:t>
      </w:r>
      <w:r>
        <w:rPr>
          <w:spacing w:val="5"/>
        </w:rPr>
        <w:t> </w:t>
      </w:r>
      <w:r>
        <w:rPr/>
        <w:t>it</w:t>
      </w:r>
      <w:r>
        <w:rPr>
          <w:spacing w:val="1"/>
        </w:rPr>
        <w:t> </w:t>
      </w:r>
      <w:r>
        <w:rPr/>
        <w:t>to</w:t>
      </w:r>
      <w:r>
        <w:rPr>
          <w:spacing w:val="6"/>
        </w:rPr>
        <w:t> </w:t>
      </w:r>
      <w:r>
        <w:rPr/>
        <w:t>further</w:t>
      </w:r>
      <w:r>
        <w:rPr>
          <w:spacing w:val="3"/>
        </w:rPr>
        <w:t> </w:t>
      </w:r>
      <w:r>
        <w:rPr/>
        <w:t>cleavage (Coombs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4"/>
        </w:rPr>
        <w:t> </w:t>
      </w:r>
      <w:r>
        <w:rPr/>
        <w:t>2001).</w:t>
      </w:r>
    </w:p>
    <w:p>
      <w:pPr>
        <w:pStyle w:val="BodyText"/>
        <w:spacing w:line="480" w:lineRule="auto" w:before="204"/>
        <w:ind w:left="312" w:right="687"/>
        <w:jc w:val="both"/>
      </w:pPr>
      <w:r>
        <w:rPr/>
        <w:t>Subsequent cleavage into smaller peptides is catalyzed by both plasmepsinsand falcipains</w:t>
      </w:r>
      <w:r>
        <w:rPr>
          <w:spacing w:val="1"/>
        </w:rPr>
        <w:t> </w:t>
      </w:r>
      <w:r>
        <w:rPr/>
        <w:t>(Semenov </w:t>
      </w:r>
      <w:r>
        <w:rPr>
          <w:i/>
        </w:rPr>
        <w:t>et al., </w:t>
      </w:r>
      <w:r>
        <w:rPr/>
        <w:t>1998). The metallo-protease falcilysin and dipeptidyl aminopeptidase-1</w:t>
      </w:r>
      <w:r>
        <w:rPr>
          <w:spacing w:val="1"/>
        </w:rPr>
        <w:t> </w:t>
      </w:r>
      <w:r>
        <w:rPr/>
        <w:t>(DPAP1) cleave the resulting small peptides to even shorter oligopeptides that are finally</w:t>
      </w:r>
      <w:r>
        <w:rPr>
          <w:spacing w:val="1"/>
        </w:rPr>
        <w:t> </w:t>
      </w:r>
      <w:r>
        <w:rPr/>
        <w:t>hydrolyzed to free amino acids by aminopeptidases (Coombs </w:t>
      </w:r>
      <w:r>
        <w:rPr>
          <w:i/>
        </w:rPr>
        <w:t>et al., </w:t>
      </w:r>
      <w:r>
        <w:rPr/>
        <w:t>2001). During the</w:t>
      </w:r>
      <w:r>
        <w:rPr>
          <w:spacing w:val="1"/>
        </w:rPr>
        <w:t> </w:t>
      </w:r>
      <w:r>
        <w:rPr/>
        <w:t>hemoglobin degradation process, free heme</w:t>
      </w:r>
      <w:r>
        <w:rPr>
          <w:spacing w:val="60"/>
        </w:rPr>
        <w:t> </w:t>
      </w:r>
      <w:r>
        <w:rPr/>
        <w:t>is released and oxidized from the ferrous</w:t>
      </w:r>
      <w:r>
        <w:rPr>
          <w:spacing w:val="1"/>
        </w:rPr>
        <w:t> </w:t>
      </w:r>
      <w:r>
        <w:rPr/>
        <w:t>(Fe</w:t>
      </w:r>
      <w:r>
        <w:rPr>
          <w:vertAlign w:val="superscript"/>
        </w:rPr>
        <w:t>2+</w:t>
      </w:r>
      <w:r>
        <w:rPr>
          <w:vertAlign w:val="baseline"/>
        </w:rPr>
        <w:t>) state to the ferric (Fe</w:t>
      </w:r>
      <w:r>
        <w:rPr>
          <w:vertAlign w:val="superscript"/>
        </w:rPr>
        <w:t>3+</w:t>
      </w:r>
      <w:r>
        <w:rPr>
          <w:vertAlign w:val="baseline"/>
        </w:rPr>
        <w:t>) hematin. Both heme and hematin are potentially toxic to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parasite. To counter this, the parasite has evolved a detoxification system resulting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formation of β-hemozoin pigment, an inert crystalline hematin polymer (Pagola </w:t>
      </w:r>
      <w:r>
        <w:rPr>
          <w:i/>
          <w:vertAlign w:val="baseline"/>
        </w:rPr>
        <w:t>et al.,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2000).</w:t>
      </w:r>
    </w:p>
    <w:p>
      <w:pPr>
        <w:pStyle w:val="BodyText"/>
        <w:spacing w:line="480" w:lineRule="auto" w:before="198"/>
        <w:ind w:left="312" w:right="690"/>
        <w:jc w:val="both"/>
      </w:pPr>
      <w:r>
        <w:rPr/>
        <w:t>Various evidences support that malarial cysteine and aspartic proteases are mediators of</w:t>
      </w:r>
      <w:r>
        <w:rPr>
          <w:spacing w:val="1"/>
        </w:rPr>
        <w:t> </w:t>
      </w:r>
      <w:r>
        <w:rPr/>
        <w:t>hemoglobin degradation and are therefore plausible novel target for antimalarial drug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(Silva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1996;</w:t>
      </w:r>
      <w:r>
        <w:rPr>
          <w:spacing w:val="1"/>
        </w:rPr>
        <w:t> </w:t>
      </w:r>
      <w:r>
        <w:rPr/>
        <w:t>Rosenthal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1998;</w:t>
      </w:r>
      <w:r>
        <w:rPr>
          <w:spacing w:val="1"/>
        </w:rPr>
        <w:t> </w:t>
      </w:r>
      <w:r>
        <w:rPr/>
        <w:t>Liu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2006).</w:t>
      </w:r>
      <w:r>
        <w:rPr>
          <w:spacing w:val="1"/>
        </w:rPr>
        <w:t> </w:t>
      </w:r>
      <w:r>
        <w:rPr/>
        <w:t>Protease</w:t>
      </w:r>
      <w:r>
        <w:rPr>
          <w:spacing w:val="1"/>
        </w:rPr>
        <w:t> </w:t>
      </w:r>
      <w:r>
        <w:rPr/>
        <w:t>inhibitors are known to block further growth and development of </w:t>
      </w:r>
      <w:r>
        <w:rPr>
          <w:i/>
        </w:rPr>
        <w:t>P.falciparum </w:t>
      </w:r>
      <w:r>
        <w:rPr/>
        <w:t>(Rosenthal,</w:t>
      </w:r>
      <w:r>
        <w:rPr>
          <w:spacing w:val="-57"/>
        </w:rPr>
        <w:t> </w:t>
      </w:r>
      <w:r>
        <w:rPr/>
        <w:t>1998;</w:t>
      </w:r>
      <w:r>
        <w:rPr>
          <w:spacing w:val="-4"/>
        </w:rPr>
        <w:t> </w:t>
      </w:r>
      <w:r>
        <w:rPr/>
        <w:t>Teixeira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2011).</w:t>
      </w:r>
    </w:p>
    <w:p>
      <w:pPr>
        <w:spacing w:after="0" w:line="480" w:lineRule="auto"/>
        <w:jc w:val="both"/>
        <w:sectPr>
          <w:headerReference w:type="default" r:id="rId86"/>
          <w:footerReference w:type="default" r:id="rId87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2087"/>
        <w:rPr>
          <w:sz w:val="20"/>
        </w:rPr>
      </w:pPr>
      <w:r>
        <w:rPr>
          <w:sz w:val="20"/>
        </w:rPr>
        <w:drawing>
          <wp:inline distT="0" distB="0" distL="0" distR="0">
            <wp:extent cx="3297796" cy="3324225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796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5"/>
        </w:rPr>
      </w:pPr>
    </w:p>
    <w:p>
      <w:pPr>
        <w:pStyle w:val="Heading1"/>
        <w:spacing w:line="242" w:lineRule="auto" w:before="90"/>
        <w:ind w:right="690"/>
        <w:jc w:val="both"/>
      </w:pPr>
      <w:r>
        <w:rPr/>
        <w:t>Figure 2.4: The degradation process of hemoglobin in the </w:t>
      </w:r>
      <w:r>
        <w:rPr>
          <w:i/>
        </w:rPr>
        <w:t>P. falciparum</w:t>
      </w:r>
      <w:r>
        <w:rPr/>
        <w:t>food vacuole</w:t>
      </w:r>
      <w:r>
        <w:rPr>
          <w:spacing w:val="1"/>
        </w:rPr>
        <w:t> </w:t>
      </w:r>
      <w:r>
        <w:rPr/>
        <w:t>(Teixeira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5"/>
        </w:rPr>
        <w:t> </w:t>
      </w:r>
      <w:r>
        <w:rPr/>
        <w:t>2011).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2"/>
          <w:numId w:val="10"/>
        </w:numPr>
        <w:tabs>
          <w:tab w:pos="856" w:val="left" w:leader="none"/>
        </w:tabs>
        <w:spacing w:line="240" w:lineRule="auto" w:before="151" w:after="0"/>
        <w:ind w:left="855" w:right="0" w:hanging="544"/>
        <w:jc w:val="both"/>
      </w:pPr>
      <w:bookmarkStart w:name="_TOC_250071" w:id="22"/>
      <w:r>
        <w:rPr/>
        <w:t>Protease</w:t>
      </w:r>
      <w:r>
        <w:rPr>
          <w:spacing w:val="-4"/>
        </w:rPr>
        <w:t> </w:t>
      </w:r>
      <w:bookmarkEnd w:id="22"/>
      <w:r>
        <w:rPr/>
        <w:t>inhibitors</w:t>
      </w:r>
    </w:p>
    <w:p>
      <w:pPr>
        <w:pStyle w:val="BodyText"/>
        <w:spacing w:line="480" w:lineRule="auto" w:before="194"/>
        <w:ind w:left="312" w:right="685"/>
        <w:jc w:val="both"/>
      </w:pPr>
      <w:r>
        <w:rPr/>
        <w:t>Several studies revealed that cysteine and aspartic protease inhibitors prevent hemoglobin</w:t>
      </w:r>
      <w:r>
        <w:rPr>
          <w:spacing w:val="1"/>
        </w:rPr>
        <w:t> </w:t>
      </w:r>
      <w:r>
        <w:rPr/>
        <w:t>hydrolysis, block parasite development and cure murine malaria (Rosenthal </w:t>
      </w:r>
      <w:r>
        <w:rPr>
          <w:i/>
        </w:rPr>
        <w:t>et al.,</w:t>
      </w:r>
      <w:r>
        <w:rPr/>
        <w:t>1996;</w:t>
      </w:r>
      <w:r>
        <w:rPr>
          <w:spacing w:val="1"/>
        </w:rPr>
        <w:t> </w:t>
      </w:r>
      <w:r>
        <w:rPr/>
        <w:t>1998; Singh and Rosenthal, 2001; Liu </w:t>
      </w:r>
      <w:r>
        <w:rPr>
          <w:i/>
        </w:rPr>
        <w:t>et al., </w:t>
      </w:r>
      <w:r>
        <w:rPr/>
        <w:t>2006).</w:t>
      </w:r>
      <w:r>
        <w:rPr>
          <w:spacing w:val="1"/>
        </w:rPr>
        <w:t> </w:t>
      </w:r>
      <w:r>
        <w:rPr/>
        <w:t>To date, many compounds have been</w:t>
      </w:r>
      <w:r>
        <w:rPr>
          <w:spacing w:val="1"/>
        </w:rPr>
        <w:t> </w:t>
      </w:r>
      <w:r>
        <w:rPr/>
        <w:t>identified as malarial protease inhibitors which are able to block the parasites enzyme‗s</w:t>
      </w:r>
      <w:r>
        <w:rPr>
          <w:spacing w:val="1"/>
        </w:rPr>
        <w:t> </w:t>
      </w:r>
      <w:r>
        <w:rPr/>
        <w:t>activity by forming a reversible or irreversible covalent bond with the active site cysteine</w:t>
      </w:r>
      <w:r>
        <w:rPr>
          <w:spacing w:val="1"/>
        </w:rPr>
        <w:t> </w:t>
      </w:r>
      <w:r>
        <w:rPr/>
        <w:t>(Silva </w:t>
      </w:r>
      <w:r>
        <w:rPr>
          <w:i/>
        </w:rPr>
        <w:t>et al.,</w:t>
      </w:r>
      <w:r>
        <w:rPr/>
        <w:t>1996; Asojo </w:t>
      </w:r>
      <w:r>
        <w:rPr>
          <w:i/>
        </w:rPr>
        <w:t>et al.,</w:t>
      </w:r>
      <w:r>
        <w:rPr/>
        <w:t>2003; Liu </w:t>
      </w:r>
      <w:r>
        <w:rPr>
          <w:i/>
        </w:rPr>
        <w:t>et al., </w:t>
      </w:r>
      <w:r>
        <w:rPr/>
        <w:t>2006). Thus, falcipain inhibitors can be</w:t>
      </w:r>
      <w:r>
        <w:rPr>
          <w:spacing w:val="1"/>
        </w:rPr>
        <w:t> </w:t>
      </w:r>
      <w:r>
        <w:rPr/>
        <w:t>broadly divided into three categories (Teixeira </w:t>
      </w:r>
      <w:r>
        <w:rPr>
          <w:i/>
        </w:rPr>
        <w:t>et al., </w:t>
      </w:r>
      <w:r>
        <w:rPr/>
        <w:t>2011): i) peptide-based inhibitors, ii)</w:t>
      </w:r>
      <w:r>
        <w:rPr>
          <w:spacing w:val="1"/>
        </w:rPr>
        <w:t> </w:t>
      </w:r>
      <w:r>
        <w:rPr/>
        <w:t>peptide-mimetic</w:t>
      </w:r>
      <w:r>
        <w:rPr>
          <w:spacing w:val="5"/>
        </w:rPr>
        <w:t> </w:t>
      </w:r>
      <w:r>
        <w:rPr/>
        <w:t>inhibitors</w:t>
      </w:r>
      <w:r>
        <w:rPr>
          <w:spacing w:val="-1"/>
        </w:rPr>
        <w:t> </w:t>
      </w:r>
      <w:r>
        <w:rPr/>
        <w:t>and</w:t>
      </w:r>
      <w:r>
        <w:rPr>
          <w:spacing w:val="5"/>
        </w:rPr>
        <w:t> </w:t>
      </w:r>
      <w:r>
        <w:rPr/>
        <w:t>iii)</w:t>
      </w:r>
      <w:r>
        <w:rPr>
          <w:spacing w:val="7"/>
        </w:rPr>
        <w:t> </w:t>
      </w:r>
      <w:r>
        <w:rPr/>
        <w:t>non-peptidic</w:t>
      </w:r>
      <w:r>
        <w:rPr>
          <w:spacing w:val="6"/>
        </w:rPr>
        <w:t> </w:t>
      </w:r>
      <w:r>
        <w:rPr/>
        <w:t>inhibitors.</w:t>
      </w:r>
    </w:p>
    <w:p>
      <w:pPr>
        <w:pStyle w:val="BodyText"/>
        <w:spacing w:line="480" w:lineRule="auto" w:before="203"/>
        <w:ind w:left="312" w:right="692"/>
        <w:jc w:val="both"/>
      </w:pPr>
      <w:r>
        <w:rPr/>
        <w:t>Most of the falcipain inhibitors identified so far are peptide-based inhibitors.This includes;</w:t>
      </w:r>
      <w:r>
        <w:rPr>
          <w:spacing w:val="-57"/>
        </w:rPr>
        <w:t> </w:t>
      </w:r>
      <w:r>
        <w:rPr/>
        <w:t>peptidyl</w:t>
      </w:r>
      <w:r>
        <w:rPr>
          <w:spacing w:val="1"/>
        </w:rPr>
        <w:t> </w:t>
      </w:r>
      <w:r>
        <w:rPr/>
        <w:t>fluoromethyl</w:t>
      </w:r>
      <w:r>
        <w:rPr>
          <w:spacing w:val="1"/>
        </w:rPr>
        <w:t> </w:t>
      </w:r>
      <w:r>
        <w:rPr/>
        <w:t>ketones,</w:t>
      </w:r>
      <w:r>
        <w:rPr>
          <w:spacing w:val="1"/>
        </w:rPr>
        <w:t> </w:t>
      </w:r>
      <w:r>
        <w:rPr/>
        <w:t>peptidyl</w:t>
      </w:r>
      <w:r>
        <w:rPr>
          <w:spacing w:val="1"/>
        </w:rPr>
        <w:t> </w:t>
      </w:r>
      <w:r>
        <w:rPr/>
        <w:t>vinyl</w:t>
      </w:r>
      <w:r>
        <w:rPr>
          <w:spacing w:val="1"/>
        </w:rPr>
        <w:t> </w:t>
      </w:r>
      <w:r>
        <w:rPr/>
        <w:t>sulfones,</w:t>
      </w:r>
      <w:r>
        <w:rPr>
          <w:spacing w:val="1"/>
        </w:rPr>
        <w:t> </w:t>
      </w:r>
      <w:r>
        <w:rPr/>
        <w:t>peptidyl</w:t>
      </w:r>
      <w:r>
        <w:rPr>
          <w:spacing w:val="1"/>
        </w:rPr>
        <w:t> </w:t>
      </w:r>
      <w:r>
        <w:rPr/>
        <w:t>aldehydes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α-</w:t>
      </w:r>
      <w:r>
        <w:rPr>
          <w:spacing w:val="1"/>
        </w:rPr>
        <w:t> </w:t>
      </w:r>
      <w:r>
        <w:rPr/>
        <w:t>ketoamide derivatives, epoxysuccinyl derivatives and peptidyl azirines. Peptidyl aldehydes</w:t>
      </w:r>
      <w:r>
        <w:rPr>
          <w:spacing w:val="-57"/>
        </w:rPr>
        <w:t> </w:t>
      </w:r>
      <w:r>
        <w:rPr/>
        <w:t>and</w:t>
      </w:r>
      <w:r>
        <w:rPr>
          <w:spacing w:val="45"/>
        </w:rPr>
        <w:t> </w:t>
      </w:r>
      <w:r>
        <w:rPr/>
        <w:t>α-ketoamides</w:t>
      </w:r>
      <w:r>
        <w:rPr>
          <w:spacing w:val="49"/>
        </w:rPr>
        <w:t> </w:t>
      </w:r>
      <w:r>
        <w:rPr/>
        <w:t>inhibit</w:t>
      </w:r>
      <w:r>
        <w:rPr>
          <w:spacing w:val="51"/>
        </w:rPr>
        <w:t> </w:t>
      </w:r>
      <w:r>
        <w:rPr/>
        <w:t>FPs</w:t>
      </w:r>
      <w:r>
        <w:rPr>
          <w:spacing w:val="45"/>
        </w:rPr>
        <w:t> </w:t>
      </w:r>
      <w:r>
        <w:rPr/>
        <w:t>in</w:t>
      </w:r>
      <w:r>
        <w:rPr>
          <w:spacing w:val="47"/>
        </w:rPr>
        <w:t> </w:t>
      </w:r>
      <w:r>
        <w:rPr/>
        <w:t>a</w:t>
      </w:r>
      <w:r>
        <w:rPr>
          <w:spacing w:val="41"/>
        </w:rPr>
        <w:t> </w:t>
      </w:r>
      <w:r>
        <w:rPr/>
        <w:t>reversible</w:t>
      </w:r>
      <w:r>
        <w:rPr>
          <w:spacing w:val="45"/>
        </w:rPr>
        <w:t> </w:t>
      </w:r>
      <w:r>
        <w:rPr/>
        <w:t>manner,</w:t>
      </w:r>
      <w:r>
        <w:rPr>
          <w:spacing w:val="44"/>
        </w:rPr>
        <w:t> </w:t>
      </w:r>
      <w:r>
        <w:rPr/>
        <w:t>while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others</w:t>
      </w:r>
      <w:r>
        <w:rPr>
          <w:spacing w:val="40"/>
        </w:rPr>
        <w:t> </w:t>
      </w:r>
      <w:r>
        <w:rPr/>
        <w:t>are</w:t>
      </w:r>
      <w:r>
        <w:rPr>
          <w:spacing w:val="45"/>
        </w:rPr>
        <w:t> </w:t>
      </w:r>
      <w:r>
        <w:rPr/>
        <w:t>irreversible</w:t>
      </w:r>
    </w:p>
    <w:p>
      <w:pPr>
        <w:spacing w:after="0" w:line="480" w:lineRule="auto"/>
        <w:jc w:val="both"/>
        <w:sectPr>
          <w:headerReference w:type="default" r:id="rId88"/>
          <w:footerReference w:type="default" r:id="rId89"/>
          <w:pgSz w:w="11910" w:h="16840"/>
          <w:pgMar w:header="0" w:footer="878" w:top="1280" w:bottom="1060" w:left="1560" w:right="600"/>
        </w:sectPr>
      </w:pPr>
    </w:p>
    <w:p>
      <w:pPr>
        <w:pStyle w:val="BodyText"/>
        <w:spacing w:line="480" w:lineRule="auto" w:before="70"/>
        <w:ind w:left="312" w:right="694"/>
        <w:jc w:val="both"/>
      </w:pPr>
      <w:r>
        <w:rPr/>
        <w:t>inhibitors(Teixeira </w:t>
      </w:r>
      <w:r>
        <w:rPr>
          <w:i/>
        </w:rPr>
        <w:t>et al., </w:t>
      </w:r>
      <w:r>
        <w:rPr/>
        <w:t>2011). Peptide-based inhibitors were found to be very potent.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utility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therapeutic</w:t>
      </w:r>
      <w:r>
        <w:rPr>
          <w:spacing w:val="1"/>
        </w:rPr>
        <w:t> </w:t>
      </w:r>
      <w:r>
        <w:rPr/>
        <w:t>agents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limited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61"/>
        </w:rPr>
        <w:t> </w:t>
      </w:r>
      <w:r>
        <w:rPr/>
        <w:t>limited</w:t>
      </w:r>
      <w:r>
        <w:rPr>
          <w:spacing w:val="1"/>
        </w:rPr>
        <w:t> </w:t>
      </w:r>
      <w:r>
        <w:rPr/>
        <w:t>susceptibility to protease degradation and their poor absorption through cell membranes</w:t>
      </w:r>
      <w:r>
        <w:rPr>
          <w:spacing w:val="1"/>
        </w:rPr>
        <w:t> </w:t>
      </w:r>
      <w:r>
        <w:rPr/>
        <w:t>(Marco and Miguel Coteron, 2012). Peptidomimetic FPs inhibitors include compounds</w:t>
      </w:r>
      <w:r>
        <w:rPr>
          <w:spacing w:val="1"/>
        </w:rPr>
        <w:t> </w:t>
      </w:r>
      <w:r>
        <w:rPr/>
        <w:t>based on 1,4- benzodiazepine and pyridone ring scaffolds, which are able to reversibly</w:t>
      </w:r>
      <w:r>
        <w:rPr>
          <w:spacing w:val="1"/>
        </w:rPr>
        <w:t> </w:t>
      </w:r>
      <w:r>
        <w:rPr/>
        <w:t>block the enzyme. Non-peptide FPs inhibitors include, isoquinolines, thiosemicarbazones</w:t>
      </w:r>
      <w:r>
        <w:rPr>
          <w:spacing w:val="1"/>
        </w:rPr>
        <w:t> </w:t>
      </w:r>
      <w:r>
        <w:rPr/>
        <w:t>and chalcones</w:t>
      </w:r>
      <w:r>
        <w:rPr>
          <w:spacing w:val="-1"/>
        </w:rPr>
        <w:t> </w:t>
      </w:r>
      <w:r>
        <w:rPr/>
        <w:t>which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biosynthetic precursors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flavonoids</w:t>
      </w:r>
      <w:r>
        <w:rPr>
          <w:spacing w:val="-1"/>
        </w:rPr>
        <w:t> </w:t>
      </w:r>
      <w:r>
        <w:rPr/>
        <w:t>(Teixeira</w:t>
      </w:r>
      <w:r>
        <w:rPr>
          <w:spacing w:val="6"/>
        </w:rPr>
        <w:t> </w:t>
      </w:r>
      <w:r>
        <w:rPr>
          <w:i/>
        </w:rPr>
        <w:t>et al.,</w:t>
      </w:r>
      <w:r>
        <w:rPr/>
        <w:t>2011).</w:t>
      </w:r>
    </w:p>
    <w:p>
      <w:pPr>
        <w:pStyle w:val="Heading1"/>
        <w:numPr>
          <w:ilvl w:val="1"/>
          <w:numId w:val="8"/>
        </w:numPr>
        <w:tabs>
          <w:tab w:pos="4342" w:val="left" w:leader="none"/>
        </w:tabs>
        <w:spacing w:line="240" w:lineRule="auto" w:before="207" w:after="0"/>
        <w:ind w:left="4341" w:right="0" w:hanging="366"/>
        <w:jc w:val="both"/>
      </w:pPr>
      <w:bookmarkStart w:name="_TOC_250070" w:id="23"/>
      <w:bookmarkEnd w:id="23"/>
      <w:r>
        <w:rPr/>
        <w:t>Chalcones</w:t>
      </w:r>
    </w:p>
    <w:p>
      <w:pPr>
        <w:pStyle w:val="BodyText"/>
        <w:spacing w:line="480" w:lineRule="auto" w:before="195"/>
        <w:ind w:left="312" w:right="688"/>
        <w:jc w:val="both"/>
      </w:pPr>
      <w:r>
        <w:rPr/>
        <w:t>Chalcones are one of the most important classes of flavonoid family. They are open-chain</w:t>
      </w:r>
      <w:r>
        <w:rPr>
          <w:spacing w:val="1"/>
        </w:rPr>
        <w:t> </w:t>
      </w:r>
      <w:r>
        <w:rPr/>
        <w:t>precursors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biosynthesis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flavonoids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isoflavonoids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occur</w:t>
      </w:r>
      <w:r>
        <w:rPr>
          <w:spacing w:val="1"/>
        </w:rPr>
        <w:t> </w:t>
      </w:r>
      <w:r>
        <w:rPr/>
        <w:t>mainly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polyphenolic compounds, whose colour ranges from yellow to orange (Sahu </w:t>
      </w:r>
      <w:r>
        <w:rPr>
          <w:i/>
        </w:rPr>
        <w:t>et al.,</w:t>
      </w:r>
      <w:r>
        <w:rPr/>
        <w:t>2012).</w:t>
      </w:r>
      <w:r>
        <w:rPr>
          <w:spacing w:val="1"/>
        </w:rPr>
        <w:t> </w:t>
      </w:r>
      <w:r>
        <w:rPr/>
        <w:t>They are abundantly present</w:t>
      </w:r>
      <w:r>
        <w:rPr>
          <w:spacing w:val="1"/>
        </w:rPr>
        <w:t> </w:t>
      </w:r>
      <w:r>
        <w:rPr/>
        <w:t>in edible plants. Chalcones exhibit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broad spectrum of</w:t>
      </w:r>
      <w:r>
        <w:rPr>
          <w:spacing w:val="1"/>
        </w:rPr>
        <w:t> </w:t>
      </w:r>
      <w:r>
        <w:rPr/>
        <w:t>biological activities, including antimalarial, anti-inflammatory, cytotoxic, and anticancer</w:t>
      </w:r>
      <w:r>
        <w:rPr>
          <w:spacing w:val="1"/>
        </w:rPr>
        <w:t> </w:t>
      </w:r>
      <w:r>
        <w:rPr/>
        <w:t>properties (Sahu </w:t>
      </w:r>
      <w:r>
        <w:rPr>
          <w:i/>
        </w:rPr>
        <w:t>et al., </w:t>
      </w:r>
      <w:r>
        <w:rPr/>
        <w:t>2012). Two examples of chalcones used in clinical practice are;</w:t>
      </w:r>
      <w:r>
        <w:rPr>
          <w:spacing w:val="1"/>
        </w:rPr>
        <w:t> </w:t>
      </w:r>
      <w:r>
        <w:rPr/>
        <w:t>metochalcone approved as a choleretic drug, and sofalcone as an anti-ulcer agent that</w:t>
      </w:r>
      <w:r>
        <w:rPr>
          <w:spacing w:val="1"/>
        </w:rPr>
        <w:t> </w:t>
      </w:r>
      <w:r>
        <w:rPr/>
        <w:t>increases the amount of mucosal prostaglandin, conferring a gastroprotective effect against</w:t>
      </w:r>
      <w:r>
        <w:rPr>
          <w:spacing w:val="-57"/>
        </w:rPr>
        <w:t> </w:t>
      </w:r>
      <w:r>
        <w:rPr>
          <w:i/>
        </w:rPr>
        <w:t>Helicobacter</w:t>
      </w:r>
      <w:r>
        <w:rPr>
          <w:i/>
          <w:spacing w:val="1"/>
        </w:rPr>
        <w:t> </w:t>
      </w:r>
      <w:r>
        <w:rPr>
          <w:i/>
        </w:rPr>
        <w:t>pylori</w:t>
      </w:r>
      <w:r>
        <w:rPr>
          <w:i/>
          <w:spacing w:val="1"/>
        </w:rPr>
        <w:t> </w:t>
      </w:r>
      <w:r>
        <w:rPr/>
        <w:t>(Gomes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2017).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chemists</w:t>
      </w:r>
      <w:r>
        <w:rPr>
          <w:spacing w:val="1"/>
        </w:rPr>
        <w:t> </w:t>
      </w:r>
      <w:r>
        <w:rPr/>
        <w:t>continue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fascinated by chalcone derivatives because of their simple chemistry, ease of hydrogen</w:t>
      </w:r>
      <w:r>
        <w:rPr>
          <w:spacing w:val="1"/>
        </w:rPr>
        <w:t> </w:t>
      </w:r>
      <w:r>
        <w:rPr/>
        <w:t>atom</w:t>
      </w:r>
      <w:r>
        <w:rPr>
          <w:spacing w:val="1"/>
        </w:rPr>
        <w:t> </w:t>
      </w:r>
      <w:r>
        <w:rPr/>
        <w:t>manipulation,</w:t>
      </w:r>
      <w:r>
        <w:rPr>
          <w:spacing w:val="1"/>
        </w:rPr>
        <w:t> </w:t>
      </w:r>
      <w:r>
        <w:rPr/>
        <w:t>straightforward</w:t>
      </w:r>
      <w:r>
        <w:rPr>
          <w:spacing w:val="1"/>
        </w:rPr>
        <w:t> </w:t>
      </w:r>
      <w:r>
        <w:rPr/>
        <w:t>synthesis,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variety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promising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activities</w:t>
      </w:r>
      <w:r>
        <w:rPr>
          <w:spacing w:val="-1"/>
        </w:rPr>
        <w:t> </w:t>
      </w:r>
      <w:r>
        <w:rPr/>
        <w:t>(Kumar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5"/>
        </w:rPr>
        <w:t> </w:t>
      </w:r>
      <w:r>
        <w:rPr/>
        <w:t>2010).</w:t>
      </w:r>
    </w:p>
    <w:p>
      <w:pPr>
        <w:pStyle w:val="Heading1"/>
        <w:numPr>
          <w:ilvl w:val="2"/>
          <w:numId w:val="11"/>
        </w:numPr>
        <w:tabs>
          <w:tab w:pos="856" w:val="left" w:leader="none"/>
        </w:tabs>
        <w:spacing w:line="240" w:lineRule="auto" w:before="204" w:after="0"/>
        <w:ind w:left="855" w:right="0" w:hanging="544"/>
        <w:jc w:val="both"/>
      </w:pPr>
      <w:bookmarkStart w:name="_TOC_250069" w:id="24"/>
      <w:r>
        <w:rPr/>
        <w:t>Chemistry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bookmarkEnd w:id="24"/>
      <w:r>
        <w:rPr/>
        <w:t>chalcones</w:t>
      </w:r>
    </w:p>
    <w:p>
      <w:pPr>
        <w:pStyle w:val="BodyText"/>
        <w:spacing w:line="480" w:lineRule="auto" w:before="195"/>
        <w:ind w:left="312" w:right="686"/>
        <w:jc w:val="both"/>
      </w:pPr>
      <w:r>
        <w:rPr/>
        <w:t>Chalcone is a generic term given to compounds bearing the 1, 3-diphenyl-2- propen-1-one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carbon</w:t>
      </w:r>
      <w:r>
        <w:rPr>
          <w:spacing w:val="1"/>
        </w:rPr>
        <w:t> </w:t>
      </w:r>
      <w:r>
        <w:rPr/>
        <w:t>α,β-unsaturated</w:t>
      </w:r>
      <w:r>
        <w:rPr>
          <w:spacing w:val="1"/>
        </w:rPr>
        <w:t> </w:t>
      </w:r>
      <w:r>
        <w:rPr/>
        <w:t>carbonyl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(ketoethylenic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COCH=CH) is used as an adjunct between two aromatic rings A and B. They are non-</w:t>
      </w:r>
      <w:r>
        <w:rPr>
          <w:spacing w:val="1"/>
        </w:rPr>
        <w:t> </w:t>
      </w:r>
      <w:r>
        <w:rPr/>
        <w:t>chiral</w:t>
      </w:r>
      <w:r>
        <w:rPr>
          <w:spacing w:val="-5"/>
        </w:rPr>
        <w:t> </w:t>
      </w:r>
      <w:r>
        <w:rPr/>
        <w:t>small</w:t>
      </w:r>
      <w:r>
        <w:rPr>
          <w:spacing w:val="-4"/>
        </w:rPr>
        <w:t> </w:t>
      </w:r>
      <w:r>
        <w:rPr/>
        <w:t>molecules</w:t>
      </w:r>
      <w:r>
        <w:rPr>
          <w:spacing w:val="-1"/>
        </w:rPr>
        <w:t> </w:t>
      </w:r>
      <w:r>
        <w:rPr/>
        <w:t>bearing relative</w:t>
      </w:r>
      <w:r>
        <w:rPr>
          <w:spacing w:val="4"/>
        </w:rPr>
        <w:t> </w:t>
      </w:r>
      <w:r>
        <w:rPr/>
        <w:t>molecular</w:t>
      </w:r>
      <w:r>
        <w:rPr>
          <w:spacing w:val="2"/>
        </w:rPr>
        <w:t> </w:t>
      </w:r>
      <w:r>
        <w:rPr/>
        <w:t>mass</w:t>
      </w:r>
      <w:r>
        <w:rPr>
          <w:spacing w:val="2"/>
        </w:rPr>
        <w:t> </w:t>
      </w:r>
      <w:r>
        <w:rPr/>
        <w:t>in</w:t>
      </w:r>
      <w:r>
        <w:rPr>
          <w:spacing w:val="-5"/>
        </w:rPr>
        <w:t> </w:t>
      </w:r>
      <w:r>
        <w:rPr/>
        <w:t>the range</w:t>
      </w:r>
      <w:r>
        <w:rPr>
          <w:spacing w:val="-1"/>
        </w:rPr>
        <w:t> </w:t>
      </w:r>
      <w:r>
        <w:rPr/>
        <w:t>of</w:t>
      </w:r>
      <w:r>
        <w:rPr>
          <w:spacing w:val="-8"/>
        </w:rPr>
        <w:t> </w:t>
      </w:r>
      <w:r>
        <w:rPr/>
        <w:t>300–600</w:t>
      </w:r>
      <w:r>
        <w:rPr>
          <w:spacing w:val="1"/>
        </w:rPr>
        <w:t> </w:t>
      </w:r>
      <w:r>
        <w:rPr/>
        <w:t>g/mol</w:t>
      </w:r>
      <w:r>
        <w:rPr>
          <w:spacing w:val="-9"/>
        </w:rPr>
        <w:t> </w:t>
      </w:r>
      <w:r>
        <w:rPr/>
        <w:t>with</w:t>
      </w:r>
    </w:p>
    <w:p>
      <w:pPr>
        <w:spacing w:after="0" w:line="480" w:lineRule="auto"/>
        <w:jc w:val="both"/>
        <w:sectPr>
          <w:headerReference w:type="default" r:id="rId91"/>
          <w:footerReference w:type="default" r:id="rId9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relatively high lipophilicity (Log P ~5–7). They exist as either </w:t>
      </w:r>
      <w:r>
        <w:rPr>
          <w:i/>
        </w:rPr>
        <w:t>trans </w:t>
      </w:r>
      <w:r>
        <w:rPr/>
        <w:t>(E) or </w:t>
      </w:r>
      <w:r>
        <w:rPr>
          <w:i/>
        </w:rPr>
        <w:t>cis </w:t>
      </w:r>
      <w:r>
        <w:rPr/>
        <w:t>(Z) isomers</w:t>
      </w:r>
      <w:r>
        <w:rPr>
          <w:spacing w:val="1"/>
        </w:rPr>
        <w:t> </w:t>
      </w:r>
      <w:r>
        <w:rPr/>
        <w:t>(Figure</w:t>
      </w:r>
      <w:r>
        <w:rPr>
          <w:spacing w:val="1"/>
        </w:rPr>
        <w:t> </w:t>
      </w:r>
      <w:r>
        <w:rPr/>
        <w:t>2.5).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cases,</w:t>
      </w:r>
      <w:r>
        <w:rPr>
          <w:spacing w:val="1"/>
        </w:rPr>
        <w:t> </w:t>
      </w:r>
      <w:r>
        <w:rPr/>
        <w:t>the,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isomer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stable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perspective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thermodynamics, which makes it the predominant configuration among the chalcones. The</w:t>
      </w:r>
      <w:r>
        <w:rPr>
          <w:spacing w:val="-57"/>
        </w:rPr>
        <w:t> </w:t>
      </w:r>
      <w:r>
        <w:rPr/>
        <w:t>configuration of the Z isomer is unstable due to the strong steric effects between the</w:t>
      </w:r>
      <w:r>
        <w:rPr>
          <w:spacing w:val="1"/>
        </w:rPr>
        <w:t> </w:t>
      </w:r>
      <w:r>
        <w:rPr/>
        <w:t>carbonyl</w:t>
      </w:r>
      <w:r>
        <w:rPr>
          <w:spacing w:val="-8"/>
        </w:rPr>
        <w:t> </w:t>
      </w:r>
      <w:r>
        <w:rPr/>
        <w:t>group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A-ring</w:t>
      </w:r>
      <w:r>
        <w:rPr>
          <w:spacing w:val="2"/>
        </w:rPr>
        <w:t> </w:t>
      </w:r>
      <w:r>
        <w:rPr/>
        <w:t>(Aksoz and</w:t>
      </w:r>
      <w:r>
        <w:rPr>
          <w:spacing w:val="2"/>
        </w:rPr>
        <w:t> </w:t>
      </w:r>
      <w:r>
        <w:rPr/>
        <w:t>Ertan,</w:t>
      </w:r>
      <w:r>
        <w:rPr>
          <w:spacing w:val="4"/>
        </w:rPr>
        <w:t> </w:t>
      </w:r>
      <w:r>
        <w:rPr/>
        <w:t>2011).</w:t>
      </w: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93.599998pt;margin-top:10.391719pt;width:297.95pt;height:122pt;mso-position-horizontal-relative:page;mso-position-vertical-relative:paragraph;z-index:-15720960;mso-wrap-distance-left:0;mso-wrap-distance-right:0" coordorigin="1872,208" coordsize="5959,2440">
            <v:shape style="position:absolute;left:5188;top:207;width:2643;height:2378" type="#_x0000_t75" stroked="false">
              <v:imagedata r:id="rId95" o:title=""/>
            </v:shape>
            <v:shape style="position:absolute;left:6705;top:2262;width:276;height:113" type="#_x0000_t75" stroked="false">
              <v:imagedata r:id="rId96" o:title=""/>
            </v:shape>
            <v:shape style="position:absolute;left:1872;top:1197;width:3316;height:1450" type="#_x0000_t75" stroked="false">
              <v:imagedata r:id="rId97" o:title=""/>
            </v:shape>
            <v:shape style="position:absolute;left:3102;top:1197;width:118;height:501" type="#_x0000_t75" stroked="false">
              <v:imagedata r:id="rId98" o:title=""/>
            </v:shape>
            <w10:wrap type="topAndBottom"/>
          </v:group>
        </w:pict>
      </w:r>
    </w:p>
    <w:p>
      <w:pPr>
        <w:pStyle w:val="BodyText"/>
        <w:spacing w:before="7"/>
        <w:rPr>
          <w:sz w:val="9"/>
        </w:rPr>
      </w:pPr>
    </w:p>
    <w:p>
      <w:pPr>
        <w:spacing w:after="0"/>
        <w:rPr>
          <w:sz w:val="9"/>
        </w:rPr>
        <w:sectPr>
          <w:headerReference w:type="default" r:id="rId93"/>
          <w:footerReference w:type="default" r:id="rId94"/>
          <w:pgSz w:w="11910" w:h="16840"/>
          <w:pgMar w:header="0" w:footer="878" w:top="1200" w:bottom="1060" w:left="1560" w:right="600"/>
        </w:sectPr>
      </w:pPr>
    </w:p>
    <w:p>
      <w:pPr>
        <w:tabs>
          <w:tab w:pos="1753" w:val="left" w:leader="none"/>
        </w:tabs>
        <w:spacing w:before="93"/>
        <w:ind w:left="312" w:right="0" w:firstLine="0"/>
        <w:jc w:val="left"/>
        <w:rPr>
          <w:sz w:val="20"/>
        </w:rPr>
      </w:pPr>
      <w:r>
        <w:rPr>
          <w:sz w:val="20"/>
        </w:rPr>
        <w:t>(E)-chalcone</w:t>
        <w:tab/>
      </w:r>
      <w:r>
        <w:rPr>
          <w:spacing w:val="-1"/>
          <w:sz w:val="20"/>
        </w:rPr>
        <w:t>(Z)-chalcone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6"/>
        <w:rPr>
          <w:sz w:val="23"/>
        </w:rPr>
      </w:pPr>
    </w:p>
    <w:p>
      <w:pPr>
        <w:pStyle w:val="Heading1"/>
        <w:spacing w:before="0"/>
        <w:ind w:left="217"/>
      </w:pPr>
      <w:r>
        <w:rPr/>
        <w:t>Figure</w:t>
      </w:r>
      <w:r>
        <w:rPr>
          <w:spacing w:val="-2"/>
        </w:rPr>
        <w:t> </w:t>
      </w:r>
      <w:r>
        <w:rPr/>
        <w:t>2.5:</w:t>
      </w:r>
      <w:r>
        <w:rPr>
          <w:spacing w:val="-3"/>
        </w:rPr>
        <w:t> </w:t>
      </w:r>
      <w:r>
        <w:rPr/>
        <w:t>(E)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(Z) chalcone</w:t>
      </w:r>
    </w:p>
    <w:p>
      <w:pPr>
        <w:spacing w:after="0"/>
        <w:sectPr>
          <w:type w:val="continuous"/>
          <w:pgSz w:w="11910" w:h="16840"/>
          <w:pgMar w:top="2020" w:bottom="280" w:left="1560" w:right="600"/>
          <w:cols w:num="2" w:equalWidth="0">
            <w:col w:w="2789" w:space="40"/>
            <w:col w:w="692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</w:p>
    <w:p>
      <w:pPr>
        <w:pStyle w:val="BodyText"/>
        <w:spacing w:line="480" w:lineRule="auto" w:before="90"/>
        <w:ind w:left="312" w:right="693"/>
        <w:jc w:val="both"/>
      </w:pPr>
      <w:r>
        <w:rPr/>
        <w:t>All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undergo</w:t>
      </w:r>
      <w:r>
        <w:rPr>
          <w:spacing w:val="1"/>
        </w:rPr>
        <w:t> </w:t>
      </w:r>
      <w:r>
        <w:rPr/>
        <w:t>colored</w:t>
      </w:r>
      <w:r>
        <w:rPr>
          <w:spacing w:val="1"/>
        </w:rPr>
        <w:t> </w:t>
      </w:r>
      <w:r>
        <w:rPr/>
        <w:t>reactions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reagents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concentrated</w:t>
      </w:r>
      <w:r>
        <w:rPr>
          <w:spacing w:val="1"/>
        </w:rPr>
        <w:t> </w:t>
      </w:r>
      <w:r>
        <w:rPr/>
        <w:t>sulphuric acid, nitric acid and when a phenolic hydroxyl group is present, they give violet</w:t>
      </w:r>
      <w:r>
        <w:rPr>
          <w:spacing w:val="1"/>
        </w:rPr>
        <w:t> </w:t>
      </w:r>
      <w:r>
        <w:rPr/>
        <w:t>coloration with alcoholic ferric chloride solution. Chalcones on heating with traces of</w:t>
      </w:r>
      <w:r>
        <w:rPr>
          <w:spacing w:val="1"/>
        </w:rPr>
        <w:t> </w:t>
      </w:r>
      <w:r>
        <w:rPr/>
        <w:t>iodine in dimethyl sulphoxide (DMSO) for two hours give the corresponding flavones.</w:t>
      </w:r>
      <w:r>
        <w:rPr>
          <w:spacing w:val="1"/>
        </w:rPr>
        <w:t> </w:t>
      </w:r>
      <w:r>
        <w:rPr/>
        <w:t>Chalcones can be converted into the corresponding flavonols by their oxidation using</w:t>
      </w:r>
      <w:r>
        <w:rPr>
          <w:spacing w:val="1"/>
        </w:rPr>
        <w:t> </w:t>
      </w:r>
      <w:r>
        <w:rPr/>
        <w:t>hydrogen peroxide in methanolic sodium hydroxide solution and these flavonols showed a</w:t>
      </w:r>
      <w:r>
        <w:rPr>
          <w:spacing w:val="1"/>
        </w:rPr>
        <w:t> </w:t>
      </w:r>
      <w:r>
        <w:rPr/>
        <w:t>characteristic</w:t>
      </w:r>
      <w:r>
        <w:rPr>
          <w:spacing w:val="1"/>
        </w:rPr>
        <w:t> </w:t>
      </w:r>
      <w:r>
        <w:rPr/>
        <w:t>greenish</w:t>
      </w:r>
      <w:r>
        <w:rPr>
          <w:spacing w:val="1"/>
        </w:rPr>
        <w:t> </w:t>
      </w:r>
      <w:r>
        <w:rPr/>
        <w:t>yellow</w:t>
      </w:r>
      <w:r>
        <w:rPr>
          <w:spacing w:val="1"/>
        </w:rPr>
        <w:t> </w:t>
      </w:r>
      <w:r>
        <w:rPr/>
        <w:t>fluorescence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ethanol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61"/>
        </w:rPr>
        <w:t> </w:t>
      </w:r>
      <w:r>
        <w:rPr/>
        <w:t>with</w:t>
      </w:r>
      <w:r>
        <w:rPr>
          <w:spacing w:val="1"/>
        </w:rPr>
        <w:t> </w:t>
      </w:r>
      <w:r>
        <w:rPr/>
        <w:t>concentrated</w:t>
      </w:r>
      <w:r>
        <w:rPr>
          <w:spacing w:val="1"/>
        </w:rPr>
        <w:t> </w:t>
      </w:r>
      <w:r>
        <w:rPr/>
        <w:t>sulphuric</w:t>
      </w:r>
      <w:r>
        <w:rPr>
          <w:spacing w:val="1"/>
        </w:rPr>
        <w:t> </w:t>
      </w:r>
      <w:r>
        <w:rPr/>
        <w:t>acid</w:t>
      </w:r>
      <w:r>
        <w:rPr>
          <w:spacing w:val="1"/>
        </w:rPr>
        <w:t> </w:t>
      </w:r>
      <w:r>
        <w:rPr/>
        <w:t>(Avupati</w:t>
      </w:r>
      <w:r>
        <w:rPr>
          <w:spacing w:val="-7"/>
        </w:rPr>
        <w:t> </w:t>
      </w:r>
      <w:r>
        <w:rPr/>
        <w:t>and</w:t>
      </w:r>
      <w:r>
        <w:rPr>
          <w:spacing w:val="2"/>
        </w:rPr>
        <w:t> </w:t>
      </w:r>
      <w:r>
        <w:rPr/>
        <w:t>Yejella,</w:t>
      </w:r>
      <w:r>
        <w:rPr>
          <w:spacing w:val="3"/>
        </w:rPr>
        <w:t> </w:t>
      </w:r>
      <w:r>
        <w:rPr/>
        <w:t>2014).</w:t>
      </w:r>
    </w:p>
    <w:p>
      <w:pPr>
        <w:spacing w:after="0" w:line="480" w:lineRule="auto"/>
        <w:jc w:val="both"/>
        <w:sectPr>
          <w:type w:val="continuous"/>
          <w:pgSz w:w="11910" w:h="16840"/>
          <w:pgMar w:top="2020" w:bottom="280" w:left="1560" w:right="600"/>
        </w:sectPr>
      </w:pPr>
    </w:p>
    <w:p>
      <w:pPr>
        <w:pStyle w:val="Heading1"/>
        <w:numPr>
          <w:ilvl w:val="2"/>
          <w:numId w:val="11"/>
        </w:numPr>
        <w:tabs>
          <w:tab w:pos="856" w:val="left" w:leader="none"/>
        </w:tabs>
        <w:spacing w:line="240" w:lineRule="auto" w:before="74" w:after="0"/>
        <w:ind w:left="855" w:right="0" w:hanging="544"/>
        <w:jc w:val="both"/>
      </w:pPr>
      <w:bookmarkStart w:name="_TOC_250068" w:id="25"/>
      <w:r>
        <w:rPr/>
        <w:t>Chemical</w:t>
      </w:r>
      <w:r>
        <w:rPr>
          <w:spacing w:val="-8"/>
        </w:rPr>
        <w:t> </w:t>
      </w:r>
      <w:bookmarkEnd w:id="25"/>
      <w:r>
        <w:rPr/>
        <w:t>synthesis</w:t>
      </w:r>
    </w:p>
    <w:p>
      <w:pPr>
        <w:pStyle w:val="BodyText"/>
        <w:spacing w:line="480" w:lineRule="auto" w:before="195"/>
        <w:ind w:left="312" w:right="689"/>
        <w:jc w:val="both"/>
      </w:pPr>
      <w:r>
        <w:rPr/>
        <w:t>The simple chemistry of chalcones enables easy, efficient and convenient synthesis with</w:t>
      </w:r>
      <w:r>
        <w:rPr>
          <w:spacing w:val="1"/>
        </w:rPr>
        <w:t> </w:t>
      </w:r>
      <w:r>
        <w:rPr/>
        <w:t>multiple substitutions. A variety of methods and schemes are available for the synthesis; in</w:t>
      </w:r>
      <w:r>
        <w:rPr>
          <w:spacing w:val="-57"/>
        </w:rPr>
        <w:t> </w:t>
      </w:r>
      <w:r>
        <w:rPr/>
        <w:t>each of these methods, the most important partis condensation of two aromatic systems</w:t>
      </w:r>
      <w:r>
        <w:rPr>
          <w:spacing w:val="1"/>
        </w:rPr>
        <w:t> </w:t>
      </w:r>
      <w:r>
        <w:rPr/>
        <w:t>(with nucleophilic and electrophilic groups) to yield the chalcone scaffold. Amongst all</w:t>
      </w:r>
      <w:r>
        <w:rPr>
          <w:spacing w:val="1"/>
        </w:rPr>
        <w:t> </w:t>
      </w:r>
      <w:r>
        <w:rPr/>
        <w:t>methods, the Claisen- Schmidt condensation (Figure 2.6) is one of the most common. In</w:t>
      </w:r>
      <w:r>
        <w:rPr>
          <w:spacing w:val="1"/>
        </w:rPr>
        <w:t> </w:t>
      </w:r>
      <w:r>
        <w:rPr/>
        <w:t>this reaction equimolar quantities of substituted aromatic aldehydes are condensed with</w:t>
      </w:r>
      <w:r>
        <w:rPr>
          <w:spacing w:val="1"/>
        </w:rPr>
        <w:t> </w:t>
      </w:r>
      <w:r>
        <w:rPr/>
        <w:t>substituted aromatic ketones</w:t>
      </w:r>
      <w:r>
        <w:rPr>
          <w:spacing w:val="1"/>
        </w:rPr>
        <w:t> </w:t>
      </w:r>
      <w:r>
        <w:rPr/>
        <w:t>in aqueous alcoholic alkali.</w:t>
      </w:r>
      <w:r>
        <w:rPr>
          <w:spacing w:val="1"/>
        </w:rPr>
        <w:t> </w:t>
      </w:r>
      <w:r>
        <w:rPr/>
        <w:t>The reaction</w:t>
      </w:r>
      <w:r>
        <w:rPr>
          <w:spacing w:val="60"/>
        </w:rPr>
        <w:t> </w:t>
      </w:r>
      <w:r>
        <w:rPr/>
        <w:t>is usually carried</w:t>
      </w:r>
      <w:r>
        <w:rPr>
          <w:spacing w:val="1"/>
        </w:rPr>
        <w:t> </w:t>
      </w:r>
      <w:r>
        <w:rPr/>
        <w:t>out in the temperature range of 20- 50ºC, and the reaction time is 12-15 hours. Some other</w:t>
      </w:r>
      <w:r>
        <w:rPr>
          <w:spacing w:val="1"/>
        </w:rPr>
        <w:t> </w:t>
      </w:r>
      <w:r>
        <w:rPr/>
        <w:t>condensing agents are also employed e.g. alkali metal alkoxide, magnesium </w:t>
      </w:r>
      <w:r>
        <w:rPr>
          <w:i/>
        </w:rPr>
        <w:t>tert</w:t>
      </w:r>
      <w:r>
        <w:rPr/>
        <w:t>-butoxide,</w:t>
      </w:r>
      <w:r>
        <w:rPr>
          <w:spacing w:val="1"/>
        </w:rPr>
        <w:t> </w:t>
      </w:r>
      <w:r>
        <w:rPr/>
        <w:t>hydrogen</w:t>
      </w:r>
      <w:r>
        <w:rPr>
          <w:spacing w:val="1"/>
        </w:rPr>
        <w:t> </w:t>
      </w:r>
      <w:r>
        <w:rPr/>
        <w:t>chloride,</w:t>
      </w:r>
      <w:r>
        <w:rPr>
          <w:spacing w:val="1"/>
        </w:rPr>
        <w:t> </w:t>
      </w:r>
      <w:r>
        <w:rPr/>
        <w:t>anhydrous</w:t>
      </w:r>
      <w:r>
        <w:rPr>
          <w:spacing w:val="1"/>
        </w:rPr>
        <w:t> </w:t>
      </w:r>
      <w:r>
        <w:rPr/>
        <w:t>aluminium</w:t>
      </w:r>
      <w:r>
        <w:rPr>
          <w:spacing w:val="1"/>
        </w:rPr>
        <w:t> </w:t>
      </w:r>
      <w:r>
        <w:rPr/>
        <w:t>chloride,</w:t>
      </w:r>
      <w:r>
        <w:rPr>
          <w:spacing w:val="1"/>
        </w:rPr>
        <w:t> </w:t>
      </w:r>
      <w:r>
        <w:rPr/>
        <w:t>boron</w:t>
      </w:r>
      <w:r>
        <w:rPr>
          <w:spacing w:val="1"/>
        </w:rPr>
        <w:t> </w:t>
      </w:r>
      <w:r>
        <w:rPr/>
        <w:t>trifluoride,</w:t>
      </w:r>
      <w:r>
        <w:rPr>
          <w:spacing w:val="1"/>
        </w:rPr>
        <w:t> </w:t>
      </w:r>
      <w:r>
        <w:rPr/>
        <w:t>phosphorus</w:t>
      </w:r>
      <w:r>
        <w:rPr>
          <w:spacing w:val="1"/>
        </w:rPr>
        <w:t> </w:t>
      </w:r>
      <w:r>
        <w:rPr/>
        <w:t>oxychloride, boric anhydride, amino acids, borax and organometallic compounds. The</w:t>
      </w:r>
      <w:r>
        <w:rPr>
          <w:spacing w:val="1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of chalcones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60"/>
        </w:rPr>
        <w:t> </w:t>
      </w:r>
      <w:r>
        <w:rPr/>
        <w:t>aromatic</w:t>
      </w:r>
      <w:r>
        <w:rPr>
          <w:spacing w:val="60"/>
        </w:rPr>
        <w:t> </w:t>
      </w:r>
      <w:r>
        <w:rPr/>
        <w:t>rings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allow to</w:t>
      </w:r>
      <w:r>
        <w:rPr>
          <w:spacing w:val="1"/>
        </w:rPr>
        <w:t> </w:t>
      </w:r>
      <w:r>
        <w:rPr/>
        <w:t>explore a large number</w:t>
      </w:r>
      <w:r>
        <w:rPr>
          <w:spacing w:val="2"/>
        </w:rPr>
        <w:t> </w:t>
      </w:r>
      <w:r>
        <w:rPr/>
        <w:t>of</w:t>
      </w:r>
      <w:r>
        <w:rPr>
          <w:spacing w:val="-6"/>
        </w:rPr>
        <w:t> </w:t>
      </w:r>
      <w:r>
        <w:rPr/>
        <w:t>desired</w:t>
      </w:r>
      <w:r>
        <w:rPr>
          <w:spacing w:val="1"/>
        </w:rPr>
        <w:t> </w:t>
      </w:r>
      <w:r>
        <w:rPr/>
        <w:t>potential</w:t>
      </w:r>
      <w:r>
        <w:rPr>
          <w:spacing w:val="-4"/>
        </w:rPr>
        <w:t> </w:t>
      </w:r>
      <w:r>
        <w:rPr/>
        <w:t>analogues.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  <w:r>
        <w:rPr/>
        <w:pict>
          <v:group style="position:absolute;margin-left:191.399994pt;margin-top:11.712617pt;width:43.3pt;height:80.95pt;mso-position-horizontal-relative:page;mso-position-vertical-relative:paragraph;z-index:-15720448;mso-wrap-distance-left:0;mso-wrap-distance-right:0" coordorigin="3828,234" coordsize="866,1619">
            <v:line style="position:absolute" from="3869,1172" to="3869,1631" stroked="true" strokeweight=".70339pt" strokecolor="#000000">
              <v:stroke dashstyle="solid"/>
            </v:line>
            <v:line style="position:absolute" from="3923,1203" to="3923,1600" stroked="true" strokeweight=".7037pt" strokecolor="#000000">
              <v:stroke dashstyle="solid"/>
            </v:line>
            <v:shape style="position:absolute;left:3861;top:1615;width:403;height:238" coordorigin="3861,1615" coordsize="403,238" path="m3869,1615l3865,1616,3861,1623,3862,1627,4256,1853,4260,1852,4264,1845,4263,1841,3869,1615xe" filled="true" fillcolor="#000000" stroked="false">
              <v:path arrowok="t"/>
              <v:fill type="solid"/>
            </v:shape>
            <v:shape style="position:absolute;left:4248;top:1584;width:403;height:269" type="#_x0000_t75" stroked="false">
              <v:imagedata r:id="rId101" o:title=""/>
            </v:shape>
            <v:line style="position:absolute" from="4643,1172" to="4643,1631" stroked="true" strokeweight=".7037pt" strokecolor="#000000">
              <v:stroke dashstyle="solid"/>
            </v:line>
            <v:shape style="position:absolute;left:4248;top:948;width:403;height:269" type="#_x0000_t75" stroked="false">
              <v:imagedata r:id="rId102" o:title=""/>
            </v:shape>
            <v:shape style="position:absolute;left:3861;top:948;width:403;height:239" coordorigin="3861,948" coordsize="403,239" path="m4256,948l3862,1175,3861,1179,3865,1186,3869,1187,4263,960,4264,956,4260,949,4256,948xe" filled="true" fillcolor="#000000" stroked="false">
              <v:path arrowok="t"/>
              <v:fill type="solid"/>
            </v:shape>
            <v:line style="position:absolute" from="4256,505" to="4256,963" stroked="true" strokeweight=".7037pt" strokecolor="#000000">
              <v:stroke dashstyle="solid"/>
            </v:line>
            <v:shape style="position:absolute;left:3828;top:234;width:866;height:316" coordorigin="3828,234" coordsize="866,316" path="m3912,235l3898,235,3898,277,3842,277,3842,235,3828,235,3828,339,3842,339,3842,290,3898,290,3898,339,3912,339,3912,290,3912,277,3912,235xm4562,308l4558,302,4554,301,4227,488,3946,326,3942,327,3938,334,3939,338,4255,520,4259,519,4263,512,4262,508,4241,496,4561,313,4562,308xm4589,355l4585,348,4581,347,4249,537,4248,542,4252,548,4256,550,4588,359,4589,355xm4694,277l4692,269,4684,252,4680,248,4680,280,4680,302,4676,312,4662,327,4653,330,4632,330,4624,327,4610,312,4606,302,4606,274,4610,263,4624,250,4633,246,4650,246,4656,248,4668,255,4672,260,4678,273,4680,280,4680,248,4678,246,4662,237,4653,234,4628,234,4615,239,4606,249,4600,257,4595,267,4592,277,4591,290,4591,299,4593,307,4602,324,4608,330,4624,340,4633,342,4652,342,4661,340,4677,331,4678,330,4683,325,4692,308,4694,299,4694,27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42pt;margin-top:64.912621pt;width:4.850pt;height:4.650pt;mso-position-horizontal-relative:page;mso-position-vertical-relative:paragraph;z-index:-15719936;mso-wrap-distance-left:0;mso-wrap-distance-right:0" coordorigin="4840,1298" coordsize="97,93" path="m4894,1350l4883,1350,4883,1391,4894,1391,4894,1350xm4937,1339l4840,1339,4840,1350,4937,1350,4937,1339xm4894,1298l4883,1298,4883,1339,4894,1339,4894,129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2.800003pt;margin-top:13.912617pt;width:51.7pt;height:81.05pt;mso-position-horizontal-relative:page;mso-position-vertical-relative:paragraph;z-index:-15719424;mso-wrap-distance-left:0;mso-wrap-distance-right:0" coordorigin="5056,278" coordsize="1034,1621">
            <v:shape style="position:absolute;left:5265;top:1216;width:54;height:459" coordorigin="5265,1216" coordsize="54,459" path="m5265,1216l5265,1675m5319,1247l5319,1644e" filled="false" stroked="true" strokeweight=".7037pt" strokecolor="#000000">
              <v:path arrowok="t"/>
              <v:stroke dashstyle="solid"/>
            </v:shape>
            <v:shape style="position:absolute;left:5257;top:1660;width:404;height:239" coordorigin="5257,1660" coordsize="404,239" path="m5266,1660l5261,1661,5257,1668,5259,1672,5652,1899,5657,1898,5661,1891,5659,1887,5266,1660xe" filled="true" fillcolor="#000000" stroked="false">
              <v:path arrowok="t"/>
              <v:fill type="solid"/>
            </v:shape>
            <v:shape style="position:absolute;left:5644;top:1629;width:403;height:270" type="#_x0000_t75" stroked="false">
              <v:imagedata r:id="rId103" o:title=""/>
            </v:shape>
            <v:line style="position:absolute" from="6039,1216" to="6039,1675" stroked="true" strokeweight=".7037pt" strokecolor="#000000">
              <v:stroke dashstyle="solid"/>
            </v:line>
            <v:shape style="position:absolute;left:5644;top:992;width:403;height:270" type="#_x0000_t75" stroked="false">
              <v:imagedata r:id="rId104" o:title=""/>
            </v:shape>
            <v:shape style="position:absolute;left:5257;top:992;width:404;height:238" coordorigin="5257,992" coordsize="404,238" path="m5652,992l5259,1218,5257,1222,5261,1229,5266,1230,5659,1004,5661,1000,5657,993,5652,992xe" filled="true" fillcolor="#000000" stroked="false">
              <v:path arrowok="t"/>
              <v:fill type="solid"/>
            </v:shape>
            <v:line style="position:absolute" from="5652,549" to="5652,1008" stroked="true" strokeweight=".7037pt" strokecolor="#000000">
              <v:stroke dashstyle="solid"/>
            </v:line>
            <v:shape style="position:absolute;left:5056;top:278;width:1034;height:316" coordorigin="5056,278" coordsize="1034,316" path="m5140,280l5126,280,5126,322,5070,322,5070,280,5056,280,5056,384,5070,384,5070,335,5126,335,5126,384,5140,384,5140,335,5140,322,5140,280xm5209,389l5208,385,5203,379,5202,378,5199,376,5194,375,5197,373,5199,372,5200,371,5204,366,5205,363,5205,356,5204,352,5200,347,5200,346,5197,344,5190,340,5186,339,5175,339,5170,341,5161,348,5158,353,5157,359,5167,361,5168,356,5169,353,5174,348,5178,347,5185,347,5189,348,5193,353,5195,356,5195,363,5193,367,5186,371,5182,372,5177,372,5176,380,5178,380,5181,379,5187,379,5191,381,5197,386,5198,390,5198,399,5197,403,5190,409,5186,411,5178,411,5174,409,5169,405,5167,401,5166,395,5156,397,5157,403,5159,408,5169,417,5175,419,5190,419,5196,416,5202,411,5206,407,5209,401,5209,389xm5315,352l5301,348,5299,357,5295,364,5284,373,5278,375,5263,375,5257,373,5246,367,5242,362,5236,348,5235,342,5235,325,5236,318,5241,306,5245,300,5256,293,5263,291,5278,291,5284,293,5293,299,5297,305,5300,313,5314,309,5311,300,5306,292,5304,291,5291,282,5282,279,5262,279,5253,281,5237,289,5231,296,5223,312,5220,321,5220,342,5222,351,5230,369,5235,375,5250,384,5259,387,5282,387,5292,384,5303,375,5307,372,5312,363,5315,352xm5958,353l5954,346,5950,345,5625,532,5336,366,5332,367,5328,374,5329,378,5620,545,5621,547,5625,548,5651,563,5656,562,5660,555,5658,551,5639,540,5957,357,5958,353xm5986,399l5982,392,5978,391,5646,582,5644,586,5648,593,5653,594,5982,405,5985,403,5986,399xm6090,342l6089,321,6087,312,6079,296,6075,292,6075,323,6075,345,6071,356,6065,363,6058,370,6049,374,6028,374,6019,370,6005,356,6002,346,6002,318,6005,307,6020,293,6028,290,6045,290,6052,292,6058,295,6063,298,6068,303,6071,310,6073,316,6075,323,6075,292,6073,290,6073,289,6057,280,6048,278,6038,278,6028,279,6018,282,6009,286,6001,293,5995,301,5990,310,5988,321,5987,333,5987,342,5989,351,5997,367,6003,374,6019,383,6028,386,6048,386,6056,383,6072,375,6073,374,6079,369,6087,352,6090,34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13.899994pt;margin-top:23.412617pt;width:192.7pt;height:69.850pt;mso-position-horizontal-relative:page;mso-position-vertical-relative:paragraph;z-index:-15718912;mso-wrap-distance-left:0;mso-wrap-distance-right:0" coordorigin="6278,468" coordsize="3854,1397">
            <v:shape style="position:absolute;left:6279;top:1399;width:542;height:2" coordorigin="6279,1399" coordsize="542,2" path="m6280,1401l6821,1401m6279,1399l6821,1399e" filled="false" stroked="true" strokeweight=".24pt" strokecolor="#000000">
              <v:path arrowok="t"/>
              <v:stroke dashstyle="solid"/>
            </v:shape>
            <v:line style="position:absolute" from="6278,1401" to="6825,1401" stroked="true" strokeweight=".70094pt" strokecolor="#000000">
              <v:stroke dashstyle="solid"/>
            </v:line>
            <v:shape style="position:absolute;left:6798;top:1354;width:162;height:92" coordorigin="6798,1354" coordsize="162,92" path="m6960,1404l6959,1402,6958,1407,6960,1404xm6960,1400l6958,1396,6959,1399,6959,1400,6958,1398,6958,1396,6957,1396,6954,1394,6952,1394,6947,1393,6931,1388,6929,1388,6919,1385,6907,1382,6906,1382,6890,1377,6868,1371,6839,1364,6818,1358,6813,1356,6811,1356,6808,1355,6808,1370,6805,1369,6803,1368,6807,1370,6808,1370,6808,1355,6805,1354,6798,1365,6798,1366,6800,1369,6803,1373,6806,1378,6812,1390,6817,1390,6818,1391,6815,1391,6815,1435,6812,1440,6815,1435,6815,1435,6815,1391,6813,1391,6812,1391,6814,1396,6814,1398,6815,1402,6814,1403,6814,1407,6812,1412,6809,1419,6809,1431,6808,1431,6808,1431,6808,1444,6804,1438,6805,1438,6808,1444,6808,1431,6804,1432,6804,1437,6804,1437,6802,1433,6802,1432,6804,1437,6804,1432,6803,1432,6806,1431,6809,1431,6809,1419,6806,1423,6803,1427,6800,1431,6801,1431,6798,1434,6805,1446,6806,1445,6811,1444,6812,1444,6819,1442,6818,1442,6828,1440,6882,1426,6919,1417,6930,1414,6940,1412,6952,1409,6953,1409,6957,1408,6957,1407,6958,1407,6958,1406,6959,1402,6960,1400xe" filled="true" fillcolor="#000000" stroked="false">
              <v:path arrowok="t"/>
              <v:fill type="solid"/>
            </v:shape>
            <v:shape style="position:absolute;left:7030;top:1183;width:54;height:459" coordorigin="7030,1183" coordsize="54,459" path="m7030,1183l7030,1642m7084,1214l7084,1611e" filled="false" stroked="true" strokeweight=".7037pt" strokecolor="#000000">
              <v:path arrowok="t"/>
              <v:stroke dashstyle="solid"/>
            </v:shape>
            <v:shape style="position:absolute;left:7022;top:1626;width:402;height:238" coordorigin="7022,1626" coordsize="402,238" path="m7030,1626l7025,1627,7023,1630,7022,1634,7023,1638,7026,1640,7413,1863,7416,1864,7421,1863,7424,1857,7423,1852,7420,1850,7033,1628,7030,1626xe" filled="true" fillcolor="#000000" stroked="false">
              <v:path arrowok="t"/>
              <v:fill type="solid"/>
            </v:shape>
            <v:shape style="position:absolute;left:7409;top:1596;width:403;height:268" type="#_x0000_t75" stroked="false">
              <v:imagedata r:id="rId105" o:title=""/>
            </v:shape>
            <v:line style="position:absolute" from="7805,1183" to="7805,1642" stroked="true" strokeweight=".7037pt" strokecolor="#000000">
              <v:stroke dashstyle="solid"/>
            </v:line>
            <v:shape style="position:absolute;left:7409;top:959;width:403;height:269" type="#_x0000_t75" stroked="false">
              <v:imagedata r:id="rId106" o:title=""/>
            </v:shape>
            <v:shape style="position:absolute;left:7022;top:959;width:1177;height:239" coordorigin="7022,959" coordsize="1177,239" path="m7424,967l7421,960,7416,959,7413,961,7026,1184,7023,1186,7022,1190,7023,1193,7025,1197,7030,1198,7033,1196,7420,973,7423,971,7424,967xm8199,967l8197,964,8195,960,8190,959,8187,961,7800,1184,7797,1186,7796,1190,7799,1197,7804,1198,7807,1196,8194,973,8197,971,8199,967xe" filled="true" fillcolor="#000000" stroked="false">
              <v:path arrowok="t"/>
              <v:fill type="solid"/>
            </v:shape>
            <v:shape style="position:absolute;left:8183;top:913;width:403;height:284" type="#_x0000_t75" stroked="false">
              <v:imagedata r:id="rId107" o:title=""/>
            </v:shape>
            <v:shape style="position:absolute;left:8569;top:959;width:789;height:238" coordorigin="8569,959" coordsize="789,238" path="m9358,1189l9357,1185,9353,1183,8968,961,8967,961,8967,960,8965,960,8964,959,8964,959,8963,959,8962,960,8960,960,8959,962,8573,1183,8570,1185,8569,1190,8573,1196,8577,1197,8580,1196,8964,975,9346,1195,9350,1197,9354,1196,9358,1189xe" filled="true" fillcolor="#000000" stroked="false">
              <v:path arrowok="t"/>
              <v:fill type="solid"/>
            </v:shape>
            <v:shape style="position:absolute;left:8913;top:468;width:103;height:522" type="#_x0000_t75" stroked="false">
              <v:imagedata r:id="rId108" o:title=""/>
            </v:shape>
            <v:shape style="position:absolute;left:9350;top:1182;width:54;height:459" coordorigin="9350,1182" coordsize="54,459" path="m9350,1182l9350,1641m9404,1213l9404,1610e" filled="false" stroked="true" strokeweight=".7037pt" strokecolor="#000000">
              <v:path arrowok="t"/>
              <v:stroke dashstyle="solid"/>
            </v:shape>
            <v:shape style="position:absolute;left:9341;top:1626;width:403;height:239" coordorigin="9341,1626" coordsize="403,239" path="m9349,1626l9345,1627,9341,1634,9342,1638,9345,1640,9732,1863,9736,1865,9740,1864,9742,1860,9744,1857,9743,1853,9739,1851,9349,1626xe" filled="true" fillcolor="#000000" stroked="false">
              <v:path arrowok="t"/>
              <v:fill type="solid"/>
            </v:shape>
            <v:shape style="position:absolute;left:9728;top:1595;width:403;height:270" type="#_x0000_t75" stroked="false">
              <v:imagedata r:id="rId109" o:title=""/>
            </v:shape>
            <v:line style="position:absolute" from="10124,1182" to="10124,1641" stroked="true" strokeweight=".7037pt" strokecolor="#000000">
              <v:stroke dashstyle="solid"/>
            </v:line>
            <v:shape style="position:absolute;left:9728;top:958;width:403;height:270" type="#_x0000_t75" stroked="false">
              <v:imagedata r:id="rId110" o:title=""/>
            </v:shape>
            <v:shape style="position:absolute;left:9341;top:958;width:403;height:238" coordorigin="9341,958" coordsize="403,238" path="m9736,958l9345,1182,9342,1184,9341,1188,9345,1195,9349,1196,9352,1194,9739,972,9743,970,9744,965,9740,959,9736,95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2343150</wp:posOffset>
            </wp:positionH>
            <wp:positionV relativeFrom="paragraph">
              <wp:posOffset>1333280</wp:posOffset>
            </wp:positionV>
            <wp:extent cx="665577" cy="97154"/>
            <wp:effectExtent l="0" t="0" r="0" b="0"/>
            <wp:wrapTopAndBottom/>
            <wp:docPr id="1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57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3265804</wp:posOffset>
            </wp:positionH>
            <wp:positionV relativeFrom="paragraph">
              <wp:posOffset>1331405</wp:posOffset>
            </wp:positionV>
            <wp:extent cx="675944" cy="98012"/>
            <wp:effectExtent l="0" t="0" r="0" b="0"/>
            <wp:wrapTopAndBottom/>
            <wp:docPr id="1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4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5280659</wp:posOffset>
            </wp:positionH>
            <wp:positionV relativeFrom="paragraph">
              <wp:posOffset>1331343</wp:posOffset>
            </wp:positionV>
            <wp:extent cx="441332" cy="76104"/>
            <wp:effectExtent l="0" t="0" r="0" b="0"/>
            <wp:wrapTopAndBottom/>
            <wp:docPr id="1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2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32" cy="7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1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222"/>
        <w:ind w:right="691"/>
        <w:jc w:val="center"/>
      </w:pPr>
      <w:r>
        <w:rPr/>
        <w:t>Figure</w:t>
      </w:r>
      <w:r>
        <w:rPr>
          <w:spacing w:val="-2"/>
        </w:rPr>
        <w:t> </w:t>
      </w:r>
      <w:r>
        <w:rPr/>
        <w:t>2.6: Claisen-Schmidt</w:t>
      </w:r>
      <w:r>
        <w:rPr>
          <w:spacing w:val="-1"/>
        </w:rPr>
        <w:t> </w:t>
      </w:r>
      <w:r>
        <w:rPr/>
        <w:t>condensation.</w:t>
      </w:r>
    </w:p>
    <w:p>
      <w:pPr>
        <w:spacing w:after="0"/>
        <w:jc w:val="center"/>
        <w:sectPr>
          <w:headerReference w:type="default" r:id="rId99"/>
          <w:footerReference w:type="default" r:id="rId100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498"/>
        <w:rPr>
          <w:sz w:val="20"/>
        </w:rPr>
      </w:pPr>
      <w:r>
        <w:rPr>
          <w:sz w:val="20"/>
        </w:rPr>
        <w:drawing>
          <wp:inline distT="0" distB="0" distL="0" distR="0">
            <wp:extent cx="5017754" cy="2577179"/>
            <wp:effectExtent l="0" t="0" r="0" b="0"/>
            <wp:docPr id="17" name="image23.jpeg" descr="C:\Users\ACER USER\Pictures\Screenshots\Screenshot (113)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7754" cy="257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26"/>
        <w:ind w:left="1013" w:right="0" w:firstLine="0"/>
        <w:jc w:val="left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2.7: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Based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catalyzed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reaction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mechanism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chalcone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formation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20"/>
        </w:rPr>
      </w:pPr>
    </w:p>
    <w:p>
      <w:pPr>
        <w:pStyle w:val="Heading1"/>
        <w:numPr>
          <w:ilvl w:val="2"/>
          <w:numId w:val="11"/>
        </w:numPr>
        <w:tabs>
          <w:tab w:pos="856" w:val="left" w:leader="none"/>
        </w:tabs>
        <w:spacing w:line="240" w:lineRule="auto" w:before="0" w:after="0"/>
        <w:ind w:left="855" w:right="0" w:hanging="544"/>
        <w:jc w:val="both"/>
      </w:pPr>
      <w:bookmarkStart w:name="_TOC_250067" w:id="26"/>
      <w:r>
        <w:rPr/>
        <w:t>Chalcones</w:t>
      </w:r>
      <w:r>
        <w:rPr>
          <w:spacing w:val="-4"/>
        </w:rPr>
        <w:t> </w:t>
      </w:r>
      <w:r>
        <w:rPr/>
        <w:t>as</w:t>
      </w:r>
      <w:r>
        <w:rPr>
          <w:spacing w:val="-3"/>
        </w:rPr>
        <w:t> </w:t>
      </w:r>
      <w:r>
        <w:rPr/>
        <w:t>protease</w:t>
      </w:r>
      <w:r>
        <w:rPr>
          <w:spacing w:val="-2"/>
        </w:rPr>
        <w:t> </w:t>
      </w:r>
      <w:bookmarkEnd w:id="26"/>
      <w:r>
        <w:rPr/>
        <w:t>inhibitors</w:t>
      </w:r>
    </w:p>
    <w:p>
      <w:pPr>
        <w:pStyle w:val="BodyText"/>
        <w:spacing w:line="480" w:lineRule="auto" w:before="194"/>
        <w:ind w:left="312" w:right="685"/>
        <w:jc w:val="both"/>
      </w:pPr>
      <w:r>
        <w:rPr/>
        <w:t>Based on the X-ray structures of papain and actinidin, a model structure offalcipain was</w:t>
      </w:r>
      <w:r>
        <w:rPr>
          <w:spacing w:val="1"/>
        </w:rPr>
        <w:t> </w:t>
      </w:r>
      <w:r>
        <w:rPr/>
        <w:t>designed and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 a receptor for</w:t>
      </w:r>
      <w:r>
        <w:rPr>
          <w:spacing w:val="1"/>
        </w:rPr>
        <w:t> </w:t>
      </w:r>
      <w:r>
        <w:rPr/>
        <w:t>ligand</w:t>
      </w:r>
      <w:r>
        <w:rPr>
          <w:spacing w:val="1"/>
        </w:rPr>
        <w:t> </w:t>
      </w:r>
      <w:r>
        <w:rPr/>
        <w:t>docking to</w:t>
      </w:r>
      <w:r>
        <w:rPr>
          <w:spacing w:val="1"/>
        </w:rPr>
        <w:t> </w:t>
      </w:r>
      <w:r>
        <w:rPr/>
        <w:t>search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55,000</w:t>
      </w:r>
      <w:r>
        <w:rPr>
          <w:spacing w:val="1"/>
        </w:rPr>
        <w:t> </w:t>
      </w:r>
      <w:r>
        <w:rPr/>
        <w:t>commercially available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molecules. Thirty-onecompounds were chosen for testing</w:t>
      </w:r>
      <w:r>
        <w:rPr>
          <w:spacing w:val="1"/>
        </w:rPr>
        <w:t> </w:t>
      </w:r>
      <w:r>
        <w:rPr/>
        <w:t>against FP-2 (Ring </w:t>
      </w:r>
      <w:r>
        <w:rPr>
          <w:i/>
        </w:rPr>
        <w:t>et al., </w:t>
      </w:r>
      <w:r>
        <w:rPr/>
        <w:t>1993; Li </w:t>
      </w:r>
      <w:r>
        <w:rPr>
          <w:i/>
        </w:rPr>
        <w:t>et al., </w:t>
      </w:r>
      <w:r>
        <w:rPr/>
        <w:t>1994). The most active compound, oxalic bis [(2-</w:t>
      </w:r>
      <w:r>
        <w:rPr>
          <w:spacing w:val="-57"/>
        </w:rPr>
        <w:t> </w:t>
      </w:r>
      <w:r>
        <w:rPr/>
        <w:t>hydroxy- 1- naphthylmethylene) hydrazide] (Figure 2.8) inhibited FP-2 of</w:t>
      </w:r>
      <w:r>
        <w:rPr>
          <w:i/>
        </w:rPr>
        <w:t>P. falciparum</w:t>
      </w:r>
      <w:r>
        <w:rPr>
          <w:i/>
          <w:spacing w:val="1"/>
        </w:rPr>
        <w:t> </w:t>
      </w:r>
      <w:r>
        <w:rPr/>
        <w:t>with an IC</w:t>
      </w:r>
      <w:r>
        <w:rPr>
          <w:vertAlign w:val="subscript"/>
        </w:rPr>
        <w:t>50</w:t>
      </w:r>
      <w:r>
        <w:rPr>
          <w:vertAlign w:val="baseline"/>
        </w:rPr>
        <w:t> value of 6 μM. The DOCK v3.0 generated enzyme inhibitor complex showed</w:t>
      </w:r>
      <w:r>
        <w:rPr>
          <w:spacing w:val="1"/>
          <w:vertAlign w:val="baseline"/>
        </w:rPr>
        <w:t> </w:t>
      </w:r>
      <w:r>
        <w:rPr>
          <w:vertAlign w:val="baseline"/>
        </w:rPr>
        <w:t>that one naphthol group fills the hydrophobic S2 site and that the other naphthol group</w:t>
      </w:r>
      <w:r>
        <w:rPr>
          <w:spacing w:val="1"/>
          <w:vertAlign w:val="baseline"/>
        </w:rPr>
        <w:t> </w:t>
      </w:r>
      <w:r>
        <w:rPr>
          <w:vertAlign w:val="baseline"/>
        </w:rPr>
        <w:t>shows a π-stacking interaction with Trp177 of the S1´ site. In addition, each hydroxyl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</w:t>
      </w:r>
      <w:r>
        <w:rPr>
          <w:spacing w:val="-10"/>
          <w:vertAlign w:val="baseline"/>
        </w:rPr>
        <w:t> </w:t>
      </w:r>
      <w:r>
        <w:rPr>
          <w:vertAlign w:val="baseline"/>
        </w:rPr>
        <w:t>on</w:t>
      </w:r>
      <w:r>
        <w:rPr>
          <w:spacing w:val="-3"/>
          <w:vertAlign w:val="baseline"/>
        </w:rPr>
        <w:t> </w:t>
      </w:r>
      <w:r>
        <w:rPr>
          <w:vertAlign w:val="baseline"/>
        </w:rPr>
        <w:t>the naphthol</w:t>
      </w:r>
      <w:r>
        <w:rPr>
          <w:spacing w:val="-8"/>
          <w:vertAlign w:val="baseline"/>
        </w:rPr>
        <w:t> </w:t>
      </w:r>
      <w:r>
        <w:rPr>
          <w:vertAlign w:val="baseline"/>
        </w:rPr>
        <w:t>rings</w:t>
      </w:r>
      <w:r>
        <w:rPr>
          <w:spacing w:val="-1"/>
          <w:vertAlign w:val="baseline"/>
        </w:rPr>
        <w:t> </w:t>
      </w:r>
      <w:r>
        <w:rPr>
          <w:vertAlign w:val="baseline"/>
        </w:rPr>
        <w:t>appears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6"/>
          <w:vertAlign w:val="baseline"/>
        </w:rPr>
        <w:t> </w:t>
      </w:r>
      <w:r>
        <w:rPr>
          <w:vertAlign w:val="baseline"/>
        </w:rPr>
        <w:t>hydrogen-bond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5"/>
          <w:vertAlign w:val="baseline"/>
        </w:rPr>
        <w:t> </w:t>
      </w:r>
      <w:r>
        <w:rPr>
          <w:vertAlign w:val="baseline"/>
        </w:rPr>
        <w:t>Ser160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S2 and</w:t>
      </w:r>
      <w:r>
        <w:rPr>
          <w:spacing w:val="1"/>
          <w:vertAlign w:val="baseline"/>
        </w:rPr>
        <w:t> </w:t>
      </w:r>
      <w:r>
        <w:rPr>
          <w:vertAlign w:val="baseline"/>
        </w:rPr>
        <w:t>Gln19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S1'.</w:t>
      </w:r>
    </w:p>
    <w:p>
      <w:pPr>
        <w:spacing w:after="0" w:line="480" w:lineRule="auto"/>
        <w:jc w:val="both"/>
        <w:sectPr>
          <w:headerReference w:type="default" r:id="rId114"/>
          <w:footerReference w:type="default" r:id="rId115"/>
          <w:pgSz w:w="11910" w:h="16840"/>
          <w:pgMar w:header="0" w:footer="878" w:top="1440" w:bottom="1060" w:left="1560" w:right="600"/>
        </w:sectPr>
      </w:pPr>
    </w:p>
    <w:p>
      <w:pPr>
        <w:pStyle w:val="BodyText"/>
        <w:spacing w:before="6"/>
        <w:rPr>
          <w:sz w:val="3"/>
        </w:rPr>
      </w:pPr>
    </w:p>
    <w:p>
      <w:pPr>
        <w:pStyle w:val="BodyText"/>
        <w:ind w:left="1190"/>
        <w:rPr>
          <w:sz w:val="20"/>
        </w:rPr>
      </w:pPr>
      <w:r>
        <w:rPr>
          <w:sz w:val="20"/>
        </w:rPr>
        <w:drawing>
          <wp:inline distT="0" distB="0" distL="0" distR="0">
            <wp:extent cx="3988591" cy="1420368"/>
            <wp:effectExtent l="0" t="0" r="0" b="0"/>
            <wp:docPr id="1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591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Heading1"/>
        <w:spacing w:before="90"/>
        <w:jc w:val="both"/>
      </w:pPr>
      <w:r>
        <w:rPr/>
        <w:t>Figure</w:t>
      </w:r>
      <w:r>
        <w:rPr>
          <w:spacing w:val="-4"/>
        </w:rPr>
        <w:t> </w:t>
      </w:r>
      <w:r>
        <w:rPr/>
        <w:t>2.8:</w:t>
      </w:r>
      <w:r>
        <w:rPr>
          <w:spacing w:val="-2"/>
        </w:rPr>
        <w:t> </w:t>
      </w:r>
      <w:r>
        <w:rPr/>
        <w:t>oxalic</w:t>
      </w:r>
      <w:r>
        <w:rPr>
          <w:spacing w:val="-3"/>
        </w:rPr>
        <w:t> </w:t>
      </w:r>
      <w:r>
        <w:rPr/>
        <w:t>bis</w:t>
      </w:r>
      <w:r>
        <w:rPr>
          <w:spacing w:val="-4"/>
        </w:rPr>
        <w:t> </w:t>
      </w:r>
      <w:r>
        <w:rPr/>
        <w:t>[(2-hydroxy-</w:t>
      </w:r>
      <w:r>
        <w:rPr>
          <w:spacing w:val="-2"/>
        </w:rPr>
        <w:t> </w:t>
      </w:r>
      <w:r>
        <w:rPr/>
        <w:t>1-naphthylmethylene)</w:t>
      </w:r>
      <w:r>
        <w:rPr>
          <w:spacing w:val="-2"/>
        </w:rPr>
        <w:t> </w:t>
      </w:r>
      <w:r>
        <w:rPr/>
        <w:t>hydrazide]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38"/>
        </w:rPr>
      </w:pPr>
    </w:p>
    <w:p>
      <w:pPr>
        <w:pStyle w:val="BodyText"/>
        <w:spacing w:line="480" w:lineRule="auto"/>
        <w:ind w:left="312" w:right="686"/>
        <w:jc w:val="both"/>
      </w:pPr>
      <w:r>
        <w:rPr/>
        <w:t>Li </w:t>
      </w:r>
      <w:r>
        <w:rPr>
          <w:i/>
        </w:rPr>
        <w:t>et al.</w:t>
      </w:r>
      <w:r>
        <w:rPr/>
        <w:t>(1995; 1996)</w:t>
      </w:r>
      <w:r>
        <w:rPr>
          <w:spacing w:val="1"/>
        </w:rPr>
        <w:t> </w:t>
      </w:r>
      <w:r>
        <w:rPr/>
        <w:t>exploited the previous</w:t>
      </w:r>
      <w:r>
        <w:rPr>
          <w:spacing w:val="1"/>
        </w:rPr>
        <w:t> </w:t>
      </w:r>
      <w:r>
        <w:rPr/>
        <w:t>findings to design new</w:t>
      </w:r>
      <w:r>
        <w:rPr>
          <w:spacing w:val="1"/>
        </w:rPr>
        <w:t> </w:t>
      </w:r>
      <w:r>
        <w:rPr/>
        <w:t>improved</w:t>
      </w:r>
      <w:r>
        <w:rPr>
          <w:spacing w:val="60"/>
        </w:rPr>
        <w:t> </w:t>
      </w:r>
      <w:r>
        <w:rPr/>
        <w:t>ligands</w:t>
      </w:r>
      <w:r>
        <w:rPr>
          <w:spacing w:val="1"/>
        </w:rPr>
        <w:t> </w:t>
      </w:r>
      <w:r>
        <w:rPr/>
        <w:t>based on the predicted configuration of the lead compound docked to the 3D-homology</w:t>
      </w:r>
      <w:r>
        <w:rPr>
          <w:spacing w:val="1"/>
        </w:rPr>
        <w:t> </w:t>
      </w:r>
      <w:r>
        <w:rPr/>
        <w:t>model structure of the protease. Despite the lack of a detailed experimental structure of the</w:t>
      </w:r>
      <w:r>
        <w:rPr>
          <w:spacing w:val="-57"/>
        </w:rPr>
        <w:t> </w:t>
      </w:r>
      <w:r>
        <w:rPr/>
        <w:t>target enzyme or the enzyme-inhibitor complex, new compounds with increased potency</w:t>
      </w:r>
      <w:r>
        <w:rPr>
          <w:spacing w:val="1"/>
        </w:rPr>
        <w:t> </w:t>
      </w:r>
      <w:r>
        <w:rPr/>
        <w:t>having an IC</w:t>
      </w:r>
      <w:r>
        <w:rPr>
          <w:vertAlign w:val="subscript"/>
        </w:rPr>
        <w:t>50</w:t>
      </w:r>
      <w:r>
        <w:rPr>
          <w:vertAlign w:val="baseline"/>
        </w:rPr>
        <w:t> values in the nano-molar range emerged (Li </w:t>
      </w:r>
      <w:r>
        <w:rPr>
          <w:i/>
          <w:vertAlign w:val="baseline"/>
        </w:rPr>
        <w:t>et al.,</w:t>
      </w:r>
      <w:r>
        <w:rPr>
          <w:vertAlign w:val="baseline"/>
        </w:rPr>
        <w:t>1995, 1996). The length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backbone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shortened</w:t>
      </w:r>
      <w:r>
        <w:rPr>
          <w:spacing w:val="1"/>
          <w:vertAlign w:val="baseline"/>
        </w:rPr>
        <w:t> </w:t>
      </w:r>
      <w:r>
        <w:rPr>
          <w:vertAlign w:val="baseline"/>
        </w:rPr>
        <w:t>leading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asymmetric</w:t>
      </w:r>
      <w:r>
        <w:rPr>
          <w:spacing w:val="1"/>
          <w:vertAlign w:val="baseline"/>
        </w:rPr>
        <w:t> </w:t>
      </w:r>
      <w:r>
        <w:rPr>
          <w:vertAlign w:val="baseline"/>
        </w:rPr>
        <w:t>acyl</w:t>
      </w:r>
      <w:r>
        <w:rPr>
          <w:spacing w:val="1"/>
          <w:vertAlign w:val="baseline"/>
        </w:rPr>
        <w:t> </w:t>
      </w:r>
      <w:r>
        <w:rPr>
          <w:vertAlign w:val="baseline"/>
        </w:rPr>
        <w:t>hydrazones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lessconformational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heterogeneity than the</w:t>
      </w:r>
      <w:r>
        <w:rPr>
          <w:spacing w:val="1"/>
          <w:vertAlign w:val="baseline"/>
        </w:rPr>
        <w:t> </w:t>
      </w:r>
      <w:r>
        <w:rPr>
          <w:vertAlign w:val="baseline"/>
        </w:rPr>
        <w:t>symmetric</w:t>
      </w:r>
      <w:r>
        <w:rPr>
          <w:spacing w:val="1"/>
          <w:vertAlign w:val="baseline"/>
        </w:rPr>
        <w:t> </w:t>
      </w:r>
      <w:r>
        <w:rPr>
          <w:vertAlign w:val="baseline"/>
        </w:rPr>
        <w:t>ones.</w:t>
      </w:r>
      <w:r>
        <w:rPr>
          <w:spacing w:val="1"/>
          <w:vertAlign w:val="baseline"/>
        </w:rPr>
        <w:t> </w:t>
      </w:r>
      <w:r>
        <w:rPr>
          <w:vertAlign w:val="baseline"/>
        </w:rPr>
        <w:t>Additionally,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60"/>
          <w:vertAlign w:val="baseline"/>
        </w:rPr>
        <w:t> </w:t>
      </w:r>
      <w:r>
        <w:rPr>
          <w:vertAlign w:val="baseline"/>
        </w:rPr>
        <w:t>aromatic</w:t>
      </w:r>
      <w:r>
        <w:rPr>
          <w:spacing w:val="1"/>
          <w:vertAlign w:val="baseline"/>
        </w:rPr>
        <w:t> </w:t>
      </w:r>
      <w:r>
        <w:rPr>
          <w:vertAlign w:val="baseline"/>
        </w:rPr>
        <w:t>rings were replaced by nitrogen containing hetero-aromatics in order to improve water</w:t>
      </w:r>
      <w:r>
        <w:rPr>
          <w:spacing w:val="1"/>
          <w:vertAlign w:val="baseline"/>
        </w:rPr>
        <w:t> </w:t>
      </w:r>
      <w:r>
        <w:rPr>
          <w:vertAlign w:val="baseline"/>
        </w:rPr>
        <w:t>solubility and to enhance electrostatic interactions with His67 of the S2 site. To increase</w:t>
      </w:r>
      <w:r>
        <w:rPr>
          <w:spacing w:val="1"/>
          <w:vertAlign w:val="baseline"/>
        </w:rPr>
        <w:t> </w:t>
      </w:r>
      <w:r>
        <w:rPr>
          <w:vertAlign w:val="baseline"/>
        </w:rPr>
        <w:t>chemical and metabolic stability, the hydrazide linker was replaced by an α,ß-unsaturated</w:t>
      </w:r>
      <w:r>
        <w:rPr>
          <w:spacing w:val="1"/>
          <w:vertAlign w:val="baseline"/>
        </w:rPr>
        <w:t> </w:t>
      </w:r>
      <w:r>
        <w:rPr>
          <w:vertAlign w:val="baseline"/>
        </w:rPr>
        <w:t>ketone</w:t>
      </w:r>
      <w:r>
        <w:rPr>
          <w:spacing w:val="1"/>
          <w:vertAlign w:val="baseline"/>
        </w:rPr>
        <w:t> </w:t>
      </w:r>
      <w:r>
        <w:rPr>
          <w:vertAlign w:val="baseline"/>
        </w:rPr>
        <w:t>backbone,</w:t>
      </w:r>
      <w:r>
        <w:rPr>
          <w:spacing w:val="1"/>
          <w:vertAlign w:val="baseline"/>
        </w:rPr>
        <w:t> </w:t>
      </w:r>
      <w:r>
        <w:rPr>
          <w:vertAlign w:val="baseline"/>
        </w:rPr>
        <w:t>leading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chalcones.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Furthermore,</w:t>
      </w:r>
      <w:r>
        <w:rPr>
          <w:spacing w:val="1"/>
          <w:vertAlign w:val="baseline"/>
        </w:rPr>
        <w:t> </w:t>
      </w:r>
      <w:r>
        <w:rPr>
          <w:vertAlign w:val="baseline"/>
        </w:rPr>
        <w:t>naphthalene,</w:t>
      </w:r>
      <w:r>
        <w:rPr>
          <w:spacing w:val="1"/>
          <w:vertAlign w:val="baseline"/>
        </w:rPr>
        <w:t> </w:t>
      </w:r>
      <w:r>
        <w:rPr>
          <w:vertAlign w:val="baseline"/>
        </w:rPr>
        <w:t>quinoline,</w:t>
      </w:r>
      <w:r>
        <w:rPr>
          <w:spacing w:val="1"/>
          <w:vertAlign w:val="baseline"/>
        </w:rPr>
        <w:t> </w:t>
      </w:r>
      <w:r>
        <w:rPr>
          <w:vertAlign w:val="baseline"/>
        </w:rPr>
        <w:t>or</w:t>
      </w:r>
      <w:r>
        <w:rPr>
          <w:spacing w:val="1"/>
          <w:vertAlign w:val="baseline"/>
        </w:rPr>
        <w:t> </w:t>
      </w:r>
      <w:r>
        <w:rPr>
          <w:vertAlign w:val="baseline"/>
        </w:rPr>
        <w:t>isoquinoline rings were exchanged for substituted phenyl rings on the α,ß -unsaturated</w:t>
      </w:r>
      <w:r>
        <w:rPr>
          <w:spacing w:val="1"/>
          <w:vertAlign w:val="baseline"/>
        </w:rPr>
        <w:t> </w:t>
      </w:r>
      <w:r>
        <w:rPr>
          <w:vertAlign w:val="baseline"/>
        </w:rPr>
        <w:t>ketone backbone to explore the effective size and electronic character of the sub-site</w:t>
      </w:r>
      <w:r>
        <w:rPr>
          <w:spacing w:val="1"/>
          <w:vertAlign w:val="baseline"/>
        </w:rPr>
        <w:t> </w:t>
      </w:r>
      <w:r>
        <w:rPr>
          <w:vertAlign w:val="baseline"/>
        </w:rPr>
        <w:t>specificity</w:t>
      </w:r>
      <w:r>
        <w:rPr>
          <w:spacing w:val="-4"/>
          <w:vertAlign w:val="baseline"/>
        </w:rPr>
        <w:t> </w:t>
      </w:r>
      <w:r>
        <w:rPr>
          <w:vertAlign w:val="baseline"/>
        </w:rPr>
        <w:t>pocket</w:t>
      </w:r>
      <w:r>
        <w:rPr>
          <w:spacing w:val="2"/>
          <w:vertAlign w:val="baseline"/>
        </w:rPr>
        <w:t> </w:t>
      </w:r>
      <w:r>
        <w:rPr>
          <w:vertAlign w:val="baseline"/>
        </w:rPr>
        <w:t>(Li</w:t>
      </w:r>
      <w:r>
        <w:rPr>
          <w:spacing w:val="-4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2"/>
          <w:vertAlign w:val="baseline"/>
        </w:rPr>
        <w:t> </w:t>
      </w:r>
      <w:r>
        <w:rPr>
          <w:i/>
          <w:vertAlign w:val="baseline"/>
        </w:rPr>
        <w:t>al.,</w:t>
      </w:r>
      <w:r>
        <w:rPr>
          <w:vertAlign w:val="baseline"/>
        </w:rPr>
        <w:t>1995,</w:t>
      </w:r>
      <w:r>
        <w:rPr>
          <w:spacing w:val="-1"/>
          <w:vertAlign w:val="baseline"/>
        </w:rPr>
        <w:t> </w:t>
      </w:r>
      <w:r>
        <w:rPr>
          <w:vertAlign w:val="baseline"/>
        </w:rPr>
        <w:t>1996).</w:t>
      </w:r>
    </w:p>
    <w:p>
      <w:pPr>
        <w:pStyle w:val="BodyText"/>
        <w:spacing w:line="480" w:lineRule="auto" w:before="205"/>
        <w:ind w:left="312" w:right="691"/>
        <w:jc w:val="both"/>
      </w:pPr>
      <w:r>
        <w:rPr/>
        <w:t>On the basis of antimalarial evaluation, the authors concluded that dichloro or difluoro</w:t>
      </w:r>
      <w:r>
        <w:rPr>
          <w:spacing w:val="1"/>
        </w:rPr>
        <w:t> </w:t>
      </w:r>
      <w:r>
        <w:rPr/>
        <w:t>substitution on the</w:t>
      </w:r>
      <w:r>
        <w:rPr>
          <w:spacing w:val="1"/>
        </w:rPr>
        <w:t> </w:t>
      </w:r>
      <w:r>
        <w:rPr/>
        <w:t>A ring at</w:t>
      </w:r>
      <w:r>
        <w:rPr>
          <w:spacing w:val="1"/>
        </w:rPr>
        <w:t> </w:t>
      </w:r>
      <w:r>
        <w:rPr/>
        <w:t>the 2,3- or 2,4-positions favors the activity, with </w:t>
      </w:r>
      <w:r>
        <w:rPr>
          <w:i/>
        </w:rPr>
        <w:t>para-</w:t>
      </w:r>
      <w:r>
        <w:rPr>
          <w:i/>
          <w:spacing w:val="1"/>
        </w:rPr>
        <w:t> </w:t>
      </w:r>
      <w:r>
        <w:rPr/>
        <w:t>monochloro substitution also giving sub-micromolar activities. This range of potencies</w:t>
      </w:r>
      <w:r>
        <w:rPr>
          <w:spacing w:val="1"/>
        </w:rPr>
        <w:t> </w:t>
      </w:r>
      <w:r>
        <w:rPr/>
        <w:t>were</w:t>
      </w:r>
      <w:r>
        <w:rPr>
          <w:spacing w:val="4"/>
        </w:rPr>
        <w:t> </w:t>
      </w:r>
      <w:r>
        <w:rPr/>
        <w:t>also</w:t>
      </w:r>
      <w:r>
        <w:rPr>
          <w:spacing w:val="9"/>
        </w:rPr>
        <w:t> </w:t>
      </w:r>
      <w:r>
        <w:rPr/>
        <w:t>observed</w:t>
      </w:r>
      <w:r>
        <w:rPr>
          <w:spacing w:val="4"/>
        </w:rPr>
        <w:t> </w:t>
      </w:r>
      <w:r>
        <w:rPr/>
        <w:t>when</w:t>
      </w:r>
      <w:r>
        <w:rPr>
          <w:spacing w:val="5"/>
        </w:rPr>
        <w:t> </w:t>
      </w:r>
      <w:r>
        <w:rPr/>
        <w:t>A</w:t>
      </w:r>
      <w:r>
        <w:rPr>
          <w:spacing w:val="-1"/>
        </w:rPr>
        <w:t> </w:t>
      </w:r>
      <w:r>
        <w:rPr/>
        <w:t>ring</w:t>
      </w:r>
      <w:r>
        <w:rPr>
          <w:spacing w:val="5"/>
        </w:rPr>
        <w:t> </w:t>
      </w:r>
      <w:r>
        <w:rPr/>
        <w:t>was</w:t>
      </w:r>
      <w:r>
        <w:rPr>
          <w:spacing w:val="7"/>
        </w:rPr>
        <w:t> </w:t>
      </w:r>
      <w:r>
        <w:rPr/>
        <w:t>a</w:t>
      </w:r>
      <w:r>
        <w:rPr>
          <w:spacing w:val="4"/>
        </w:rPr>
        <w:t> </w:t>
      </w:r>
      <w:r>
        <w:rPr/>
        <w:t>quinolinyl</w:t>
      </w:r>
      <w:r>
        <w:rPr>
          <w:spacing w:val="5"/>
        </w:rPr>
        <w:t> </w:t>
      </w:r>
      <w:r>
        <w:rPr/>
        <w:t>group,</w:t>
      </w:r>
      <w:r>
        <w:rPr>
          <w:spacing w:val="8"/>
        </w:rPr>
        <w:t> </w:t>
      </w:r>
      <w:r>
        <w:rPr/>
        <w:t>either</w:t>
      </w:r>
      <w:r>
        <w:rPr>
          <w:spacing w:val="6"/>
        </w:rPr>
        <w:t> </w:t>
      </w:r>
      <w:r>
        <w:rPr/>
        <w:t>chloro-</w:t>
      </w:r>
      <w:r>
        <w:rPr>
          <w:spacing w:val="6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or</w:t>
      </w:r>
      <w:r>
        <w:rPr>
          <w:spacing w:val="6"/>
        </w:rPr>
        <w:t> </w:t>
      </w:r>
      <w:r>
        <w:rPr/>
        <w:t>non-</w:t>
      </w:r>
    </w:p>
    <w:p>
      <w:pPr>
        <w:spacing w:after="0" w:line="480" w:lineRule="auto"/>
        <w:jc w:val="both"/>
        <w:sectPr>
          <w:headerReference w:type="default" r:id="rId117"/>
          <w:footerReference w:type="default" r:id="rId118"/>
          <w:pgSz w:w="11910" w:h="16840"/>
          <w:pgMar w:header="0" w:footer="878" w:top="1580" w:bottom="1060" w:left="1560" w:right="600"/>
        </w:sectPr>
      </w:pPr>
    </w:p>
    <w:p>
      <w:pPr>
        <w:pStyle w:val="BodyText"/>
        <w:spacing w:line="480" w:lineRule="auto" w:before="70"/>
        <w:ind w:left="312" w:right="691"/>
        <w:jc w:val="both"/>
      </w:pPr>
      <w:r>
        <w:rPr/>
        <w:t>substituted.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quinolinyl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probably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capacity to protonate under weakly acidic conditions, thus enhancing their</w:t>
      </w:r>
      <w:r>
        <w:rPr>
          <w:spacing w:val="60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with the protease at His67. Furthermore, these nitrogen- containing heterocycles may be</w:t>
      </w:r>
      <w:r>
        <w:rPr>
          <w:spacing w:val="1"/>
        </w:rPr>
        <w:t> </w:t>
      </w:r>
      <w:r>
        <w:rPr/>
        <w:t>somewhat concentrated in the food vacuoles of malarial parasites at pH 5 since pKa values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quinoline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isoquinoline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normally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4.94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5.40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ºC,</w:t>
      </w:r>
      <w:r>
        <w:rPr>
          <w:spacing w:val="1"/>
        </w:rPr>
        <w:t> </w:t>
      </w:r>
      <w:r>
        <w:rPr/>
        <w:t>respectively</w:t>
      </w:r>
      <w:r>
        <w:rPr>
          <w:spacing w:val="-7"/>
        </w:rPr>
        <w:t> </w:t>
      </w:r>
      <w:r>
        <w:rPr/>
        <w:t>(Li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/>
        <w:t>1995).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480" w:lineRule="auto"/>
        <w:ind w:left="312" w:right="685"/>
        <w:jc w:val="both"/>
      </w:pP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α,</w:t>
      </w:r>
      <w:r>
        <w:rPr>
          <w:spacing w:val="1"/>
        </w:rPr>
        <w:t> </w:t>
      </w:r>
      <w:r>
        <w:rPr/>
        <w:t>β-</w:t>
      </w:r>
      <w:r>
        <w:rPr>
          <w:spacing w:val="1"/>
        </w:rPr>
        <w:t> </w:t>
      </w:r>
      <w:r>
        <w:rPr/>
        <w:t>unsaturated</w:t>
      </w:r>
      <w:r>
        <w:rPr>
          <w:spacing w:val="1"/>
        </w:rPr>
        <w:t> </w:t>
      </w:r>
      <w:r>
        <w:rPr/>
        <w:t>moiety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proven,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corresponding</w:t>
      </w:r>
      <w:r>
        <w:rPr>
          <w:spacing w:val="1"/>
        </w:rPr>
        <w:t> </w:t>
      </w:r>
      <w:r>
        <w:rPr/>
        <w:t>saturated derivatives</w:t>
      </w:r>
      <w:r>
        <w:rPr>
          <w:spacing w:val="1"/>
        </w:rPr>
        <w:t> </w:t>
      </w:r>
      <w:r>
        <w:rPr/>
        <w:t>showed a</w:t>
      </w:r>
      <w:r>
        <w:rPr>
          <w:spacing w:val="1"/>
        </w:rPr>
        <w:t> </w:t>
      </w:r>
      <w:r>
        <w:rPr/>
        <w:t>marked</w:t>
      </w:r>
      <w:r>
        <w:rPr>
          <w:spacing w:val="1"/>
        </w:rPr>
        <w:t> </w:t>
      </w:r>
      <w:r>
        <w:rPr/>
        <w:t>loss of activity or proved</w:t>
      </w:r>
      <w:r>
        <w:rPr>
          <w:spacing w:val="1"/>
        </w:rPr>
        <w:t> </w:t>
      </w:r>
      <w:r>
        <w:rPr/>
        <w:t>inactive. The</w:t>
      </w:r>
      <w:r>
        <w:rPr>
          <w:spacing w:val="1"/>
        </w:rPr>
        <w:t> </w:t>
      </w:r>
      <w:r>
        <w:rPr/>
        <w:t>α, β-</w:t>
      </w:r>
      <w:r>
        <w:rPr>
          <w:spacing w:val="1"/>
        </w:rPr>
        <w:t> </w:t>
      </w:r>
      <w:r>
        <w:rPr/>
        <w:t>unsaturated ketone linker also provided conjugation between aromatic groups on both ends</w:t>
      </w:r>
      <w:r>
        <w:rPr>
          <w:spacing w:val="-57"/>
        </w:rPr>
        <w:t> </w:t>
      </w:r>
      <w:r>
        <w:rPr/>
        <w:t>and kept the molecular conformation extended, leading to a better interaction with the</w:t>
      </w:r>
      <w:r>
        <w:rPr>
          <w:spacing w:val="1"/>
        </w:rPr>
        <w:t> </w:t>
      </w:r>
      <w:r>
        <w:rPr/>
        <w:t>active site. Additionally, since inhibition of falcipains most likely occurs in the acidic food</w:t>
      </w:r>
      <w:r>
        <w:rPr>
          <w:spacing w:val="-57"/>
        </w:rPr>
        <w:t> </w:t>
      </w:r>
      <w:r>
        <w:rPr/>
        <w:t>vacuole of the malaria parasite, the relative acid stability of α, β- unsaturated ketone linker</w:t>
      </w:r>
      <w:r>
        <w:rPr>
          <w:spacing w:val="1"/>
        </w:rPr>
        <w:t> </w:t>
      </w:r>
      <w:r>
        <w:rPr/>
        <w:t>of chalcones might offer an advantage over the more potentially labile hydrazide linker in</w:t>
      </w:r>
      <w:r>
        <w:rPr>
          <w:spacing w:val="1"/>
        </w:rPr>
        <w:t> </w:t>
      </w:r>
      <w:r>
        <w:rPr/>
        <w:t>the acyl hydrazide series. Such an effect could be responsible, at least in part, for the</w:t>
      </w:r>
      <w:r>
        <w:rPr>
          <w:spacing w:val="1"/>
        </w:rPr>
        <w:t> </w:t>
      </w:r>
      <w:r>
        <w:rPr/>
        <w:t>observed higher potency of chalcones relative to the corresponding acyl hydrazides (Li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1994). Regarding ring B, electron- donating substituents, such as di- or tri-substituted</w:t>
      </w:r>
      <w:r>
        <w:rPr>
          <w:spacing w:val="1"/>
        </w:rPr>
        <w:t> </w:t>
      </w:r>
      <w:r>
        <w:rPr/>
        <w:t>methoxy groups, showed an increase activity regardless of their position (Li </w:t>
      </w:r>
      <w:r>
        <w:rPr>
          <w:i/>
        </w:rPr>
        <w:t>et al.,</w:t>
      </w:r>
      <w:r>
        <w:rPr/>
        <w:t>1995;</w:t>
      </w:r>
      <w:r>
        <w:rPr>
          <w:spacing w:val="1"/>
        </w:rPr>
        <w:t> </w:t>
      </w:r>
      <w:r>
        <w:rPr/>
        <w:t>1996;</w:t>
      </w:r>
      <w:r>
        <w:rPr>
          <w:spacing w:val="-4"/>
        </w:rPr>
        <w:t> </w:t>
      </w:r>
      <w:r>
        <w:rPr/>
        <w:t>Liu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/>
        <w:t>2001).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0" w:lineRule="auto"/>
        <w:ind w:left="312" w:right="689"/>
        <w:jc w:val="both"/>
      </w:pPr>
      <w:r>
        <w:rPr/>
        <w:t>While Li </w:t>
      </w:r>
      <w:r>
        <w:rPr>
          <w:i/>
        </w:rPr>
        <w:t>et al. </w:t>
      </w:r>
      <w:r>
        <w:rPr/>
        <w:t>(1995) was preparing to publish the</w:t>
      </w:r>
      <w:r>
        <w:rPr>
          <w:spacing w:val="1"/>
        </w:rPr>
        <w:t> </w:t>
      </w:r>
      <w:r>
        <w:rPr/>
        <w:t>finding of chalcones as protease</w:t>
      </w:r>
      <w:r>
        <w:rPr>
          <w:spacing w:val="1"/>
        </w:rPr>
        <w:t> </w:t>
      </w:r>
      <w:r>
        <w:rPr/>
        <w:t>inhibitor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agent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structure-based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paper</w:t>
      </w:r>
      <w:r>
        <w:rPr>
          <w:spacing w:val="1"/>
        </w:rPr>
        <w:t> </w:t>
      </w:r>
      <w:r>
        <w:rPr/>
        <w:t>describing</w:t>
      </w:r>
      <w:r>
        <w:rPr>
          <w:spacing w:val="1"/>
        </w:rPr>
        <w:t> </w:t>
      </w:r>
      <w:r>
        <w:rPr/>
        <w:t>licochalcone A (Figure 2.9), isolated from Chinese licorice roots, inhibiting the </w:t>
      </w:r>
      <w:r>
        <w:rPr>
          <w:i/>
        </w:rPr>
        <w:t>in vitro</w:t>
      </w:r>
      <w:r>
        <w:rPr>
          <w:i/>
          <w:spacing w:val="1"/>
        </w:rPr>
        <w:t> </w:t>
      </w:r>
      <w:r>
        <w:rPr/>
        <w:t>growth of both chloroquine-sensitive and chloroquine-resistant </w:t>
      </w:r>
      <w:r>
        <w:rPr>
          <w:i/>
        </w:rPr>
        <w:t>P. falciparum </w:t>
      </w:r>
      <w:r>
        <w:rPr/>
        <w:t>strains at a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5.6</w:t>
      </w:r>
      <w:r>
        <w:rPr>
          <w:spacing w:val="1"/>
        </w:rPr>
        <w:t> </w:t>
      </w:r>
      <w:r>
        <w:rPr/>
        <w:t>μM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published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Chen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(1994).</w:t>
      </w:r>
      <w:r>
        <w:rPr>
          <w:spacing w:val="1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vitro</w:t>
      </w:r>
      <w:r>
        <w:rPr>
          <w:i/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Licochalcone</w:t>
      </w:r>
      <w:r>
        <w:rPr>
          <w:spacing w:val="1"/>
        </w:rPr>
        <w:t> </w:t>
      </w:r>
      <w:r>
        <w:rPr/>
        <w:t>A equally inhibited</w:t>
      </w:r>
      <w:r>
        <w:rPr>
          <w:spacing w:val="1"/>
        </w:rPr>
        <w:t> </w:t>
      </w:r>
      <w:r>
        <w:rPr/>
        <w:t>malaria parasites at</w:t>
      </w:r>
      <w:r>
        <w:rPr>
          <w:spacing w:val="1"/>
        </w:rPr>
        <w:t> </w:t>
      </w:r>
      <w:r>
        <w:rPr/>
        <w:t>allblood stages,</w:t>
      </w:r>
      <w:r>
        <w:rPr>
          <w:spacing w:val="1"/>
        </w:rPr>
        <w:t> </w:t>
      </w:r>
      <w:r>
        <w:rPr/>
        <w:t>suggesting that</w:t>
      </w:r>
      <w:r>
        <w:rPr>
          <w:spacing w:val="60"/>
        </w:rPr>
        <w:t> </w:t>
      </w:r>
      <w:r>
        <w:rPr/>
        <w:t>it</w:t>
      </w:r>
      <w:r>
        <w:rPr>
          <w:spacing w:val="1"/>
        </w:rPr>
        <w:t> </w:t>
      </w:r>
      <w:r>
        <w:rPr/>
        <w:t>acts</w:t>
      </w:r>
      <w:r>
        <w:rPr>
          <w:spacing w:val="5"/>
        </w:rPr>
        <w:t> </w:t>
      </w:r>
      <w:r>
        <w:rPr/>
        <w:t>onmetabolic</w:t>
      </w:r>
      <w:r>
        <w:rPr>
          <w:spacing w:val="7"/>
        </w:rPr>
        <w:t> </w:t>
      </w:r>
      <w:r>
        <w:rPr/>
        <w:t>events</w:t>
      </w:r>
      <w:r>
        <w:rPr>
          <w:spacing w:val="9"/>
        </w:rPr>
        <w:t> </w:t>
      </w:r>
      <w:r>
        <w:rPr/>
        <w:t>important</w:t>
      </w:r>
      <w:r>
        <w:rPr>
          <w:spacing w:val="11"/>
        </w:rPr>
        <w:t> </w:t>
      </w:r>
      <w:r>
        <w:rPr/>
        <w:t>for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parasite</w:t>
      </w:r>
      <w:r>
        <w:rPr>
          <w:spacing w:val="10"/>
        </w:rPr>
        <w:t> </w:t>
      </w:r>
      <w:r>
        <w:rPr/>
        <w:t>development</w:t>
      </w:r>
      <w:r>
        <w:rPr>
          <w:spacing w:val="11"/>
        </w:rPr>
        <w:t> </w:t>
      </w:r>
      <w:r>
        <w:rPr/>
        <w:t>throughouttheerythrocytic</w:t>
      </w:r>
    </w:p>
    <w:p>
      <w:pPr>
        <w:spacing w:after="0" w:line="480" w:lineRule="auto"/>
        <w:jc w:val="both"/>
        <w:sectPr>
          <w:headerReference w:type="default" r:id="rId120"/>
          <w:footerReference w:type="default" r:id="rId121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cycle. The </w:t>
      </w:r>
      <w:r>
        <w:rPr>
          <w:i/>
        </w:rPr>
        <w:t>in vivo </w:t>
      </w:r>
      <w:r>
        <w:rPr/>
        <w:t>activity of licochalcone A against malaria parasites was also tested in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yoelii </w:t>
      </w:r>
      <w:r>
        <w:rPr/>
        <w:t>model and the result was promising, however, a potential toxicity against human</w:t>
      </w:r>
      <w:r>
        <w:rPr>
          <w:spacing w:val="1"/>
        </w:rPr>
        <w:t> </w:t>
      </w:r>
      <w:r>
        <w:rPr/>
        <w:t>lymphocyte </w:t>
      </w:r>
      <w:r>
        <w:rPr>
          <w:i/>
        </w:rPr>
        <w:t>invitro </w:t>
      </w:r>
      <w:r>
        <w:rPr/>
        <w:t>was noted. Therefore, large number of related oxygenated chalcone</w:t>
      </w:r>
      <w:r>
        <w:rPr>
          <w:spacing w:val="1"/>
        </w:rPr>
        <w:t> </w:t>
      </w:r>
      <w:r>
        <w:rPr/>
        <w:t>analogues were synthesized by Chen </w:t>
      </w:r>
      <w:r>
        <w:rPr>
          <w:i/>
        </w:rPr>
        <w:t>et al.</w:t>
      </w:r>
      <w:r>
        <w:rPr/>
        <w:t>(1997) and screened to test their activity against</w:t>
      </w:r>
      <w:r>
        <w:rPr>
          <w:spacing w:val="1"/>
        </w:rPr>
        <w:t> </w:t>
      </w:r>
      <w:r>
        <w:rPr/>
        <w:t>human malaria parasites </w:t>
      </w:r>
      <w:r>
        <w:rPr>
          <w:i/>
        </w:rPr>
        <w:t>in vivo </w:t>
      </w:r>
      <w:r>
        <w:rPr/>
        <w:t>and for toxicity against human lymphocytes. The search</w:t>
      </w:r>
      <w:r>
        <w:rPr>
          <w:spacing w:val="1"/>
        </w:rPr>
        <w:t> </w:t>
      </w:r>
      <w:r>
        <w:rPr/>
        <w:t>led to the identification of 2,4- dimethoxy-4'-butoxychalcone (Figure 2.10), having potent</w:t>
      </w:r>
      <w:r>
        <w:rPr>
          <w:spacing w:val="1"/>
        </w:rPr>
        <w:t> </w:t>
      </w:r>
      <w:r>
        <w:rPr/>
        <w:t>antimalarial</w:t>
      </w:r>
      <w:r>
        <w:rPr>
          <w:spacing w:val="-10"/>
        </w:rPr>
        <w:t> </w:t>
      </w:r>
      <w:r>
        <w:rPr/>
        <w:t>activity</w:t>
      </w:r>
      <w:r>
        <w:rPr>
          <w:spacing w:val="-4"/>
        </w:rPr>
        <w:t> </w:t>
      </w:r>
      <w:r>
        <w:rPr>
          <w:i/>
        </w:rPr>
        <w:t>in</w:t>
      </w:r>
      <w:r>
        <w:rPr>
          <w:i/>
          <w:spacing w:val="-1"/>
        </w:rPr>
        <w:t> </w:t>
      </w:r>
      <w:r>
        <w:rPr>
          <w:i/>
        </w:rPr>
        <w:t>vitro</w:t>
      </w:r>
      <w:r>
        <w:rPr/>
        <w:t>,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>
          <w:i/>
        </w:rPr>
        <w:t>in</w:t>
      </w:r>
      <w:r>
        <w:rPr>
          <w:i/>
          <w:spacing w:val="-1"/>
        </w:rPr>
        <w:t> </w:t>
      </w:r>
      <w:r>
        <w:rPr>
          <w:i/>
        </w:rPr>
        <w:t>vivo</w:t>
      </w:r>
      <w:r>
        <w:rPr>
          <w:i/>
          <w:spacing w:val="-1"/>
        </w:rPr>
        <w:t> </w:t>
      </w:r>
      <w:r>
        <w:rPr/>
        <w:t>against</w:t>
      </w:r>
      <w:r>
        <w:rPr>
          <w:i/>
        </w:rPr>
        <w:t>P.</w:t>
      </w:r>
      <w:r>
        <w:rPr>
          <w:i/>
          <w:spacing w:val="-4"/>
        </w:rPr>
        <w:t> </w:t>
      </w:r>
      <w:r>
        <w:rPr>
          <w:i/>
        </w:rPr>
        <w:t>berghei</w:t>
      </w:r>
      <w:r>
        <w:rPr>
          <w:i/>
          <w:spacing w:val="-1"/>
        </w:rPr>
        <w:t> </w:t>
      </w:r>
      <w:r>
        <w:rPr/>
        <w:t>and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yoelii</w:t>
      </w:r>
      <w:r>
        <w:rPr>
          <w:i/>
          <w:spacing w:val="4"/>
        </w:rPr>
        <w:t> </w:t>
      </w:r>
      <w:r>
        <w:rPr/>
        <w:t>in</w:t>
      </w:r>
      <w:r>
        <w:rPr>
          <w:spacing w:val="-1"/>
        </w:rPr>
        <w:t> </w:t>
      </w:r>
      <w:r>
        <w:rPr/>
        <w:t>mice</w:t>
      </w:r>
      <w:r>
        <w:rPr>
          <w:spacing w:val="2"/>
        </w:rPr>
        <w:t> </w:t>
      </w:r>
      <w:r>
        <w:rPr/>
        <w:t>model.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2616835</wp:posOffset>
            </wp:positionH>
            <wp:positionV relativeFrom="paragraph">
              <wp:posOffset>147667</wp:posOffset>
            </wp:positionV>
            <wp:extent cx="2685417" cy="2181225"/>
            <wp:effectExtent l="0" t="0" r="0" b="0"/>
            <wp:wrapTopAndBottom/>
            <wp:docPr id="2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417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Heading1"/>
        <w:spacing w:before="0"/>
        <w:ind w:left="305" w:right="683"/>
        <w:jc w:val="center"/>
      </w:pPr>
      <w:r>
        <w:rPr/>
        <w:t>Figure</w:t>
      </w:r>
      <w:r>
        <w:rPr>
          <w:spacing w:val="-1"/>
        </w:rPr>
        <w:t> </w:t>
      </w:r>
      <w:r>
        <w:rPr/>
        <w:t>2.9: Licochalcone</w:t>
      </w:r>
      <w:r>
        <w:rPr>
          <w:spacing w:val="-1"/>
        </w:rPr>
        <w:t> </w:t>
      </w:r>
      <w:r>
        <w:rPr/>
        <w:t>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2064004</wp:posOffset>
            </wp:positionH>
            <wp:positionV relativeFrom="paragraph">
              <wp:posOffset>198834</wp:posOffset>
            </wp:positionV>
            <wp:extent cx="3800601" cy="1377314"/>
            <wp:effectExtent l="0" t="0" r="0" b="0"/>
            <wp:wrapTopAndBottom/>
            <wp:docPr id="2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601" cy="137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21"/>
        </w:rPr>
      </w:pPr>
    </w:p>
    <w:p>
      <w:pPr>
        <w:spacing w:before="1"/>
        <w:ind w:left="305" w:right="687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2.10: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2,4-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dimethoxy-4'-butoxychalcone</w:t>
      </w:r>
    </w:p>
    <w:p>
      <w:pPr>
        <w:spacing w:after="0"/>
        <w:jc w:val="center"/>
        <w:rPr>
          <w:sz w:val="24"/>
        </w:rPr>
        <w:sectPr>
          <w:headerReference w:type="default" r:id="rId122"/>
          <w:footerReference w:type="default" r:id="rId123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9"/>
        <w:jc w:val="both"/>
      </w:pPr>
      <w:r>
        <w:rPr/>
        <w:t>The success of Li </w:t>
      </w:r>
      <w:r>
        <w:rPr>
          <w:i/>
        </w:rPr>
        <w:t>et al.</w:t>
      </w:r>
      <w:r>
        <w:rPr/>
        <w:t>(1995; 1996), the findings of Chen </w:t>
      </w:r>
      <w:r>
        <w:rPr>
          <w:i/>
        </w:rPr>
        <w:t>et al.</w:t>
      </w:r>
      <w:r>
        <w:rPr/>
        <w:t>(1994; 1995) and the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arouse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researchers. Subsequently Liu </w:t>
      </w:r>
      <w:r>
        <w:rPr>
          <w:i/>
        </w:rPr>
        <w:t>et al.</w:t>
      </w:r>
      <w:r>
        <w:rPr/>
        <w:t>(2001) employing more than 200 analogues, analyzed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influence of substitution on rings</w:t>
      </w:r>
      <w:r>
        <w:rPr>
          <w:spacing w:val="1"/>
        </w:rPr>
        <w:t> </w:t>
      </w:r>
      <w:r>
        <w:rPr/>
        <w:t>A and</w:t>
      </w:r>
      <w:r>
        <w:rPr>
          <w:spacing w:val="60"/>
        </w:rPr>
        <w:t> </w:t>
      </w:r>
      <w:r>
        <w:rPr/>
        <w:t>B of hydroxy or alkoxy chalcone derivatives</w:t>
      </w:r>
      <w:r>
        <w:rPr>
          <w:spacing w:val="1"/>
        </w:rPr>
        <w:t> </w:t>
      </w:r>
      <w:r>
        <w:rPr/>
        <w:t>on their antimalarial activity. It was observed that the selection of substituents on ring 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mainly guided</w:t>
      </w:r>
      <w:r>
        <w:rPr>
          <w:spacing w:val="1"/>
        </w:rPr>
        <w:t> </w:t>
      </w:r>
      <w:r>
        <w:rPr/>
        <w:t>by lipophilicity and</w:t>
      </w:r>
      <w:r>
        <w:rPr>
          <w:spacing w:val="1"/>
        </w:rPr>
        <w:t> </w:t>
      </w:r>
      <w:r>
        <w:rPr/>
        <w:t>electronic considerations.</w:t>
      </w:r>
      <w:r>
        <w:rPr>
          <w:spacing w:val="1"/>
        </w:rPr>
        <w:t> </w:t>
      </w:r>
      <w:r>
        <w:rPr/>
        <w:t>Results</w:t>
      </w:r>
      <w:r>
        <w:rPr>
          <w:spacing w:val="60"/>
        </w:rPr>
        <w:t> </w:t>
      </w:r>
      <w:r>
        <w:rPr/>
        <w:t>showed that</w:t>
      </w:r>
      <w:r>
        <w:rPr>
          <w:spacing w:val="1"/>
        </w:rPr>
        <w:t> </w:t>
      </w:r>
      <w:r>
        <w:rPr/>
        <w:t>there is a good representation of active compounds from the trimethoxy, dimethoxy, and</w:t>
      </w:r>
      <w:r>
        <w:rPr>
          <w:spacing w:val="1"/>
        </w:rPr>
        <w:t> </w:t>
      </w:r>
      <w:r>
        <w:rPr/>
        <w:t>methoxy series, but interestingly, none from the ethoxy series. Once more, the most active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methoxy</w:t>
      </w:r>
      <w:r>
        <w:rPr>
          <w:spacing w:val="1"/>
        </w:rPr>
        <w:t> </w:t>
      </w:r>
      <w:r>
        <w:rPr/>
        <w:t>substituents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B,</w:t>
      </w:r>
      <w:r>
        <w:rPr>
          <w:spacing w:val="1"/>
        </w:rPr>
        <w:t> </w:t>
      </w:r>
      <w:r>
        <w:rPr/>
        <w:t>regardless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positioning.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of ring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determining the type of ring A substituents that would give optimum antimalarial activity.</w:t>
      </w:r>
      <w:r>
        <w:rPr>
          <w:spacing w:val="1"/>
        </w:rPr>
        <w:t> </w:t>
      </w:r>
      <w:r>
        <w:rPr/>
        <w:t>The authors further suggested that size considerations are dominated by ring B while ring</w:t>
      </w:r>
      <w:r>
        <w:rPr>
          <w:spacing w:val="1"/>
        </w:rPr>
        <w:t> </w:t>
      </w:r>
      <w:r>
        <w:rPr/>
        <w:t>A may be more important in influencing</w:t>
      </w:r>
      <w:r>
        <w:rPr>
          <w:spacing w:val="60"/>
        </w:rPr>
        <w:t> </w:t>
      </w:r>
      <w:r>
        <w:rPr/>
        <w:t>hydrophobicity, which in this instance may</w:t>
      </w:r>
      <w:r>
        <w:rPr>
          <w:spacing w:val="1"/>
        </w:rPr>
        <w:t> </w:t>
      </w:r>
      <w:r>
        <w:rPr/>
        <w:t>reflect the polar characteristics of the molecule. Later on, Liu </w:t>
      </w:r>
      <w:r>
        <w:rPr>
          <w:i/>
        </w:rPr>
        <w:t>et al</w:t>
      </w:r>
      <w:r>
        <w:rPr/>
        <w:t>. (2003) using QSAR</w:t>
      </w:r>
      <w:r>
        <w:rPr>
          <w:spacing w:val="1"/>
        </w:rPr>
        <w:t> </w:t>
      </w:r>
      <w:r>
        <w:rPr/>
        <w:t>methodology studied the physiochemical andstructural requirements for antileishmanial</w:t>
      </w:r>
      <w:r>
        <w:rPr>
          <w:spacing w:val="1"/>
        </w:rPr>
        <w:t> </w:t>
      </w:r>
      <w:r>
        <w:rPr/>
        <w:t>activity (</w:t>
      </w:r>
      <w:r>
        <w:rPr>
          <w:i/>
        </w:rPr>
        <w:t>Leishmania donovani</w:t>
      </w:r>
      <w:r>
        <w:rPr/>
        <w:t>)</w:t>
      </w:r>
      <w:r>
        <w:rPr>
          <w:spacing w:val="1"/>
        </w:rPr>
        <w:t> </w:t>
      </w:r>
      <w:r>
        <w:rPr/>
        <w:t>and antimalarial activity of the chalcones.</w:t>
      </w:r>
      <w:r>
        <w:rPr>
          <w:spacing w:val="1"/>
        </w:rPr>
        <w:t> </w:t>
      </w:r>
      <w:r>
        <w:rPr/>
        <w:t>It</w:t>
      </w:r>
      <w:r>
        <w:rPr>
          <w:spacing w:val="60"/>
        </w:rPr>
        <w:t> </w:t>
      </w:r>
      <w:r>
        <w:rPr/>
        <w:t>was found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good antimalarial effects were found among alkoxylated chalcones as mentioned</w:t>
      </w:r>
      <w:r>
        <w:rPr>
          <w:spacing w:val="1"/>
        </w:rPr>
        <w:t> </w:t>
      </w:r>
      <w:r>
        <w:rPr/>
        <w:t>above. In an elaborate study, Go </w:t>
      </w:r>
      <w:r>
        <w:rPr>
          <w:i/>
        </w:rPr>
        <w:t>et al. </w:t>
      </w:r>
      <w:r>
        <w:rPr/>
        <w:t>(2004) reported that </w:t>
      </w:r>
      <w:r>
        <w:rPr>
          <w:i/>
        </w:rPr>
        <w:t>in vitro </w:t>
      </w:r>
      <w:r>
        <w:rPr/>
        <w:t>antimalarial action of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chloroquine-resistant,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>
          <w:i/>
          <w:spacing w:val="1"/>
        </w:rPr>
        <w:t> </w:t>
      </w:r>
      <w:r>
        <w:rPr/>
        <w:t>(K1)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influenced by the properties of ring B. A few of the alkoxylated chalcones had a very low</w:t>
      </w:r>
      <w:r>
        <w:rPr>
          <w:spacing w:val="1"/>
        </w:rPr>
        <w:t> </w:t>
      </w:r>
      <w:r>
        <w:rPr/>
        <w:t>IC</w:t>
      </w:r>
      <w:r>
        <w:rPr>
          <w:vertAlign w:val="subscript"/>
        </w:rPr>
        <w:t>50</w:t>
      </w:r>
      <w:r>
        <w:rPr>
          <w:spacing w:val="3"/>
          <w:vertAlign w:val="baseline"/>
        </w:rPr>
        <w:t> </w:t>
      </w:r>
      <w:r>
        <w:rPr>
          <w:vertAlign w:val="baseline"/>
        </w:rPr>
        <w:t>values.</w:t>
      </w:r>
    </w:p>
    <w:p>
      <w:pPr>
        <w:pStyle w:val="BodyText"/>
        <w:spacing w:line="480" w:lineRule="auto" w:before="201"/>
        <w:ind w:left="312" w:right="686"/>
        <w:jc w:val="both"/>
      </w:pPr>
      <w:r>
        <w:rPr/>
        <w:t>However, Dominguez </w:t>
      </w:r>
      <w:r>
        <w:rPr>
          <w:i/>
        </w:rPr>
        <w:t>et al.,</w:t>
      </w:r>
      <w:r>
        <w:rPr/>
        <w:t>(2001) reported 1-(2,4-Dichlorophenyl)- 3-[3-(2- chloro-6,7-</w:t>
      </w:r>
      <w:r>
        <w:rPr>
          <w:spacing w:val="1"/>
        </w:rPr>
        <w:t> </w:t>
      </w:r>
      <w:r>
        <w:rPr/>
        <w:t>dimethoxiquinolinyl)]-2-propen-1-one</w:t>
      </w:r>
      <w:r>
        <w:rPr>
          <w:spacing w:val="1"/>
        </w:rPr>
        <w:t> </w:t>
      </w:r>
      <w:r>
        <w:rPr/>
        <w:t>(Figure</w:t>
      </w:r>
      <w:r>
        <w:rPr>
          <w:spacing w:val="1"/>
        </w:rPr>
        <w:t> </w:t>
      </w:r>
      <w:r>
        <w:rPr/>
        <w:t>2.10)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promising</w:t>
      </w:r>
      <w:r>
        <w:rPr>
          <w:spacing w:val="61"/>
        </w:rPr>
        <w:t> </w:t>
      </w:r>
      <w:r>
        <w:rPr/>
        <w:t>quinolinyl</w:t>
      </w:r>
      <w:r>
        <w:rPr>
          <w:spacing w:val="1"/>
        </w:rPr>
        <w:t> </w:t>
      </w:r>
      <w:r>
        <w:rPr/>
        <w:t>chalcone with reported IC</w:t>
      </w:r>
      <w:r>
        <w:rPr>
          <w:vertAlign w:val="subscript"/>
        </w:rPr>
        <w:t>50</w:t>
      </w:r>
      <w:r>
        <w:rPr>
          <w:vertAlign w:val="baseline"/>
        </w:rPr>
        <w:t> value of 19.0µmol/l against </w:t>
      </w:r>
      <w:r>
        <w:rPr>
          <w:i/>
          <w:vertAlign w:val="baseline"/>
        </w:rPr>
        <w:t>Plasmodium falciparum </w:t>
      </w:r>
      <w:r>
        <w:rPr>
          <w:vertAlign w:val="baseline"/>
        </w:rPr>
        <w:t>cysteine</w:t>
      </w:r>
      <w:r>
        <w:rPr>
          <w:spacing w:val="1"/>
          <w:vertAlign w:val="baseline"/>
        </w:rPr>
        <w:t> </w:t>
      </w:r>
      <w:r>
        <w:rPr>
          <w:vertAlign w:val="baseline"/>
        </w:rPr>
        <w:t>protease.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1"/>
          <w:vertAlign w:val="baseline"/>
        </w:rPr>
        <w:t> </w:t>
      </w:r>
      <w:r>
        <w:rPr>
          <w:vertAlign w:val="baseline"/>
        </w:rPr>
        <w:t>has electron</w:t>
      </w:r>
      <w:r>
        <w:rPr>
          <w:spacing w:val="-3"/>
          <w:vertAlign w:val="baseline"/>
        </w:rPr>
        <w:t> </w:t>
      </w:r>
      <w:r>
        <w:rPr>
          <w:vertAlign w:val="baseline"/>
        </w:rPr>
        <w:t>deficient</w:t>
      </w:r>
      <w:r>
        <w:rPr>
          <w:spacing w:val="6"/>
          <w:vertAlign w:val="baseline"/>
        </w:rPr>
        <w:t> </w:t>
      </w:r>
      <w:r>
        <w:rPr>
          <w:vertAlign w:val="baseline"/>
        </w:rPr>
        <w:t>ring</w:t>
      </w:r>
      <w:r>
        <w:rPr>
          <w:spacing w:val="2"/>
          <w:vertAlign w:val="baseline"/>
        </w:rPr>
        <w:t> </w:t>
      </w:r>
      <w:r>
        <w:rPr>
          <w:vertAlign w:val="baseline"/>
        </w:rPr>
        <w:t>B.</w:t>
      </w:r>
    </w:p>
    <w:p>
      <w:pPr>
        <w:spacing w:after="0" w:line="480" w:lineRule="auto"/>
        <w:jc w:val="both"/>
        <w:sectPr>
          <w:headerReference w:type="default" r:id="rId126"/>
          <w:footerReference w:type="default" r:id="rId127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1971"/>
        <w:rPr>
          <w:sz w:val="20"/>
        </w:rPr>
      </w:pPr>
      <w:r>
        <w:rPr>
          <w:sz w:val="20"/>
        </w:rPr>
        <w:pict>
          <v:group style="width:292.5pt;height:82.6pt;mso-position-horizontal-relative:char;mso-position-vertical-relative:line" coordorigin="0,0" coordsize="5850,1652">
            <v:shape style="position:absolute;left:1815;top:0;width:117;height:122" type="#_x0000_t75" stroked="false">
              <v:imagedata r:id="rId130" o:title=""/>
            </v:shape>
            <v:shape style="position:absolute;left:1869;top:494;width:897;height:327" coordorigin="1869,494" coordsize="897,327" path="m2736,503l2734,499,2731,495,2726,494,2312,737,2311,742,2313,746,2316,750,2321,751,2735,508,2736,503xm2766,555l2764,551,2761,547,2756,546,2753,548,2320,802,1878,556,1873,557,1869,565,1870,570,2314,818,2315,820,2320,821,2325,820,2326,817,2761,562,2765,560,2766,555xe" filled="true" fillcolor="#000000" stroked="false">
              <v:path arrowok="t"/>
              <v:fill type="solid"/>
            </v:shape>
            <v:shape style="position:absolute;left:1846;top:149;width:61;height:443" coordorigin="1846,149" coordsize="61,443" path="m1846,150l1846,592m1907,149l1907,591e" filled="false" stroked="true" strokeweight="1.1076pt" strokecolor="#000000">
              <v:path arrowok="t"/>
              <v:stroke dashstyle="solid"/>
            </v:shape>
            <v:shape style="position:absolute;left:3599;top:1493;width:96;height:117" coordorigin="3599,1493" coordsize="96,117" path="m3615,1493l3599,1493,3599,1610,3614,1610,3614,1518,3633,1518,3615,1493xm3633,1518l3614,1518,3678,1610,3695,1610,3695,1585,3679,1585,3633,1518xm3695,1493l3679,1493,3679,1585,3695,1585,3695,1493xe" filled="true" fillcolor="#000000" stroked="false">
              <v:path arrowok="t"/>
              <v:fill type="solid"/>
            </v:shape>
            <v:shape style="position:absolute;left:3196;top:1261;width:400;height:250" type="#_x0000_t75" stroked="false">
              <v:imagedata r:id="rId131" o:title=""/>
            </v:shape>
            <v:line style="position:absolute" from="3202,795" to="3202,1315" stroked="true" strokeweight="1.0907pt" strokecolor="#000000">
              <v:stroke dashstyle="solid"/>
            </v:line>
            <v:shape style="position:absolute;left:3190;top:537;width:456;height:310" type="#_x0000_t75" stroked="false">
              <v:imagedata r:id="rId132" o:title=""/>
            </v:shape>
            <v:shape style="position:absolute;left:3626;top:537;width:461;height:266" coordorigin="3626,537" coordsize="461,266" path="m3635,537l3630,539,3626,546,3627,551,4077,803,4082,801,4087,794,4085,789,3635,537xe" filled="true" fillcolor="#000000" stroked="false">
              <v:path arrowok="t"/>
              <v:fill type="solid"/>
            </v:shape>
            <v:shape style="position:absolute;left:4069;top:527;width:456;height:310" type="#_x0000_t75" stroked="false">
              <v:imagedata r:id="rId133" o:title=""/>
            </v:shape>
            <v:shape style="position:absolute;left:4505;top:527;width:460;height:265" coordorigin="4505,527" coordsize="460,265" path="m4514,527l4509,528,4505,536,4506,541,4956,792,4961,791,4965,783,4964,778,4514,527xe" filled="true" fillcolor="#000000" stroked="false">
              <v:path arrowok="t"/>
              <v:fill type="solid"/>
            </v:shape>
            <v:line style="position:absolute" from="4960,776" to="4960,1296" stroked="true" strokeweight="1.0907pt" strokecolor="#000000">
              <v:stroke dashstyle="solid"/>
            </v:line>
            <v:line style="position:absolute" from="4899,811" to="4899,1261" stroked="true" strokeweight="1.0569pt" strokecolor="#000000">
              <v:stroke dashstyle="solid"/>
            </v:line>
            <v:shape style="position:absolute;left:4516;top:1278;width:455;height:275" coordorigin="4516,1278" coordsize="455,275" path="m4961,1278l4957,1281,4517,1539,4516,1544,4520,1552,4525,1553,4966,1294,4969,1292,4971,1287,4966,1280,4961,1278xe" filled="true" fillcolor="#000000" stroked="false">
              <v:path arrowok="t"/>
              <v:fill type="solid"/>
            </v:shape>
            <v:shape style="position:absolute;left:4074;top:1252;width:461;height:300" type="#_x0000_t75" stroked="false">
              <v:imagedata r:id="rId134" o:title=""/>
            </v:shape>
            <v:shape style="position:absolute;left:3727;top:1287;width:366;height:223" type="#_x0000_t75" stroked="false">
              <v:imagedata r:id="rId135" o:title=""/>
            </v:shape>
            <v:line style="position:absolute" from="4081,785" to="4081,1305" stroked="true" strokeweight="1.0907pt" strokecolor="#000000">
              <v:stroke dashstyle="solid"/>
            </v:line>
            <v:shape style="position:absolute;left:5346;top:1473;width:117;height:122" type="#_x0000_t75" stroked="false">
              <v:imagedata r:id="rId136" o:title=""/>
            </v:shape>
            <v:shape style="position:absolute;left:5477;top:1268;width:373;height:227" type="#_x0000_t75" stroked="false">
              <v:imagedata r:id="rId137" o:title=""/>
            </v:shape>
            <v:shape style="position:absolute;left:4953;top:1278;width:379;height:220" type="#_x0000_t75" stroked="false">
              <v:imagedata r:id="rId138" o:title=""/>
            </v:shape>
            <v:shape style="position:absolute;left:5335;top:466;width:117;height:122" type="#_x0000_t75" stroked="false">
              <v:imagedata r:id="rId139" o:title=""/>
            </v:shape>
            <v:shape style="position:absolute;left:5470;top:566;width:375;height:218" type="#_x0000_t75" stroked="false">
              <v:imagedata r:id="rId140" o:title=""/>
            </v:shape>
            <v:shape style="position:absolute;left:4947;top:567;width:372;height:226" type="#_x0000_t75" stroked="false">
              <v:imagedata r:id="rId141" o:title=""/>
            </v:shape>
            <v:shape style="position:absolute;left:2636;top:1502;width:140;height:122" type="#_x0000_t75" stroked="false">
              <v:imagedata r:id="rId142" o:title=""/>
            </v:shape>
            <v:shape style="position:absolute;left:2815;top:1297;width:400;height:243" type="#_x0000_t75" stroked="false">
              <v:imagedata r:id="rId143" o:title=""/>
            </v:shape>
            <v:shape style="position:absolute;left:2748;top:546;width:461;height:265" coordorigin="2748,546" coordsize="461,265" path="m2758,546l2753,547,2748,555,2750,560,2754,562,3200,811,3205,810,3209,802,3208,797,2758,546xe" filled="true" fillcolor="#000000" stroked="false">
              <v:path arrowok="t"/>
              <v:fill type="solid"/>
            </v:shape>
            <v:shape style="position:absolute;left:1837;top:1511;width:140;height:122" type="#_x0000_t75" stroked="false">
              <v:imagedata r:id="rId144" o:title=""/>
            </v:shape>
            <v:shape style="position:absolute;left:0;top:1530;width:140;height:122" type="#_x0000_t75" stroked="false">
              <v:imagedata r:id="rId145" o:title=""/>
            </v:shape>
            <v:line style="position:absolute" from="1445,814" to="1445,1334" stroked="true" strokeweight="1.0907pt" strokecolor="#000000">
              <v:stroke dashstyle="solid"/>
            </v:line>
            <v:shape style="position:absolute;left:1001;top:1282;width:456;height:309" type="#_x0000_t75" stroked="false">
              <v:imagedata r:id="rId146" o:title=""/>
            </v:shape>
            <v:shape style="position:absolute;left:560;top:1326;width:461;height:266" coordorigin="560,1326" coordsize="461,266" path="m570,1326l565,1328,560,1335,562,1340,1011,1592,1016,1590,1021,1583,1019,1578,570,1326xe" filled="true" fillcolor="#000000" stroked="false">
              <v:path arrowok="t"/>
              <v:fill type="solid"/>
            </v:shape>
            <v:line style="position:absolute" from="567,824" to="567,1344" stroked="true" strokeweight="1.0925pt" strokecolor="#000000">
              <v:stroke dashstyle="solid"/>
            </v:line>
            <v:line style="position:absolute" from="628,858" to="628,1308" stroked="true" strokeweight="1.0545pt" strokecolor="#000000">
              <v:stroke dashstyle="solid"/>
            </v:line>
            <v:shape style="position:absolute;left:554;top:566;width:455;height:275" coordorigin="554,566" coordsize="455,275" path="m999,566l555,827,554,832,558,840,563,841,1007,580,1009,575,1004,567,999,566xe" filled="true" fillcolor="#000000" stroked="false">
              <v:path arrowok="t"/>
              <v:fill type="solid"/>
            </v:shape>
            <v:shape style="position:absolute;left:991;top:566;width:461;height:301" type="#_x0000_t75" stroked="false">
              <v:imagedata r:id="rId147" o:title=""/>
            </v:shape>
            <v:shape style="position:absolute;left:179;top:1326;width:400;height:243" type="#_x0000_t75" stroked="false">
              <v:imagedata r:id="rId148" o:title=""/>
            </v:shape>
            <v:shape style="position:absolute;left:1438;top:1316;width:382;height:222" type="#_x0000_t75" stroked="false">
              <v:imagedata r:id="rId149" o:title=""/>
            </v:shape>
            <v:shape style="position:absolute;left:1433;top:556;width:455;height:274" coordorigin="1433,556" coordsize="455,274" path="m1879,556l1438,814,1435,817,1433,822,1438,829,1443,830,1887,569,1888,564,1886,561,1884,557,1879,556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1898014</wp:posOffset>
            </wp:positionH>
            <wp:positionV relativeFrom="paragraph">
              <wp:posOffset>179451</wp:posOffset>
            </wp:positionV>
            <wp:extent cx="4402746" cy="113919"/>
            <wp:effectExtent l="0" t="0" r="0" b="0"/>
            <wp:wrapTopAndBottom/>
            <wp:docPr id="25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2746" cy="113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1"/>
        <w:spacing w:before="90"/>
        <w:ind w:left="305" w:right="691"/>
        <w:jc w:val="center"/>
      </w:pPr>
      <w:r>
        <w:rPr/>
        <w:t>Figure</w:t>
      </w:r>
      <w:r>
        <w:rPr>
          <w:spacing w:val="-2"/>
        </w:rPr>
        <w:t> </w:t>
      </w:r>
      <w:r>
        <w:rPr/>
        <w:t>2.11: Quinolinyl</w:t>
      </w:r>
      <w:r>
        <w:rPr>
          <w:spacing w:val="-7"/>
        </w:rPr>
        <w:t> </w:t>
      </w:r>
      <w:r>
        <w:rPr/>
        <w:t>substituted</w:t>
      </w:r>
      <w:r>
        <w:rPr>
          <w:spacing w:val="-2"/>
        </w:rPr>
        <w:t> </w:t>
      </w:r>
      <w:r>
        <w:rPr/>
        <w:t>chalcone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37"/>
        </w:rPr>
      </w:pPr>
    </w:p>
    <w:p>
      <w:pPr>
        <w:pStyle w:val="BodyText"/>
        <w:spacing w:line="480" w:lineRule="auto" w:before="1"/>
        <w:ind w:left="312" w:right="693"/>
        <w:jc w:val="both"/>
        <w:rPr>
          <w:i/>
        </w:rPr>
      </w:pPr>
      <w:r>
        <w:rPr/>
        <w:t>In another report, screening of substituted chalcone derivatives for antiplasmodial activity</w:t>
      </w:r>
      <w:r>
        <w:rPr>
          <w:spacing w:val="1"/>
        </w:rPr>
        <w:t> </w:t>
      </w:r>
      <w:r>
        <w:rPr/>
        <w:t>suggested that small or medium sized lipophilicgroups containing multiple nitrogen atoms</w:t>
      </w:r>
      <w:r>
        <w:rPr>
          <w:spacing w:val="1"/>
        </w:rPr>
        <w:t> </w:t>
      </w:r>
      <w:r>
        <w:rPr/>
        <w:t>or amine in acetophenone moiety (ring B) favors antiplasmodial potential (Mishra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2008). Among all the tested compounds; 4-chloro, 4-methoxy and 3,4,5-trimethoxy series</w:t>
      </w:r>
      <w:r>
        <w:rPr>
          <w:spacing w:val="1"/>
        </w:rPr>
        <w:t> </w:t>
      </w:r>
      <w:r>
        <w:rPr/>
        <w:t>of 1,2,4-triazole substituted chalcone, the 4-chloro series (Figure 2.12) was found to be the</w:t>
      </w:r>
      <w:r>
        <w:rPr>
          <w:spacing w:val="-57"/>
        </w:rPr>
        <w:t> </w:t>
      </w:r>
      <w:r>
        <w:rPr/>
        <w:t>most</w:t>
      </w:r>
      <w:r>
        <w:rPr>
          <w:spacing w:val="6"/>
        </w:rPr>
        <w:t> </w:t>
      </w:r>
      <w:r>
        <w:rPr/>
        <w:t>effective (IC</w:t>
      </w:r>
      <w:r>
        <w:rPr>
          <w:vertAlign w:val="subscript"/>
        </w:rPr>
        <w:t>50</w:t>
      </w:r>
      <w:r>
        <w:rPr>
          <w:vertAlign w:val="baseline"/>
        </w:rPr>
        <w:t>:</w:t>
      </w:r>
      <w:r>
        <w:rPr>
          <w:spacing w:val="-4"/>
          <w:vertAlign w:val="baseline"/>
        </w:rPr>
        <w:t> </w:t>
      </w:r>
      <w:r>
        <w:rPr>
          <w:vertAlign w:val="baseline"/>
        </w:rPr>
        <w:t>1.52</w:t>
      </w:r>
      <w:r>
        <w:rPr>
          <w:spacing w:val="-4"/>
          <w:vertAlign w:val="baseline"/>
        </w:rPr>
        <w:t> </w:t>
      </w:r>
      <w:r>
        <w:rPr>
          <w:vertAlign w:val="baseline"/>
        </w:rPr>
        <w:t>µg/ml)</w:t>
      </w:r>
      <w:r>
        <w:rPr>
          <w:spacing w:val="7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inhibiting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growth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i/>
          <w:vertAlign w:val="baseline"/>
        </w:rPr>
        <w:t>P</w:t>
      </w:r>
      <w:r>
        <w:rPr>
          <w:vertAlign w:val="baseline"/>
        </w:rPr>
        <w:t>.</w:t>
      </w:r>
      <w:r>
        <w:rPr>
          <w:spacing w:val="3"/>
          <w:vertAlign w:val="baseline"/>
        </w:rPr>
        <w:t> </w:t>
      </w:r>
      <w:r>
        <w:rPr>
          <w:i/>
          <w:vertAlign w:val="baseline"/>
        </w:rPr>
        <w:t>falciparum.</w:t>
      </w:r>
    </w:p>
    <w:p>
      <w:pPr>
        <w:pStyle w:val="BodyText"/>
        <w:spacing w:before="8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2502535</wp:posOffset>
            </wp:positionH>
            <wp:positionV relativeFrom="paragraph">
              <wp:posOffset>132351</wp:posOffset>
            </wp:positionV>
            <wp:extent cx="2916668" cy="1247775"/>
            <wp:effectExtent l="0" t="0" r="0" b="0"/>
            <wp:wrapTopAndBottom/>
            <wp:docPr id="27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668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1821178</wp:posOffset>
            </wp:positionH>
            <wp:positionV relativeFrom="paragraph">
              <wp:posOffset>1615203</wp:posOffset>
            </wp:positionV>
            <wp:extent cx="4295141" cy="123825"/>
            <wp:effectExtent l="0" t="0" r="0" b="0"/>
            <wp:wrapTopAndBottom/>
            <wp:docPr id="29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141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26"/>
        </w:rPr>
      </w:pPr>
    </w:p>
    <w:p>
      <w:pPr>
        <w:pStyle w:val="Heading1"/>
        <w:spacing w:before="249"/>
        <w:ind w:right="696"/>
        <w:jc w:val="center"/>
      </w:pPr>
      <w:r>
        <w:rPr/>
        <w:t>Figure</w:t>
      </w:r>
      <w:r>
        <w:rPr>
          <w:spacing w:val="-4"/>
        </w:rPr>
        <w:t> </w:t>
      </w:r>
      <w:r>
        <w:rPr/>
        <w:t>2.12:</w:t>
      </w:r>
      <w:r>
        <w:rPr>
          <w:spacing w:val="-2"/>
        </w:rPr>
        <w:t> </w:t>
      </w:r>
      <w:r>
        <w:rPr/>
        <w:t>1,2,4-triazole</w:t>
      </w:r>
      <w:r>
        <w:rPr>
          <w:spacing w:val="-4"/>
        </w:rPr>
        <w:t> </w:t>
      </w:r>
      <w:r>
        <w:rPr/>
        <w:t>substituted</w:t>
      </w:r>
      <w:r>
        <w:rPr>
          <w:spacing w:val="-4"/>
        </w:rPr>
        <w:t> </w:t>
      </w:r>
      <w:r>
        <w:rPr/>
        <w:t>chalcones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38"/>
        </w:rPr>
      </w:pPr>
    </w:p>
    <w:p>
      <w:pPr>
        <w:pStyle w:val="BodyText"/>
        <w:spacing w:line="480" w:lineRule="auto" w:before="1"/>
        <w:ind w:left="312" w:right="687"/>
        <w:jc w:val="both"/>
      </w:pPr>
      <w:r>
        <w:rPr/>
        <w:t>Kumar </w:t>
      </w:r>
      <w:r>
        <w:rPr>
          <w:i/>
        </w:rPr>
        <w:t>et al. </w:t>
      </w:r>
      <w:r>
        <w:rPr/>
        <w:t>(2010), attempted to find a potent core skeleton of chalcones having simple</w:t>
      </w:r>
      <w:r>
        <w:rPr>
          <w:spacing w:val="1"/>
        </w:rPr>
        <w:t> </w:t>
      </w:r>
      <w:r>
        <w:rPr/>
        <w:t>substituents and good antimalarial effect. Keeping in mind the well- known antimalarial</w:t>
      </w:r>
      <w:r>
        <w:rPr>
          <w:spacing w:val="1"/>
        </w:rPr>
        <w:t> </w:t>
      </w:r>
      <w:r>
        <w:rPr/>
        <w:t>potency of various chlorinated compounds like chloroquine and previous findings on the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of electron-rich ring</w:t>
      </w:r>
      <w:r>
        <w:rPr>
          <w:spacing w:val="1"/>
        </w:rPr>
        <w:t> </w:t>
      </w:r>
      <w:r>
        <w:rPr/>
        <w:t>B and</w:t>
      </w:r>
      <w:r>
        <w:rPr>
          <w:spacing w:val="1"/>
        </w:rPr>
        <w:t> </w:t>
      </w:r>
      <w:r>
        <w:rPr/>
        <w:t>electron-deficient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A,Kumar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(2010)</w:t>
      </w:r>
      <w:r>
        <w:rPr>
          <w:spacing w:val="1"/>
        </w:rPr>
        <w:t> </w:t>
      </w:r>
      <w:r>
        <w:rPr/>
        <w:t>considered,</w:t>
      </w:r>
      <w:r>
        <w:rPr>
          <w:spacing w:val="6"/>
        </w:rPr>
        <w:t> </w:t>
      </w:r>
      <w:r>
        <w:rPr/>
        <w:t>3-</w:t>
      </w:r>
      <w:r>
        <w:rPr>
          <w:spacing w:val="5"/>
        </w:rPr>
        <w:t> </w:t>
      </w:r>
      <w:r>
        <w:rPr/>
        <w:t>(4-chlorophenyl)-1-(4-methoxyphenyl)</w:t>
      </w:r>
      <w:r>
        <w:rPr>
          <w:spacing w:val="4"/>
        </w:rPr>
        <w:t> </w:t>
      </w:r>
      <w:r>
        <w:rPr/>
        <w:t>prop-</w:t>
      </w:r>
      <w:r>
        <w:rPr>
          <w:spacing w:val="1"/>
        </w:rPr>
        <w:t> </w:t>
      </w:r>
      <w:r>
        <w:rPr/>
        <w:t>2-en-1-one</w:t>
      </w:r>
      <w:r>
        <w:rPr>
          <w:spacing w:val="3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starting</w:t>
      </w:r>
      <w:r>
        <w:rPr>
          <w:spacing w:val="3"/>
        </w:rPr>
        <w:t> </w:t>
      </w:r>
      <w:r>
        <w:rPr/>
        <w:t>point.</w:t>
      </w:r>
    </w:p>
    <w:p>
      <w:pPr>
        <w:spacing w:after="0" w:line="480" w:lineRule="auto"/>
        <w:jc w:val="both"/>
        <w:sectPr>
          <w:headerReference w:type="default" r:id="rId128"/>
          <w:footerReference w:type="default" r:id="rId129"/>
          <w:pgSz w:w="11910" w:h="16840"/>
          <w:pgMar w:header="0" w:footer="878" w:top="1460" w:bottom="1060" w:left="1560" w:right="600"/>
        </w:sectPr>
      </w:pPr>
    </w:p>
    <w:p>
      <w:pPr>
        <w:pStyle w:val="BodyText"/>
        <w:spacing w:line="480" w:lineRule="auto" w:before="70"/>
        <w:ind w:left="312" w:right="690"/>
        <w:jc w:val="both"/>
      </w:pPr>
      <w:r>
        <w:rPr/>
        <w:t>However, test against </w:t>
      </w:r>
      <w:r>
        <w:rPr>
          <w:i/>
        </w:rPr>
        <w:t>P. falciparum </w:t>
      </w:r>
      <w:r>
        <w:rPr/>
        <w:t>3D7 strain revealed that it lacks significant potency.</w:t>
      </w:r>
      <w:r>
        <w:rPr>
          <w:spacing w:val="1"/>
        </w:rPr>
        <w:t> </w:t>
      </w:r>
      <w:r>
        <w:rPr/>
        <w:t>Thereafter, molecules with different substituents on each of the two rings were synthesized</w:t>
      </w:r>
      <w:r>
        <w:rPr>
          <w:spacing w:val="-57"/>
        </w:rPr>
        <w:t> </w:t>
      </w:r>
      <w:r>
        <w:rPr/>
        <w:t>and evaluated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antimalarial activity.</w:t>
      </w:r>
      <w:r>
        <w:rPr>
          <w:spacing w:val="1"/>
        </w:rPr>
        <w:t> </w:t>
      </w:r>
      <w:r>
        <w:rPr/>
        <w:t>Surprisingly,</w:t>
      </w:r>
      <w:r>
        <w:rPr>
          <w:spacing w:val="60"/>
        </w:rPr>
        <w:t> </w:t>
      </w:r>
      <w:r>
        <w:rPr/>
        <w:t>a reversalof substituents between</w:t>
      </w:r>
      <w:r>
        <w:rPr>
          <w:spacing w:val="1"/>
        </w:rPr>
        <w:t> </w:t>
      </w:r>
      <w:r>
        <w:rPr/>
        <w:t>rings</w:t>
      </w:r>
      <w:r>
        <w:rPr>
          <w:spacing w:val="1"/>
        </w:rPr>
        <w:t> </w:t>
      </w:r>
      <w:r>
        <w:rPr/>
        <w:t>A</w:t>
      </w:r>
      <w:r>
        <w:rPr>
          <w:spacing w:val="-5"/>
        </w:rPr>
        <w:t> </w:t>
      </w:r>
      <w:r>
        <w:rPr/>
        <w:t>&amp; B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lead compound (IC</w:t>
      </w:r>
      <w:r>
        <w:rPr>
          <w:vertAlign w:val="subscript"/>
        </w:rPr>
        <w:t>50</w:t>
      </w:r>
      <w:r>
        <w:rPr>
          <w:vertAlign w:val="baseline"/>
        </w:rPr>
        <w:t>: 88.0 µM)</w:t>
      </w:r>
      <w:r>
        <w:rPr>
          <w:spacing w:val="1"/>
          <w:vertAlign w:val="baseline"/>
        </w:rPr>
        <w:t> </w:t>
      </w:r>
      <w:r>
        <w:rPr>
          <w:vertAlign w:val="baseline"/>
        </w:rPr>
        <w:t>led to a</w:t>
      </w:r>
      <w:r>
        <w:rPr>
          <w:spacing w:val="-6"/>
          <w:vertAlign w:val="baseline"/>
        </w:rPr>
        <w:t> </w:t>
      </w:r>
      <w:r>
        <w:rPr>
          <w:vertAlign w:val="baseline"/>
        </w:rPr>
        <w:t>threefold</w:t>
      </w:r>
      <w:r>
        <w:rPr>
          <w:spacing w:val="9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4"/>
          <w:vertAlign w:val="baseline"/>
        </w:rPr>
        <w:t> </w:t>
      </w:r>
      <w:r>
        <w:rPr>
          <w:vertAlign w:val="baseline"/>
        </w:rPr>
        <w:t>in activity</w:t>
      </w:r>
      <w:r>
        <w:rPr>
          <w:spacing w:val="-10"/>
          <w:vertAlign w:val="baseline"/>
        </w:rPr>
        <w:t> </w:t>
      </w:r>
      <w:r>
        <w:rPr>
          <w:vertAlign w:val="baseline"/>
        </w:rPr>
        <w:t>(IC</w:t>
      </w:r>
      <w:r>
        <w:rPr>
          <w:vertAlign w:val="subscript"/>
        </w:rPr>
        <w:t>50</w:t>
      </w:r>
      <w:r>
        <w:rPr>
          <w:vertAlign w:val="baseline"/>
        </w:rPr>
        <w:t>:</w:t>
      </w:r>
    </w:p>
    <w:p>
      <w:pPr>
        <w:pStyle w:val="BodyText"/>
        <w:spacing w:line="480" w:lineRule="auto"/>
        <w:ind w:left="312" w:right="686"/>
        <w:jc w:val="both"/>
      </w:pPr>
      <w:r>
        <w:rPr/>
        <w:t>28.8 µM) of resulting compound. Therefore, electron density on ring A was increased</w:t>
      </w:r>
      <w:r>
        <w:rPr>
          <w:spacing w:val="1"/>
        </w:rPr>
        <w:t> </w:t>
      </w:r>
      <w:r>
        <w:rPr/>
        <w:t>while, keeping chloro substitution constant on ring B. Interestingly, compounds with 2,4-</w:t>
      </w:r>
      <w:r>
        <w:rPr>
          <w:spacing w:val="1"/>
        </w:rPr>
        <w:t> </w:t>
      </w:r>
      <w:r>
        <w:rPr/>
        <w:t>dimethoxy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2,4,5-trimethoxy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exhibited</w:t>
      </w:r>
      <w:r>
        <w:rPr>
          <w:spacing w:val="1"/>
        </w:rPr>
        <w:t> </w:t>
      </w:r>
      <w:r>
        <w:rPr/>
        <w:t>progressively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IC</w:t>
      </w:r>
      <w:r>
        <w:rPr>
          <w:vertAlign w:val="subscript"/>
        </w:rPr>
        <w:t>50</w:t>
      </w:r>
      <w:r>
        <w:rPr>
          <w:spacing w:val="1"/>
          <w:vertAlign w:val="baseline"/>
        </w:rPr>
        <w:t> </w:t>
      </w:r>
      <w:r>
        <w:rPr>
          <w:vertAlign w:val="baseline"/>
        </w:rPr>
        <w:t>values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6</w:t>
      </w:r>
      <w:r>
        <w:rPr>
          <w:spacing w:val="1"/>
          <w:vertAlign w:val="baseline"/>
        </w:rPr>
        <w:t> </w:t>
      </w:r>
      <w:r>
        <w:rPr>
          <w:vertAlign w:val="baseline"/>
        </w:rPr>
        <w:t>µM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4</w:t>
      </w:r>
      <w:r>
        <w:rPr>
          <w:spacing w:val="1"/>
          <w:vertAlign w:val="baseline"/>
        </w:rPr>
        <w:t> </w:t>
      </w:r>
      <w:r>
        <w:rPr>
          <w:vertAlign w:val="baseline"/>
        </w:rPr>
        <w:t>µM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(Kumar</w:t>
      </w:r>
      <w:r>
        <w:rPr>
          <w:spacing w:val="60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vertAlign w:val="baseline"/>
        </w:rPr>
        <w:t>2010).</w:t>
      </w:r>
      <w:r>
        <w:rPr>
          <w:spacing w:val="10"/>
          <w:vertAlign w:val="baseline"/>
        </w:rPr>
        <w:t> </w:t>
      </w:r>
      <w:r>
        <w:rPr>
          <w:vertAlign w:val="baseline"/>
        </w:rPr>
        <w:t>These</w:t>
      </w:r>
      <w:r>
        <w:rPr>
          <w:spacing w:val="13"/>
          <w:vertAlign w:val="baseline"/>
        </w:rPr>
        <w:t> </w:t>
      </w:r>
      <w:r>
        <w:rPr>
          <w:vertAlign w:val="baseline"/>
        </w:rPr>
        <w:t>observations</w:t>
      </w:r>
      <w:r>
        <w:rPr>
          <w:spacing w:val="12"/>
          <w:vertAlign w:val="baseline"/>
        </w:rPr>
        <w:t> </w:t>
      </w:r>
      <w:r>
        <w:rPr>
          <w:vertAlign w:val="baseline"/>
        </w:rPr>
        <w:t>clearly</w:t>
      </w:r>
      <w:r>
        <w:rPr>
          <w:spacing w:val="10"/>
          <w:vertAlign w:val="baseline"/>
        </w:rPr>
        <w:t> </w:t>
      </w:r>
      <w:r>
        <w:rPr>
          <w:vertAlign w:val="baseline"/>
        </w:rPr>
        <w:t>indicate</w:t>
      </w:r>
      <w:r>
        <w:rPr>
          <w:spacing w:val="8"/>
          <w:vertAlign w:val="baseline"/>
        </w:rPr>
        <w:t> </w:t>
      </w:r>
      <w:r>
        <w:rPr>
          <w:vertAlign w:val="baseline"/>
        </w:rPr>
        <w:t>that</w:t>
      </w:r>
      <w:r>
        <w:rPr>
          <w:spacing w:val="14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18"/>
          <w:vertAlign w:val="baseline"/>
        </w:rPr>
        <w:t> </w:t>
      </w:r>
      <w:r>
        <w:rPr>
          <w:vertAlign w:val="baseline"/>
        </w:rPr>
        <w:t>in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electron</w:t>
      </w:r>
      <w:r>
        <w:rPr>
          <w:spacing w:val="9"/>
          <w:vertAlign w:val="baseline"/>
        </w:rPr>
        <w:t> </w:t>
      </w:r>
      <w:r>
        <w:rPr>
          <w:vertAlign w:val="baseline"/>
        </w:rPr>
        <w:t>density</w:t>
      </w:r>
      <w:r>
        <w:rPr>
          <w:spacing w:val="9"/>
          <w:vertAlign w:val="baseline"/>
        </w:rPr>
        <w:t> </w:t>
      </w:r>
      <w:r>
        <w:rPr>
          <w:vertAlign w:val="baseline"/>
        </w:rPr>
        <w:t>on</w:t>
      </w:r>
      <w:r>
        <w:rPr>
          <w:spacing w:val="9"/>
          <w:vertAlign w:val="baseline"/>
        </w:rPr>
        <w:t> </w:t>
      </w:r>
      <w:r>
        <w:rPr>
          <w:vertAlign w:val="baseline"/>
        </w:rPr>
        <w:t>ring</w:t>
      </w:r>
      <w:r>
        <w:rPr>
          <w:spacing w:val="-58"/>
          <w:vertAlign w:val="baseline"/>
        </w:rPr>
        <w:t> </w:t>
      </w:r>
      <w:r>
        <w:rPr>
          <w:vertAlign w:val="baseline"/>
        </w:rPr>
        <w:t>A significantly enhanced the antimalarial activity which is evidently in contrast to earlier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reports linking potent antimalarial activity with electron deficient ring</w:t>
      </w:r>
      <w:r>
        <w:rPr>
          <w:spacing w:val="60"/>
          <w:vertAlign w:val="baseline"/>
        </w:rPr>
        <w:t> </w:t>
      </w:r>
      <w:r>
        <w:rPr>
          <w:vertAlign w:val="baseline"/>
        </w:rPr>
        <w:t>A of chalcones (Li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5"/>
          <w:vertAlign w:val="baseline"/>
        </w:rPr>
        <w:t> </w:t>
      </w:r>
      <w:r>
        <w:rPr>
          <w:vertAlign w:val="baseline"/>
        </w:rPr>
        <w:t>1995;</w:t>
      </w:r>
      <w:r>
        <w:rPr>
          <w:spacing w:val="-3"/>
          <w:vertAlign w:val="baseline"/>
        </w:rPr>
        <w:t> </w:t>
      </w:r>
      <w:r>
        <w:rPr>
          <w:vertAlign w:val="baseline"/>
        </w:rPr>
        <w:t>Liu</w:t>
      </w:r>
      <w:r>
        <w:rPr>
          <w:spacing w:val="3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2"/>
          <w:vertAlign w:val="baseline"/>
        </w:rPr>
        <w:t> </w:t>
      </w:r>
      <w:r>
        <w:rPr>
          <w:i/>
          <w:vertAlign w:val="baseline"/>
        </w:rPr>
        <w:t>al., </w:t>
      </w:r>
      <w:r>
        <w:rPr>
          <w:vertAlign w:val="baseline"/>
        </w:rPr>
        <w:t>2003).</w:t>
      </w:r>
    </w:p>
    <w:p>
      <w:pPr>
        <w:pStyle w:val="BodyText"/>
        <w:spacing w:line="480" w:lineRule="auto" w:before="204"/>
        <w:ind w:left="312" w:right="685"/>
        <w:jc w:val="both"/>
      </w:pPr>
      <w:r>
        <w:rPr/>
        <w:t>SAR analysis of various derivatives of 2,4,5-trimethoxy chalcone revealed the importance</w:t>
      </w:r>
      <w:r>
        <w:rPr>
          <w:spacing w:val="1"/>
        </w:rPr>
        <w:t> </w:t>
      </w:r>
      <w:r>
        <w:rPr/>
        <w:t>of the 2,4,5-tri-methoxy group. It also shows the importance of keeping ring B electron</w:t>
      </w:r>
      <w:r>
        <w:rPr>
          <w:spacing w:val="1"/>
        </w:rPr>
        <w:t> </w:t>
      </w:r>
      <w:r>
        <w:rPr/>
        <w:t>deficient and bromine (Br) at position -4 of ring A for best activity (Figure 2.13). While,</w:t>
      </w:r>
      <w:r>
        <w:rPr>
          <w:spacing w:val="1"/>
        </w:rPr>
        <w:t> </w:t>
      </w:r>
      <w:r>
        <w:rPr/>
        <w:t>the presence of multiple electron withdrawing groups on the A ring did not lead to any</w:t>
      </w:r>
      <w:r>
        <w:rPr>
          <w:spacing w:val="1"/>
        </w:rPr>
        <w:t> </w:t>
      </w:r>
      <w:r>
        <w:rPr/>
        <w:t>significant</w:t>
      </w:r>
      <w:r>
        <w:rPr>
          <w:spacing w:val="6"/>
        </w:rPr>
        <w:t> </w:t>
      </w:r>
      <w:r>
        <w:rPr/>
        <w:t>increase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activity</w:t>
      </w:r>
      <w:r>
        <w:rPr>
          <w:spacing w:val="-3"/>
        </w:rPr>
        <w:t> </w:t>
      </w:r>
      <w:r>
        <w:rPr/>
        <w:t>(Kumar</w:t>
      </w:r>
      <w:r>
        <w:rPr>
          <w:spacing w:val="8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2010).</w:t>
      </w: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2162810</wp:posOffset>
            </wp:positionH>
            <wp:positionV relativeFrom="paragraph">
              <wp:posOffset>129284</wp:posOffset>
            </wp:positionV>
            <wp:extent cx="3603116" cy="1347215"/>
            <wp:effectExtent l="0" t="0" r="0" b="0"/>
            <wp:wrapTopAndBottom/>
            <wp:docPr id="31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116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941" w:right="0" w:firstLine="0"/>
        <w:jc w:val="left"/>
        <w:rPr>
          <w:rFonts w:ascii="Calibri"/>
          <w:b/>
          <w:sz w:val="22"/>
        </w:rPr>
      </w:pPr>
      <w:r>
        <w:rPr>
          <w:b/>
          <w:sz w:val="24"/>
        </w:rPr>
        <w:t>Figure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2.13:</w:t>
      </w:r>
      <w:r>
        <w:rPr>
          <w:b/>
          <w:spacing w:val="-1"/>
          <w:sz w:val="24"/>
        </w:rPr>
        <w:t> </w:t>
      </w:r>
      <w:r>
        <w:rPr>
          <w:rFonts w:ascii="Calibri"/>
          <w:b/>
          <w:sz w:val="22"/>
        </w:rPr>
        <w:t>(E)-1-(4-bromophenyl)-3-(2,4,5-trimethoxyphenyl)</w:t>
      </w:r>
      <w:r>
        <w:rPr>
          <w:rFonts w:ascii="Calibri"/>
          <w:b/>
          <w:spacing w:val="-8"/>
          <w:sz w:val="22"/>
        </w:rPr>
        <w:t> </w:t>
      </w:r>
      <w:r>
        <w:rPr>
          <w:rFonts w:ascii="Calibri"/>
          <w:b/>
          <w:sz w:val="22"/>
        </w:rPr>
        <w:t>prop-2-</w:t>
      </w:r>
      <w:r>
        <w:rPr>
          <w:rFonts w:ascii="Calibri"/>
          <w:b/>
          <w:spacing w:val="-7"/>
          <w:sz w:val="22"/>
        </w:rPr>
        <w:t> </w:t>
      </w:r>
      <w:r>
        <w:rPr>
          <w:rFonts w:ascii="Calibri"/>
          <w:b/>
          <w:sz w:val="22"/>
        </w:rPr>
        <w:t>en-1-one</w:t>
      </w:r>
    </w:p>
    <w:p>
      <w:pPr>
        <w:pStyle w:val="BodyText"/>
        <w:rPr>
          <w:rFonts w:ascii="Calibri"/>
          <w:b/>
          <w:sz w:val="26"/>
        </w:rPr>
      </w:pPr>
    </w:p>
    <w:p>
      <w:pPr>
        <w:pStyle w:val="BodyText"/>
        <w:rPr>
          <w:rFonts w:ascii="Calibri"/>
          <w:b/>
          <w:sz w:val="35"/>
        </w:rPr>
      </w:pPr>
    </w:p>
    <w:p>
      <w:pPr>
        <w:pStyle w:val="BodyText"/>
        <w:spacing w:line="480" w:lineRule="auto"/>
        <w:ind w:left="312" w:right="703"/>
        <w:jc w:val="both"/>
      </w:pPr>
      <w:r>
        <w:rPr/>
        <w:t>In conclusion there is a strong dependence of antimalarial activity on specific substitution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rings </w:t>
      </w:r>
      <w:r>
        <w:rPr>
          <w:b/>
        </w:rPr>
        <w:t>A </w:t>
      </w:r>
      <w:r>
        <w:rPr/>
        <w:t>&amp;</w:t>
      </w:r>
      <w:r>
        <w:rPr>
          <w:b/>
        </w:rPr>
        <w:t>B</w:t>
      </w:r>
      <w:r>
        <w:rPr>
          <w:b/>
          <w:spacing w:val="4"/>
        </w:rPr>
        <w:t> </w:t>
      </w:r>
      <w:r>
        <w:rPr/>
        <w:t>of</w:t>
      </w:r>
      <w:r>
        <w:rPr>
          <w:spacing w:val="-6"/>
        </w:rPr>
        <w:t> </w:t>
      </w:r>
      <w:r>
        <w:rPr/>
        <w:t>the chalcone scaffold,</w:t>
      </w:r>
      <w:r>
        <w:rPr>
          <w:spacing w:val="3"/>
        </w:rPr>
        <w:t> </w:t>
      </w:r>
      <w:r>
        <w:rPr/>
        <w:t>with</w:t>
      </w:r>
      <w:r>
        <w:rPr>
          <w:spacing w:val="-4"/>
        </w:rPr>
        <w:t> </w:t>
      </w:r>
      <w:r>
        <w:rPr/>
        <w:t>various opposing</w:t>
      </w:r>
      <w:r>
        <w:rPr>
          <w:spacing w:val="5"/>
        </w:rPr>
        <w:t> </w:t>
      </w:r>
      <w:r>
        <w:rPr/>
        <w:t>views.</w:t>
      </w:r>
    </w:p>
    <w:p>
      <w:pPr>
        <w:spacing w:after="0" w:line="480" w:lineRule="auto"/>
        <w:jc w:val="both"/>
        <w:sectPr>
          <w:headerReference w:type="default" r:id="rId153"/>
          <w:footerReference w:type="default" r:id="rId154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2"/>
          <w:numId w:val="11"/>
        </w:numPr>
        <w:tabs>
          <w:tab w:pos="856" w:val="left" w:leader="none"/>
        </w:tabs>
        <w:spacing w:line="240" w:lineRule="auto" w:before="74" w:after="0"/>
        <w:ind w:left="855" w:right="0" w:hanging="544"/>
        <w:jc w:val="both"/>
      </w:pPr>
      <w:bookmarkStart w:name="_TOC_250066" w:id="27"/>
      <w:r>
        <w:rPr/>
        <w:t>Present</w:t>
      </w:r>
      <w:r>
        <w:rPr>
          <w:spacing w:val="-3"/>
        </w:rPr>
        <w:t> </w:t>
      </w:r>
      <w:bookmarkEnd w:id="27"/>
      <w:r>
        <w:rPr/>
        <w:t>work</w:t>
      </w:r>
    </w:p>
    <w:p>
      <w:pPr>
        <w:pStyle w:val="BodyText"/>
        <w:spacing w:line="480" w:lineRule="auto" w:before="195"/>
        <w:ind w:left="312" w:right="689"/>
        <w:jc w:val="both"/>
      </w:pPr>
      <w:r>
        <w:rPr/>
        <w:t>From the above discussion, it is clear that extensive effort for the introduction of chalcones</w:t>
      </w:r>
      <w:r>
        <w:rPr>
          <w:spacing w:val="-57"/>
        </w:rPr>
        <w:t> </w:t>
      </w:r>
      <w:r>
        <w:rPr/>
        <w:t>as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inexpensive</w:t>
      </w:r>
      <w:r>
        <w:rPr>
          <w:spacing w:val="1"/>
        </w:rPr>
        <w:t> </w:t>
      </w:r>
      <w:r>
        <w:rPr/>
        <w:t>antimalarials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progress.</w:t>
      </w:r>
      <w:r>
        <w:rPr>
          <w:spacing w:val="1"/>
        </w:rPr>
        <w:t> </w:t>
      </w:r>
      <w:r>
        <w:rPr/>
        <w:t>Various</w:t>
      </w:r>
      <w:r>
        <w:rPr>
          <w:spacing w:val="60"/>
        </w:rPr>
        <w:t> </w:t>
      </w:r>
      <w:r>
        <w:rPr/>
        <w:t>derivatives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chalcones including heterocyclic analogues (with </w:t>
      </w:r>
      <w:r>
        <w:rPr>
          <w:i/>
        </w:rPr>
        <w:t>N</w:t>
      </w:r>
      <w:r>
        <w:rPr/>
        <w:t>, </w:t>
      </w:r>
      <w:r>
        <w:rPr>
          <w:i/>
        </w:rPr>
        <w:t>S </w:t>
      </w:r>
      <w:r>
        <w:rPr/>
        <w:t>and </w:t>
      </w:r>
      <w:r>
        <w:rPr>
          <w:i/>
        </w:rPr>
        <w:t>O </w:t>
      </w:r>
      <w:r>
        <w:rPr/>
        <w:t>containing compounds) have</w:t>
      </w:r>
      <w:r>
        <w:rPr>
          <w:spacing w:val="1"/>
        </w:rPr>
        <w:t> </w:t>
      </w:r>
      <w:r>
        <w:rPr/>
        <w:t>been reported to possess antimalarial activity. However, there is no clear conclusion as 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pattern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rings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antimalarial</w:t>
      </w:r>
      <w:r>
        <w:rPr>
          <w:spacing w:val="60"/>
        </w:rPr>
        <w:t> </w:t>
      </w:r>
      <w:r>
        <w:rPr/>
        <w:t>activity</w:t>
      </w:r>
      <w:r>
        <w:rPr>
          <w:spacing w:val="1"/>
        </w:rPr>
        <w:t> </w:t>
      </w:r>
      <w:r>
        <w:rPr/>
        <w:t>particularly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plasmodia</w:t>
      </w:r>
      <w:r>
        <w:rPr>
          <w:spacing w:val="1"/>
        </w:rPr>
        <w:t> </w:t>
      </w:r>
      <w:r>
        <w:rPr/>
        <w:t>proteases.</w:t>
      </w:r>
      <w:r>
        <w:rPr>
          <w:spacing w:val="1"/>
        </w:rPr>
        <w:t> </w:t>
      </w:r>
      <w:r>
        <w:rPr/>
        <w:t>While,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initial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protease</w:t>
      </w:r>
      <w:r>
        <w:rPr>
          <w:spacing w:val="1"/>
        </w:rPr>
        <w:t> </w:t>
      </w:r>
      <w:r>
        <w:rPr/>
        <w:t>inhibitor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Li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(1995)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significance of electron-rich ring A and electron- deficient ring B, it was found otherwise</w:t>
      </w:r>
      <w:r>
        <w:rPr>
          <w:spacing w:val="1"/>
        </w:rPr>
        <w:t> </w:t>
      </w:r>
      <w:r>
        <w:rPr/>
        <w:t>in some studies.</w:t>
      </w:r>
      <w:r>
        <w:rPr>
          <w:spacing w:val="1"/>
        </w:rPr>
        <w:t> </w:t>
      </w:r>
      <w:r>
        <w:rPr/>
        <w:t>As mentionedearlier structure-activity relationship study conducted by</w:t>
      </w:r>
      <w:r>
        <w:rPr>
          <w:spacing w:val="1"/>
        </w:rPr>
        <w:t> </w:t>
      </w:r>
      <w:r>
        <w:rPr/>
        <w:t>Kumar </w:t>
      </w:r>
      <w:r>
        <w:rPr>
          <w:i/>
        </w:rPr>
        <w:t>et al</w:t>
      </w:r>
      <w:r>
        <w:rPr/>
        <w:t>. (2010) aimed at exploring the basic chalcone moiety for antimalarial activity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methoxy</w:t>
      </w:r>
      <w:r>
        <w:rPr>
          <w:spacing w:val="1"/>
        </w:rPr>
        <w:t> </w:t>
      </w:r>
      <w:r>
        <w:rPr/>
        <w:t>substitution,</w:t>
      </w:r>
      <w:r>
        <w:rPr>
          <w:spacing w:val="1"/>
        </w:rPr>
        <w:t> </w:t>
      </w:r>
      <w:r>
        <w:rPr/>
        <w:t>particularly</w:t>
      </w:r>
      <w:r>
        <w:rPr>
          <w:spacing w:val="1"/>
        </w:rPr>
        <w:t> </w:t>
      </w:r>
      <w:r>
        <w:rPr/>
        <w:t>2,4,5-trimethoxy</w:t>
      </w:r>
      <w:r>
        <w:rPr>
          <w:spacing w:val="1"/>
        </w:rPr>
        <w:t> </w:t>
      </w:r>
      <w:r>
        <w:rPr/>
        <w:t>substitution, on ring A of chalcone and electron withdrawing groups at ring B significantly</w:t>
      </w:r>
      <w:r>
        <w:rPr>
          <w:spacing w:val="-57"/>
        </w:rPr>
        <w:t> </w:t>
      </w:r>
      <w:r>
        <w:rPr/>
        <w:t>favors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antimalarial</w:t>
      </w:r>
      <w:r>
        <w:rPr>
          <w:spacing w:val="-8"/>
        </w:rPr>
        <w:t> </w:t>
      </w:r>
      <w:r>
        <w:rPr/>
        <w:t>activity,</w:t>
      </w:r>
      <w:r>
        <w:rPr>
          <w:spacing w:val="4"/>
        </w:rPr>
        <w:t> </w:t>
      </w:r>
      <w:r>
        <w:rPr/>
        <w:t>contrary</w:t>
      </w:r>
      <w:r>
        <w:rPr>
          <w:spacing w:val="-9"/>
        </w:rPr>
        <w:t> </w:t>
      </w:r>
      <w:r>
        <w:rPr/>
        <w:t>to</w:t>
      </w:r>
      <w:r>
        <w:rPr>
          <w:spacing w:val="8"/>
        </w:rPr>
        <w:t> </w:t>
      </w:r>
      <w:r>
        <w:rPr/>
        <w:t>previous</w:t>
      </w:r>
      <w:r>
        <w:rPr>
          <w:spacing w:val="5"/>
        </w:rPr>
        <w:t> </w:t>
      </w:r>
      <w:r>
        <w:rPr/>
        <w:t>findings.</w:t>
      </w:r>
    </w:p>
    <w:p>
      <w:pPr>
        <w:pStyle w:val="BodyText"/>
        <w:spacing w:line="480" w:lineRule="auto" w:before="204"/>
        <w:ind w:left="312" w:right="689"/>
        <w:jc w:val="both"/>
      </w:pPr>
      <w:r>
        <w:rPr/>
        <w:t>Therefore,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looked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previous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picked</w:t>
      </w:r>
      <w:r>
        <w:rPr>
          <w:spacing w:val="1"/>
        </w:rPr>
        <w:t> </w:t>
      </w:r>
      <w:r>
        <w:rPr/>
        <w:t>chemical</w:t>
      </w:r>
      <w:r>
        <w:rPr>
          <w:spacing w:val="60"/>
        </w:rPr>
        <w:t> </w:t>
      </w:r>
      <w:r>
        <w:rPr/>
        <w:t>scaffolds</w:t>
      </w:r>
      <w:r>
        <w:rPr>
          <w:spacing w:val="1"/>
        </w:rPr>
        <w:t> </w:t>
      </w:r>
      <w:r>
        <w:rPr/>
        <w:t>important for good activity and matched them, to see if the combination will give a better</w:t>
      </w:r>
      <w:r>
        <w:rPr>
          <w:spacing w:val="1"/>
        </w:rPr>
        <w:t> </w:t>
      </w:r>
      <w:r>
        <w:rPr/>
        <w:t>compound than the individual component. Hybridization of biologically active molecules,</w:t>
      </w:r>
      <w:r>
        <w:rPr>
          <w:spacing w:val="1"/>
        </w:rPr>
        <w:t> </w:t>
      </w:r>
      <w:r>
        <w:rPr/>
        <w:t>based on the combination of complementary pharmacophoric features of two or more</w:t>
      </w:r>
      <w:r>
        <w:rPr>
          <w:spacing w:val="1"/>
        </w:rPr>
        <w:t> </w:t>
      </w:r>
      <w:r>
        <w:rPr/>
        <w:t>known bioactive compounds or moiety, which, through adequate fusion, lead to the design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hybrid</w:t>
      </w:r>
      <w:r>
        <w:rPr>
          <w:spacing w:val="1"/>
        </w:rPr>
        <w:t> </w:t>
      </w:r>
      <w:r>
        <w:rPr/>
        <w:t>architectures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maintain</w:t>
      </w:r>
      <w:r>
        <w:rPr>
          <w:spacing w:val="1"/>
        </w:rPr>
        <w:t> </w:t>
      </w:r>
      <w:r>
        <w:rPr/>
        <w:t>pre-selected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original</w:t>
      </w:r>
      <w:r>
        <w:rPr>
          <w:spacing w:val="1"/>
        </w:rPr>
        <w:t> </w:t>
      </w:r>
      <w:r>
        <w:rPr/>
        <w:t>templates,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powerful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design.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derivatives</w:t>
      </w:r>
      <w:r>
        <w:rPr>
          <w:spacing w:val="60"/>
        </w:rPr>
        <w:t> </w:t>
      </w:r>
      <w:r>
        <w:rPr/>
        <w:t>not</w:t>
      </w:r>
      <w:r>
        <w:rPr>
          <w:spacing w:val="1"/>
        </w:rPr>
        <w:t> </w:t>
      </w:r>
      <w:r>
        <w:rPr/>
        <w:t>previously studied with substitution similar or contrary to Li </w:t>
      </w:r>
      <w:r>
        <w:rPr>
          <w:i/>
        </w:rPr>
        <w:t>et al. </w:t>
      </w:r>
      <w:r>
        <w:rPr/>
        <w:t>(1995) proposal were</w:t>
      </w:r>
      <w:r>
        <w:rPr>
          <w:spacing w:val="1"/>
        </w:rPr>
        <w:t> </w:t>
      </w:r>
      <w:r>
        <w:rPr/>
        <w:t>also</w:t>
      </w:r>
      <w:r>
        <w:rPr>
          <w:spacing w:val="4"/>
        </w:rPr>
        <w:t> </w:t>
      </w:r>
      <w:r>
        <w:rPr/>
        <w:t>designed,</w:t>
      </w:r>
      <w:r>
        <w:rPr>
          <w:spacing w:val="2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and,</w:t>
      </w:r>
      <w:r>
        <w:rPr>
          <w:spacing w:val="2"/>
        </w:rPr>
        <w:t> </w:t>
      </w:r>
      <w:r>
        <w:rPr/>
        <w:t>evaluated for</w:t>
      </w:r>
      <w:r>
        <w:rPr>
          <w:spacing w:val="9"/>
        </w:rPr>
        <w:t> </w:t>
      </w:r>
      <w:r>
        <w:rPr>
          <w:i/>
        </w:rPr>
        <w:t>invivo </w:t>
      </w:r>
      <w:r>
        <w:rPr/>
        <w:t>antimalarial</w:t>
      </w:r>
      <w:r>
        <w:rPr>
          <w:spacing w:val="-4"/>
        </w:rPr>
        <w:t> </w:t>
      </w:r>
      <w:r>
        <w:rPr/>
        <w:t>activity.</w:t>
      </w:r>
    </w:p>
    <w:p>
      <w:pPr>
        <w:pStyle w:val="BodyText"/>
        <w:spacing w:line="480" w:lineRule="auto" w:before="199"/>
        <w:ind w:left="312" w:right="691"/>
        <w:jc w:val="both"/>
      </w:pPr>
      <w:r>
        <w:rPr/>
        <w:t>Although proteases have previously been validated as potential drug targets, studies from</w:t>
      </w:r>
      <w:r>
        <w:rPr>
          <w:spacing w:val="1"/>
        </w:rPr>
        <w:t> </w:t>
      </w:r>
      <w:r>
        <w:rPr/>
        <w:t>knock-out</w:t>
      </w:r>
      <w:r>
        <w:rPr>
          <w:spacing w:val="23"/>
        </w:rPr>
        <w:t> </w:t>
      </w:r>
      <w:r>
        <w:rPr/>
        <w:t>experiments</w:t>
      </w:r>
      <w:r>
        <w:rPr>
          <w:spacing w:val="15"/>
        </w:rPr>
        <w:t> </w:t>
      </w:r>
      <w:r>
        <w:rPr/>
        <w:t>raise</w:t>
      </w:r>
      <w:r>
        <w:rPr>
          <w:spacing w:val="21"/>
        </w:rPr>
        <w:t> </w:t>
      </w:r>
      <w:r>
        <w:rPr/>
        <w:t>questions</w:t>
      </w:r>
      <w:r>
        <w:rPr>
          <w:spacing w:val="20"/>
        </w:rPr>
        <w:t> </w:t>
      </w:r>
      <w:r>
        <w:rPr/>
        <w:t>regarding</w:t>
      </w:r>
      <w:r>
        <w:rPr>
          <w:spacing w:val="17"/>
        </w:rPr>
        <w:t> </w:t>
      </w:r>
      <w:r>
        <w:rPr/>
        <w:t>the</w:t>
      </w:r>
      <w:r>
        <w:rPr>
          <w:spacing w:val="21"/>
        </w:rPr>
        <w:t> </w:t>
      </w:r>
      <w:r>
        <w:rPr/>
        <w:t>validity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r>
        <w:rPr/>
        <w:t>either</w:t>
      </w:r>
      <w:r>
        <w:rPr>
          <w:spacing w:val="24"/>
        </w:rPr>
        <w:t> </w:t>
      </w:r>
      <w:r>
        <w:rPr/>
        <w:t>falcipains</w:t>
      </w:r>
      <w:r>
        <w:rPr>
          <w:spacing w:val="20"/>
        </w:rPr>
        <w:t> </w:t>
      </w:r>
      <w:r>
        <w:rPr/>
        <w:t>or</w:t>
      </w:r>
    </w:p>
    <w:p>
      <w:pPr>
        <w:spacing w:after="0" w:line="480" w:lineRule="auto"/>
        <w:jc w:val="both"/>
        <w:sectPr>
          <w:headerReference w:type="default" r:id="rId156"/>
          <w:footerReference w:type="default" r:id="rId157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plasmepsins as single drug targets (Liu</w:t>
      </w:r>
      <w:r>
        <w:rPr>
          <w:spacing w:val="1"/>
        </w:rPr>
        <w:t> </w:t>
      </w:r>
      <w:r>
        <w:rPr>
          <w:i/>
        </w:rPr>
        <w:t>et al., </w:t>
      </w:r>
      <w:r>
        <w:rPr/>
        <w:t>2005; 2006;Bonilla</w:t>
      </w:r>
      <w:r>
        <w:rPr>
          <w:spacing w:val="60"/>
        </w:rPr>
        <w:t> </w:t>
      </w:r>
      <w:r>
        <w:rPr>
          <w:i/>
        </w:rPr>
        <w:t>et al., </w:t>
      </w:r>
      <w:r>
        <w:rPr/>
        <w:t>2007). The work</w:t>
      </w:r>
      <w:r>
        <w:rPr>
          <w:spacing w:val="1"/>
        </w:rPr>
        <w:t> </w:t>
      </w:r>
      <w:r>
        <w:rPr/>
        <w:t>of Liu </w:t>
      </w:r>
      <w:r>
        <w:rPr>
          <w:i/>
        </w:rPr>
        <w:t>et al.</w:t>
      </w:r>
      <w:r>
        <w:rPr/>
        <w:t>(2006) revealed that the doubling time for the malaria parasite was longer for</w:t>
      </w:r>
      <w:r>
        <w:rPr>
          <w:spacing w:val="1"/>
        </w:rPr>
        <w:t> </w:t>
      </w:r>
      <w:r>
        <w:rPr/>
        <w:t>the plasmepsins/ falcipain knock- out (plasmepsin I, plasmepsin IV and falcipain-2) than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plasmepsin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falcipain</w:t>
      </w:r>
      <w:r>
        <w:rPr>
          <w:spacing w:val="1"/>
        </w:rPr>
        <w:t> </w:t>
      </w:r>
      <w:r>
        <w:rPr/>
        <w:t>knock-outs</w:t>
      </w:r>
      <w:r>
        <w:rPr>
          <w:spacing w:val="1"/>
        </w:rPr>
        <w:t> </w:t>
      </w:r>
      <w:r>
        <w:rPr/>
        <w:t>alone.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cocktail</w:t>
      </w:r>
      <w:r>
        <w:rPr>
          <w:spacing w:val="1"/>
        </w:rPr>
        <w:t> </w:t>
      </w:r>
      <w:r>
        <w:rPr/>
        <w:t>combining falcipain and plasmepsin inhibitors is important for inhibition to the level that</w:t>
      </w:r>
      <w:r>
        <w:rPr>
          <w:spacing w:val="1"/>
        </w:rPr>
        <w:t> </w:t>
      </w:r>
      <w:r>
        <w:rPr/>
        <w:t>will be lethal to the parasite. Hence, compound combining structural features that can bind</w:t>
      </w:r>
      <w:r>
        <w:rPr>
          <w:spacing w:val="-57"/>
        </w:rPr>
        <w:t> </w:t>
      </w:r>
      <w:r>
        <w:rPr/>
        <w:t>favourably to all the key proteases may perhaps be promising as dual target inhibitor.</w:t>
      </w:r>
      <w:r>
        <w:rPr>
          <w:spacing w:val="1"/>
        </w:rPr>
        <w:t> </w:t>
      </w:r>
      <w:r>
        <w:rPr/>
        <w:t>Therefore,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>
          <w:i/>
        </w:rPr>
        <w:t>insilico</w:t>
      </w:r>
      <w:r>
        <w:rPr>
          <w:i/>
          <w:spacing w:val="1"/>
        </w:rPr>
        <w:t> </w:t>
      </w:r>
      <w:r>
        <w:rPr/>
        <w:t>experiment</w:t>
      </w:r>
      <w:r>
        <w:rPr>
          <w:spacing w:val="1"/>
        </w:rPr>
        <w:t> </w:t>
      </w:r>
      <w:r>
        <w:rPr/>
        <w:t>(docking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simulation) to study the interaction of the chalcone derivatives with both falcipains (FP2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FP3) and plasmepsins (Plm-II and Plm-IV). This</w:t>
      </w:r>
      <w:r>
        <w:rPr>
          <w:spacing w:val="1"/>
        </w:rPr>
        <w:t> </w:t>
      </w:r>
      <w:r>
        <w:rPr/>
        <w:t>is to</w:t>
      </w:r>
      <w:r>
        <w:rPr>
          <w:spacing w:val="60"/>
        </w:rPr>
        <w:t> </w:t>
      </w:r>
      <w:r>
        <w:rPr/>
        <w:t>search for compounds with</w:t>
      </w:r>
      <w:r>
        <w:rPr>
          <w:spacing w:val="1"/>
        </w:rPr>
        <w:t> </w:t>
      </w:r>
      <w:r>
        <w:rPr/>
        <w:t>good binding affinity across all the targets (enzymes),with a view to gain insight into the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orientation,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stability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structural</w:t>
      </w:r>
      <w:r>
        <w:rPr>
          <w:spacing w:val="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interacting</w:t>
      </w:r>
      <w:r>
        <w:rPr>
          <w:spacing w:val="60"/>
        </w:rPr>
        <w:t> </w:t>
      </w:r>
      <w:r>
        <w:rPr/>
        <w:t>with</w:t>
      </w:r>
      <w:r>
        <w:rPr>
          <w:spacing w:val="60"/>
        </w:rPr>
        <w:t> </w:t>
      </w:r>
      <w:r>
        <w:rPr/>
        <w:t>each</w:t>
      </w:r>
      <w:r>
        <w:rPr>
          <w:spacing w:val="1"/>
        </w:rPr>
        <w:t> </w:t>
      </w:r>
      <w:r>
        <w:rPr/>
        <w:t>enzyme. Identification of molecular groups involved in the interactions of a chemical</w:t>
      </w:r>
      <w:r>
        <w:rPr>
          <w:spacing w:val="1"/>
        </w:rPr>
        <w:t> </w:t>
      </w:r>
      <w:r>
        <w:rPr/>
        <w:t>moiety 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helps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mechanism(s)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activities.</w:t>
      </w:r>
      <w:r>
        <w:rPr>
          <w:spacing w:val="61"/>
        </w:rPr>
        <w:t> </w:t>
      </w:r>
      <w:r>
        <w:rPr/>
        <w:t>Consequently,</w:t>
      </w:r>
      <w:r>
        <w:rPr>
          <w:spacing w:val="1"/>
        </w:rPr>
        <w:t> </w:t>
      </w:r>
      <w:r>
        <w:rPr/>
        <w:t>information acquired can help in re-designing new compounds consideringthe structural</w:t>
      </w:r>
      <w:r>
        <w:rPr>
          <w:spacing w:val="1"/>
        </w:rPr>
        <w:t> </w:t>
      </w:r>
      <w:r>
        <w:rPr/>
        <w:t>features having favorable interaction with key amino acids of the enzymes. Additionally,</w:t>
      </w:r>
      <w:r>
        <w:rPr>
          <w:spacing w:val="1"/>
        </w:rPr>
        <w:t> </w:t>
      </w:r>
      <w:r>
        <w:rPr/>
        <w:t>the binding orientation and interaction of the different compounds with good binding</w:t>
      </w:r>
      <w:r>
        <w:rPr>
          <w:spacing w:val="1"/>
        </w:rPr>
        <w:t> </w:t>
      </w:r>
      <w:r>
        <w:rPr/>
        <w:t>affinity across all the enzymes might explain the ambiguity regarding the substitution</w:t>
      </w:r>
      <w:r>
        <w:rPr>
          <w:spacing w:val="1"/>
        </w:rPr>
        <w:t> </w:t>
      </w:r>
      <w:r>
        <w:rPr/>
        <w:t>pattern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ring</w:t>
      </w:r>
      <w:r>
        <w:rPr>
          <w:spacing w:val="6"/>
        </w:rPr>
        <w:t> </w:t>
      </w:r>
      <w:r>
        <w:rPr/>
        <w:t>for</w:t>
      </w:r>
      <w:r>
        <w:rPr>
          <w:spacing w:val="2"/>
        </w:rPr>
        <w:t> </w:t>
      </w:r>
      <w:r>
        <w:rPr/>
        <w:t>better</w:t>
      </w:r>
      <w:r>
        <w:rPr>
          <w:spacing w:val="-1"/>
        </w:rPr>
        <w:t> </w:t>
      </w:r>
      <w:r>
        <w:rPr/>
        <w:t>activity.</w:t>
      </w:r>
    </w:p>
    <w:p>
      <w:pPr>
        <w:pStyle w:val="Heading1"/>
        <w:numPr>
          <w:ilvl w:val="1"/>
          <w:numId w:val="12"/>
        </w:numPr>
        <w:tabs>
          <w:tab w:pos="3526" w:val="left" w:leader="none"/>
        </w:tabs>
        <w:spacing w:line="240" w:lineRule="auto" w:before="206" w:after="0"/>
        <w:ind w:left="3525" w:right="0" w:hanging="366"/>
        <w:jc w:val="both"/>
      </w:pPr>
      <w:bookmarkStart w:name="_TOC_250065" w:id="28"/>
      <w:r>
        <w:rPr/>
        <w:t>Computational</w:t>
      </w:r>
      <w:r>
        <w:rPr>
          <w:spacing w:val="-9"/>
        </w:rPr>
        <w:t> </w:t>
      </w:r>
      <w:bookmarkEnd w:id="28"/>
      <w:r>
        <w:rPr/>
        <w:t>Chemistry</w:t>
      </w:r>
    </w:p>
    <w:p>
      <w:pPr>
        <w:pStyle w:val="BodyText"/>
        <w:spacing w:line="480" w:lineRule="auto" w:before="199"/>
        <w:ind w:left="312" w:right="695"/>
        <w:jc w:val="both"/>
      </w:pPr>
      <w:r>
        <w:rPr/>
        <w:t>Computational chemistry is a set of techniques for investigating chemical problems on a</w:t>
      </w:r>
      <w:r>
        <w:rPr>
          <w:spacing w:val="1"/>
        </w:rPr>
        <w:t> </w:t>
      </w:r>
      <w:r>
        <w:rPr/>
        <w:t>computer. Problems commonly investigated</w:t>
      </w:r>
      <w:r>
        <w:rPr>
          <w:spacing w:val="1"/>
        </w:rPr>
        <w:t> </w:t>
      </w:r>
      <w:r>
        <w:rPr/>
        <w:t>computationally are:</w:t>
      </w:r>
      <w:r>
        <w:rPr>
          <w:spacing w:val="1"/>
        </w:rPr>
        <w:t> </w:t>
      </w:r>
      <w:r>
        <w:rPr/>
        <w:t>molecular geometry,</w:t>
      </w:r>
      <w:r>
        <w:rPr>
          <w:spacing w:val="1"/>
        </w:rPr>
        <w:t> </w:t>
      </w:r>
      <w:r>
        <w:rPr/>
        <w:t>energies of molecules and transition states, chemical reactivity, IR, UV, and NMR spectra</w:t>
      </w:r>
      <w:r>
        <w:rPr>
          <w:spacing w:val="1"/>
        </w:rPr>
        <w:t> </w:t>
      </w:r>
      <w:r>
        <w:rPr/>
        <w:t>and,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interaction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a substrate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an</w:t>
      </w:r>
      <w:r>
        <w:rPr>
          <w:spacing w:val="-3"/>
        </w:rPr>
        <w:t> </w:t>
      </w:r>
      <w:r>
        <w:rPr/>
        <w:t>enzyme</w:t>
      </w:r>
      <w:r>
        <w:rPr>
          <w:spacing w:val="1"/>
        </w:rPr>
        <w:t> </w:t>
      </w:r>
      <w:r>
        <w:rPr/>
        <w:t>(Lewars,</w:t>
      </w:r>
      <w:r>
        <w:rPr>
          <w:spacing w:val="3"/>
        </w:rPr>
        <w:t> </w:t>
      </w:r>
      <w:r>
        <w:rPr/>
        <w:t>2016).</w:t>
      </w:r>
    </w:p>
    <w:p>
      <w:pPr>
        <w:spacing w:after="0" w:line="480" w:lineRule="auto"/>
        <w:jc w:val="both"/>
        <w:sectPr>
          <w:headerReference w:type="default" r:id="rId158"/>
          <w:footerReference w:type="default" r:id="rId159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9"/>
        <w:jc w:val="both"/>
      </w:pPr>
      <w:r>
        <w:rPr/>
        <w:t>Computational chemistry is</w:t>
      </w:r>
      <w:r>
        <w:rPr>
          <w:spacing w:val="1"/>
        </w:rPr>
        <w:t> </w:t>
      </w:r>
      <w:r>
        <w:rPr/>
        <w:t>fairly cheap,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 fast compared to experiment, and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environmentally safe. However, it does not replace experiment, which remains the final</w:t>
      </w:r>
      <w:r>
        <w:rPr>
          <w:spacing w:val="1"/>
        </w:rPr>
        <w:t> </w:t>
      </w:r>
      <w:r>
        <w:rPr/>
        <w:t>arbiter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truth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nature(Lewars,</w:t>
      </w:r>
      <w:r>
        <w:rPr>
          <w:spacing w:val="1"/>
        </w:rPr>
        <w:t> </w:t>
      </w:r>
      <w:r>
        <w:rPr/>
        <w:t>2016).</w:t>
      </w:r>
      <w:r>
        <w:rPr>
          <w:spacing w:val="1"/>
        </w:rPr>
        <w:t> </w:t>
      </w:r>
      <w:r>
        <w:rPr/>
        <w:t>Furthermore,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entity</w:t>
      </w:r>
      <w:r>
        <w:rPr>
          <w:spacing w:val="1"/>
        </w:rPr>
        <w:t> </w:t>
      </w:r>
      <w:r>
        <w:rPr/>
        <w:t>(drug/chemical) experiment is unavoidable. Today, computation has become so reliable in</w:t>
      </w:r>
      <w:r>
        <w:rPr>
          <w:spacing w:val="1"/>
        </w:rPr>
        <w:t> </w:t>
      </w:r>
      <w:r>
        <w:rPr/>
        <w:t>some respects that, more and more scientists are employing it before embarking on an</w:t>
      </w:r>
      <w:r>
        <w:rPr>
          <w:spacing w:val="1"/>
        </w:rPr>
        <w:t> </w:t>
      </w:r>
      <w:r>
        <w:rPr/>
        <w:t>experimental project, and in the future, grants for experimental work might depend on the</w:t>
      </w:r>
      <w:r>
        <w:rPr>
          <w:spacing w:val="1"/>
        </w:rPr>
        <w:t> </w:t>
      </w:r>
      <w:r>
        <w:rPr/>
        <w:t>extent</w:t>
      </w:r>
      <w:r>
        <w:rPr>
          <w:spacing w:val="5"/>
        </w:rPr>
        <w:t> </w:t>
      </w:r>
      <w:r>
        <w:rPr/>
        <w:t>one has</w:t>
      </w:r>
      <w:r>
        <w:rPr>
          <w:spacing w:val="-2"/>
        </w:rPr>
        <w:t> </w:t>
      </w:r>
      <w:r>
        <w:rPr/>
        <w:t>computationally</w:t>
      </w:r>
      <w:r>
        <w:rPr>
          <w:spacing w:val="-4"/>
        </w:rPr>
        <w:t> </w:t>
      </w:r>
      <w:r>
        <w:rPr/>
        <w:t>explored</w:t>
      </w:r>
      <w:r>
        <w:rPr>
          <w:spacing w:val="1"/>
        </w:rPr>
        <w:t> </w:t>
      </w:r>
      <w:r>
        <w:rPr/>
        <w:t>the feasibility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a proposal</w:t>
      </w:r>
      <w:r>
        <w:rPr>
          <w:spacing w:val="-8"/>
        </w:rPr>
        <w:t> </w:t>
      </w:r>
      <w:r>
        <w:rPr/>
        <w:t>(Lewars,</w:t>
      </w:r>
      <w:r>
        <w:rPr>
          <w:spacing w:val="14"/>
        </w:rPr>
        <w:t> </w:t>
      </w:r>
      <w:r>
        <w:rPr/>
        <w:t>2016).</w:t>
      </w:r>
    </w:p>
    <w:p>
      <w:pPr>
        <w:pStyle w:val="BodyText"/>
        <w:spacing w:line="480" w:lineRule="auto" w:before="203"/>
        <w:ind w:left="312" w:right="690"/>
        <w:jc w:val="both"/>
      </w:pPr>
      <w:r>
        <w:rPr/>
        <w:t>Computational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encompasses</w:t>
      </w:r>
      <w:r>
        <w:rPr>
          <w:spacing w:val="1"/>
        </w:rPr>
        <w:t> </w:t>
      </w:r>
      <w:r>
        <w:rPr/>
        <w:t>numerous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theories,</w:t>
      </w:r>
      <w:r>
        <w:rPr>
          <w:spacing w:val="6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quantum mechanics,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mechanics,</w:t>
      </w:r>
      <w:r>
        <w:rPr>
          <w:spacing w:val="1"/>
        </w:rPr>
        <w:t> </w:t>
      </w:r>
      <w:r>
        <w:rPr/>
        <w:t>conformational analysis,</w:t>
      </w:r>
      <w:r>
        <w:rPr>
          <w:spacing w:val="1"/>
        </w:rPr>
        <w:t> </w:t>
      </w:r>
      <w:r>
        <w:rPr/>
        <w:t>minimization and</w:t>
      </w:r>
      <w:r>
        <w:rPr>
          <w:spacing w:val="1"/>
        </w:rPr>
        <w:t> </w:t>
      </w:r>
      <w:r>
        <w:rPr/>
        <w:t>other computer-based methods for understanding and predicting the behavior of molecular</w:t>
      </w:r>
      <w:r>
        <w:rPr>
          <w:spacing w:val="-57"/>
        </w:rPr>
        <w:t> </w:t>
      </w:r>
      <w:r>
        <w:rPr/>
        <w:t>system to solve various chemical and biochemical problems (Cramer, 2013). Molecular</w:t>
      </w:r>
      <w:r>
        <w:rPr>
          <w:spacing w:val="1"/>
        </w:rPr>
        <w:t> </w:t>
      </w:r>
      <w:r>
        <w:rPr/>
        <w:t>modelers</w:t>
      </w:r>
      <w:r>
        <w:rPr>
          <w:spacing w:val="1"/>
        </w:rPr>
        <w:t> </w:t>
      </w:r>
      <w:r>
        <w:rPr/>
        <w:t>employ</w:t>
      </w:r>
      <w:r>
        <w:rPr>
          <w:spacing w:val="1"/>
        </w:rPr>
        <w:t> </w:t>
      </w:r>
      <w:r>
        <w:rPr/>
        <w:t>computational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generate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volumes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information atan atomic and molecular level on the behavior of atoms and molecules. An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atomic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quite</w:t>
      </w:r>
      <w:r>
        <w:rPr>
          <w:spacing w:val="1"/>
        </w:rPr>
        <w:t> </w:t>
      </w:r>
      <w:r>
        <w:rPr/>
        <w:t>essential.</w:t>
      </w:r>
      <w:r>
        <w:rPr>
          <w:spacing w:val="1"/>
        </w:rPr>
        <w:t> </w:t>
      </w:r>
      <w:r>
        <w:rPr/>
        <w:t>Atomic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described</w:t>
      </w:r>
      <w:r>
        <w:rPr>
          <w:spacing w:val="3"/>
        </w:rPr>
        <w:t> </w:t>
      </w:r>
      <w:r>
        <w:rPr/>
        <w:t>in</w:t>
      </w:r>
      <w:r>
        <w:rPr>
          <w:spacing w:val="-6"/>
        </w:rPr>
        <w:t> </w:t>
      </w:r>
      <w:r>
        <w:rPr/>
        <w:t>two</w:t>
      </w:r>
      <w:r>
        <w:rPr>
          <w:spacing w:val="4"/>
        </w:rPr>
        <w:t> </w:t>
      </w:r>
      <w:r>
        <w:rPr/>
        <w:t>ways;</w:t>
      </w:r>
      <w:r>
        <w:rPr>
          <w:spacing w:val="-6"/>
        </w:rPr>
        <w:t> </w:t>
      </w:r>
      <w:r>
        <w:rPr/>
        <w:t>quantum</w:t>
      </w:r>
      <w:r>
        <w:rPr>
          <w:spacing w:val="-5"/>
        </w:rPr>
        <w:t> </w:t>
      </w:r>
      <w:r>
        <w:rPr/>
        <w:t>mechanics</w:t>
      </w:r>
      <w:r>
        <w:rPr>
          <w:spacing w:val="-2"/>
        </w:rPr>
        <w:t> </w:t>
      </w:r>
      <w:r>
        <w:rPr/>
        <w:t>(QM) and</w:t>
      </w:r>
      <w:r>
        <w:rPr>
          <w:spacing w:val="3"/>
        </w:rPr>
        <w:t> </w:t>
      </w:r>
      <w:r>
        <w:rPr/>
        <w:t>molecular</w:t>
      </w:r>
      <w:r>
        <w:rPr>
          <w:spacing w:val="5"/>
        </w:rPr>
        <w:t> </w:t>
      </w:r>
      <w:r>
        <w:rPr/>
        <w:t>mechanics</w:t>
      </w:r>
      <w:r>
        <w:rPr>
          <w:spacing w:val="-2"/>
        </w:rPr>
        <w:t> </w:t>
      </w:r>
      <w:r>
        <w:rPr/>
        <w:t>(MM).</w:t>
      </w:r>
    </w:p>
    <w:p>
      <w:pPr>
        <w:pStyle w:val="BodyText"/>
        <w:spacing w:line="480" w:lineRule="auto" w:before="198"/>
        <w:ind w:left="312" w:right="685"/>
        <w:jc w:val="both"/>
      </w:pPr>
      <w:r>
        <w:rPr/>
        <w:t>Therefore, from a computational perspective, a researcher has two options when trying to</w:t>
      </w:r>
      <w:r>
        <w:rPr>
          <w:spacing w:val="1"/>
        </w:rPr>
        <w:t> </w:t>
      </w:r>
      <w:r>
        <w:rPr/>
        <w:t>answer questions about</w:t>
      </w:r>
      <w:r>
        <w:rPr>
          <w:spacing w:val="1"/>
        </w:rPr>
        <w:t> </w:t>
      </w:r>
      <w:r>
        <w:rPr/>
        <w:t>a biomolecular system.</w:t>
      </w:r>
      <w:r>
        <w:rPr>
          <w:spacing w:val="1"/>
        </w:rPr>
        <w:t> </w:t>
      </w:r>
      <w:r>
        <w:rPr/>
        <w:t>One is to</w:t>
      </w:r>
      <w:r>
        <w:rPr>
          <w:spacing w:val="60"/>
        </w:rPr>
        <w:t> </w:t>
      </w:r>
      <w:r>
        <w:rPr/>
        <w:t>adhere to the fundamental laws</w:t>
      </w:r>
      <w:r>
        <w:rPr>
          <w:spacing w:val="1"/>
        </w:rPr>
        <w:t> </w:t>
      </w:r>
      <w:r>
        <w:rPr/>
        <w:t>of physics that govern the behavior of electrons such as Schrödinger ‗s equation, solving</w:t>
      </w:r>
      <w:r>
        <w:rPr>
          <w:spacing w:val="1"/>
        </w:rPr>
        <w:t> </w:t>
      </w:r>
      <w:r>
        <w:rPr/>
        <w:t>the problem using quantum chemistry and physics that is the quantum mechanics (QM)</w:t>
      </w:r>
      <w:r>
        <w:rPr>
          <w:spacing w:val="1"/>
        </w:rPr>
        <w:t> </w:t>
      </w:r>
      <w:r>
        <w:rPr/>
        <w:t>approach. The QM approach however, even in its most simplistic form is computationally</w:t>
      </w:r>
      <w:r>
        <w:rPr>
          <w:spacing w:val="1"/>
        </w:rPr>
        <w:t> </w:t>
      </w:r>
      <w:r>
        <w:rPr/>
        <w:t>expensive and time-consuming; and is not feasible for biological systems which contain</w:t>
      </w:r>
      <w:r>
        <w:rPr>
          <w:spacing w:val="1"/>
        </w:rPr>
        <w:t> </w:t>
      </w:r>
      <w:r>
        <w:rPr/>
        <w:t>thousands of atoms. Alternatively, the second approach is to use molecular mechanics</w:t>
      </w:r>
      <w:r>
        <w:rPr>
          <w:spacing w:val="1"/>
        </w:rPr>
        <w:t> </w:t>
      </w:r>
      <w:r>
        <w:rPr/>
        <w:t>(MM) approach, which is essentially a mechanical model of a molecule, envisioned as a</w:t>
      </w:r>
      <w:r>
        <w:rPr>
          <w:spacing w:val="1"/>
        </w:rPr>
        <w:t> </w:t>
      </w:r>
      <w:r>
        <w:rPr/>
        <w:t>collection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balls</w:t>
      </w:r>
      <w:r>
        <w:rPr>
          <w:spacing w:val="-1"/>
        </w:rPr>
        <w:t> </w:t>
      </w:r>
      <w:r>
        <w:rPr/>
        <w:t>(atoms)</w:t>
      </w:r>
      <w:r>
        <w:rPr>
          <w:spacing w:val="3"/>
        </w:rPr>
        <w:t> </w:t>
      </w:r>
      <w:r>
        <w:rPr/>
        <w:t>which</w:t>
      </w:r>
      <w:r>
        <w:rPr>
          <w:spacing w:val="-4"/>
        </w:rPr>
        <w:t> </w:t>
      </w:r>
      <w:r>
        <w:rPr/>
        <w:t>are</w:t>
      </w:r>
      <w:r>
        <w:rPr>
          <w:spacing w:val="5"/>
        </w:rPr>
        <w:t> </w:t>
      </w:r>
      <w:r>
        <w:rPr/>
        <w:t>held</w:t>
      </w:r>
      <w:r>
        <w:rPr>
          <w:spacing w:val="2"/>
        </w:rPr>
        <w:t> </w:t>
      </w:r>
      <w:r>
        <w:rPr/>
        <w:t>together</w:t>
      </w:r>
      <w:r>
        <w:rPr>
          <w:spacing w:val="2"/>
        </w:rPr>
        <w:t> </w:t>
      </w:r>
      <w:r>
        <w:rPr/>
        <w:t>by</w:t>
      </w:r>
      <w:r>
        <w:rPr>
          <w:spacing w:val="-4"/>
        </w:rPr>
        <w:t> </w:t>
      </w:r>
      <w:r>
        <w:rPr/>
        <w:t>springs</w:t>
      </w:r>
      <w:r>
        <w:rPr>
          <w:spacing w:val="-1"/>
        </w:rPr>
        <w:t> </w:t>
      </w:r>
      <w:r>
        <w:rPr/>
        <w:t>(bonds);</w:t>
      </w:r>
      <w:r>
        <w:rPr>
          <w:spacing w:val="-3"/>
        </w:rPr>
        <w:t> </w:t>
      </w:r>
      <w:r>
        <w:rPr/>
        <w:t>adhering</w:t>
      </w:r>
      <w:r>
        <w:rPr>
          <w:spacing w:val="1"/>
        </w:rPr>
        <w:t> </w:t>
      </w:r>
      <w:r>
        <w:rPr/>
        <w:t>to</w:t>
      </w:r>
      <w:r>
        <w:rPr>
          <w:spacing w:val="18"/>
        </w:rPr>
        <w:t> </w:t>
      </w:r>
      <w:r>
        <w:rPr/>
        <w:t>Newton</w:t>
      </w:r>
    </w:p>
    <w:p>
      <w:pPr>
        <w:pStyle w:val="BodyText"/>
        <w:spacing w:before="2"/>
        <w:ind w:left="312"/>
        <w:jc w:val="both"/>
      </w:pPr>
      <w:r>
        <w:rPr/>
        <w:t>‗s</w:t>
      </w:r>
      <w:r>
        <w:rPr>
          <w:spacing w:val="41"/>
        </w:rPr>
        <w:t> </w:t>
      </w:r>
      <w:r>
        <w:rPr/>
        <w:t>laws</w:t>
      </w:r>
      <w:r>
        <w:rPr>
          <w:spacing w:val="36"/>
        </w:rPr>
        <w:t> </w:t>
      </w:r>
      <w:r>
        <w:rPr/>
        <w:t>of</w:t>
      </w:r>
      <w:r>
        <w:rPr>
          <w:spacing w:val="31"/>
        </w:rPr>
        <w:t> </w:t>
      </w:r>
      <w:r>
        <w:rPr/>
        <w:t>classical</w:t>
      </w:r>
      <w:r>
        <w:rPr>
          <w:spacing w:val="35"/>
        </w:rPr>
        <w:t> </w:t>
      </w:r>
      <w:r>
        <w:rPr/>
        <w:t>mechanics.</w:t>
      </w:r>
      <w:r>
        <w:rPr>
          <w:spacing w:val="40"/>
        </w:rPr>
        <w:t> </w:t>
      </w:r>
      <w:r>
        <w:rPr/>
        <w:t>This</w:t>
      </w:r>
      <w:r>
        <w:rPr>
          <w:spacing w:val="41"/>
        </w:rPr>
        <w:t> </w:t>
      </w:r>
      <w:r>
        <w:rPr/>
        <w:t>mechanical</w:t>
      </w:r>
      <w:r>
        <w:rPr>
          <w:spacing w:val="39"/>
        </w:rPr>
        <w:t> </w:t>
      </w:r>
      <w:r>
        <w:rPr/>
        <w:t>system</w:t>
      </w:r>
      <w:r>
        <w:rPr>
          <w:spacing w:val="30"/>
        </w:rPr>
        <w:t> </w:t>
      </w:r>
      <w:r>
        <w:rPr/>
        <w:t>rotates,</w:t>
      </w:r>
      <w:r>
        <w:rPr>
          <w:spacing w:val="41"/>
        </w:rPr>
        <w:t> </w:t>
      </w:r>
      <w:r>
        <w:rPr/>
        <w:t>vibrates</w:t>
      </w:r>
      <w:r>
        <w:rPr>
          <w:spacing w:val="36"/>
        </w:rPr>
        <w:t> </w:t>
      </w:r>
      <w:r>
        <w:rPr/>
        <w:t>and</w:t>
      </w:r>
      <w:r>
        <w:rPr>
          <w:spacing w:val="39"/>
        </w:rPr>
        <w:t> </w:t>
      </w:r>
      <w:r>
        <w:rPr/>
        <w:t>translates</w:t>
      </w:r>
    </w:p>
    <w:p>
      <w:pPr>
        <w:spacing w:after="0"/>
        <w:jc w:val="both"/>
        <w:sectPr>
          <w:headerReference w:type="default" r:id="rId160"/>
          <w:footerReference w:type="default" r:id="rId161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3"/>
        <w:jc w:val="both"/>
      </w:pPr>
      <w:r>
        <w:rPr/>
        <w:t>until an energetically favorable conformation is reached while inter- and intra- molecular</w:t>
      </w:r>
      <w:r>
        <w:rPr>
          <w:spacing w:val="1"/>
        </w:rPr>
        <w:t> </w:t>
      </w:r>
      <w:r>
        <w:rPr/>
        <w:t>forces act on the system. MM provides an understanding of the mechanical nature of</w:t>
      </w:r>
      <w:r>
        <w:rPr>
          <w:spacing w:val="1"/>
        </w:rPr>
        <w:t> </w:t>
      </w:r>
      <w:r>
        <w:rPr/>
        <w:t>proteins, and provides insights into the changes in the cellular structure, cellular responses</w:t>
      </w:r>
      <w:r>
        <w:rPr>
          <w:spacing w:val="1"/>
        </w:rPr>
        <w:t> </w:t>
      </w:r>
      <w:r>
        <w:rPr/>
        <w:t>and cellular functions of a protein (Bao and Suresh, 2003). Molecular mechanics is the</w:t>
      </w:r>
      <w:r>
        <w:rPr>
          <w:spacing w:val="1"/>
        </w:rPr>
        <w:t> </w:t>
      </w:r>
      <w:r>
        <w:rPr/>
        <w:t>more popular of the methodsused as it is simpler to use and requires considerably less</w:t>
      </w:r>
      <w:r>
        <w:rPr>
          <w:spacing w:val="1"/>
        </w:rPr>
        <w:t> </w:t>
      </w:r>
      <w:r>
        <w:rPr/>
        <w:t>computing time toproduce a model. Using this model, total energy of the system may be</w:t>
      </w:r>
      <w:r>
        <w:rPr>
          <w:spacing w:val="1"/>
        </w:rPr>
        <w:t> </w:t>
      </w:r>
      <w:r>
        <w:rPr/>
        <w:t>expressed</w:t>
      </w:r>
      <w:r>
        <w:rPr>
          <w:spacing w:val="5"/>
        </w:rPr>
        <w:t> </w:t>
      </w:r>
      <w:r>
        <w:rPr/>
        <w:t>mathematically</w:t>
      </w:r>
      <w:r>
        <w:rPr>
          <w:spacing w:val="-4"/>
        </w:rPr>
        <w:t> </w:t>
      </w:r>
      <w:r>
        <w:rPr/>
        <w:t>by</w:t>
      </w:r>
      <w:r>
        <w:rPr>
          <w:spacing w:val="-3"/>
        </w:rPr>
        <w:t> </w:t>
      </w:r>
      <w:r>
        <w:rPr/>
        <w:t>equations</w:t>
      </w:r>
      <w:r>
        <w:rPr>
          <w:spacing w:val="3"/>
        </w:rPr>
        <w:t> </w:t>
      </w:r>
      <w:r>
        <w:rPr/>
        <w:t>known</w:t>
      </w:r>
      <w:r>
        <w:rPr>
          <w:spacing w:val="-5"/>
        </w:rPr>
        <w:t> </w:t>
      </w:r>
      <w:r>
        <w:rPr/>
        <w:t>as</w:t>
      </w:r>
      <w:r>
        <w:rPr>
          <w:spacing w:val="4"/>
        </w:rPr>
        <w:t> </w:t>
      </w:r>
      <w:r>
        <w:rPr/>
        <w:t>force fields.</w:t>
      </w:r>
    </w:p>
    <w:p>
      <w:pPr>
        <w:pStyle w:val="BodyText"/>
        <w:spacing w:line="480" w:lineRule="auto" w:before="203"/>
        <w:ind w:left="312" w:right="694"/>
        <w:jc w:val="both"/>
      </w:pPr>
      <w:r>
        <w:rPr/>
        <w:t>Force fields (interatomic potentials)</w:t>
      </w:r>
      <w:r>
        <w:rPr>
          <w:spacing w:val="1"/>
        </w:rPr>
        <w:t> </w:t>
      </w:r>
      <w:r>
        <w:rPr/>
        <w:t>are the</w:t>
      </w:r>
      <w:r>
        <w:rPr>
          <w:spacing w:val="1"/>
        </w:rPr>
        <w:t> </w:t>
      </w:r>
      <w:r>
        <w:rPr/>
        <w:t>mathematical description that</w:t>
      </w:r>
      <w:r>
        <w:rPr>
          <w:spacing w:val="1"/>
        </w:rPr>
        <w:t> </w:t>
      </w:r>
      <w:r>
        <w:rPr/>
        <w:t>models the</w:t>
      </w:r>
      <w:r>
        <w:rPr>
          <w:spacing w:val="1"/>
        </w:rPr>
        <w:t> </w:t>
      </w:r>
      <w:r>
        <w:rPr/>
        <w:t>interactions between molecules at an atomistic level; it</w:t>
      </w:r>
      <w:r>
        <w:rPr>
          <w:spacing w:val="1"/>
        </w:rPr>
        <w:t> </w:t>
      </w:r>
      <w:r>
        <w:rPr/>
        <w:t>is the functional forms of the</w:t>
      </w:r>
      <w:r>
        <w:rPr>
          <w:spacing w:val="1"/>
        </w:rPr>
        <w:t> </w:t>
      </w:r>
      <w:r>
        <w:rPr/>
        <w:t>potential energy function that predicts the molecular energy of a system in relation to</w:t>
      </w:r>
      <w:r>
        <w:rPr>
          <w:spacing w:val="1"/>
        </w:rPr>
        <w:t> </w:t>
      </w:r>
      <w:r>
        <w:rPr/>
        <w:t>specific particle coordinates. Even though each force field uses different functional forms</w:t>
      </w:r>
      <w:r>
        <w:rPr>
          <w:spacing w:val="1"/>
        </w:rPr>
        <w:t> </w:t>
      </w:r>
      <w:r>
        <w:rPr/>
        <w:t>each equation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always</w:t>
      </w:r>
      <w:r>
        <w:rPr>
          <w:spacing w:val="1"/>
        </w:rPr>
        <w:t> </w:t>
      </w:r>
      <w:r>
        <w:rPr/>
        <w:t>comprised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bonded</w:t>
      </w:r>
      <w:r>
        <w:rPr>
          <w:spacing w:val="1"/>
        </w:rPr>
        <w:t> </w:t>
      </w:r>
      <w:r>
        <w:rPr/>
        <w:t>terms (bond</w:t>
      </w:r>
      <w:r>
        <w:rPr>
          <w:spacing w:val="1"/>
        </w:rPr>
        <w:t> </w:t>
      </w:r>
      <w:r>
        <w:rPr/>
        <w:t>lengths,</w:t>
      </w:r>
      <w:r>
        <w:rPr>
          <w:spacing w:val="1"/>
        </w:rPr>
        <w:t> </w:t>
      </w:r>
      <w:r>
        <w:rPr/>
        <w:t>bond</w:t>
      </w:r>
      <w:r>
        <w:rPr>
          <w:spacing w:val="1"/>
        </w:rPr>
        <w:t> </w:t>
      </w:r>
      <w:r>
        <w:rPr/>
        <w:t>angles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torsions) and non-bonded terms (electrostatic and van der Waals) (Equation 1 and 2 )</w:t>
      </w:r>
      <w:r>
        <w:rPr>
          <w:spacing w:val="1"/>
        </w:rPr>
        <w:t> </w:t>
      </w:r>
      <w:r>
        <w:rPr/>
        <w:t>(Jensen,</w:t>
      </w:r>
      <w:r>
        <w:rPr>
          <w:spacing w:val="3"/>
        </w:rPr>
        <w:t> </w:t>
      </w:r>
      <w:r>
        <w:rPr/>
        <w:t>1999).</w:t>
      </w:r>
    </w:p>
    <w:p>
      <w:pPr>
        <w:spacing w:before="193"/>
        <w:ind w:left="312" w:right="0" w:firstLine="0"/>
        <w:jc w:val="both"/>
        <w:rPr>
          <w:sz w:val="24"/>
        </w:rPr>
      </w:pPr>
      <w:r>
        <w:rPr>
          <w:rFonts w:ascii="Cambria Math" w:hAnsi="Cambria Math" w:eastAsia="Cambria Math"/>
          <w:position w:val="3"/>
          <w:sz w:val="24"/>
        </w:rPr>
        <w:t>𝑬</w:t>
      </w:r>
      <w:r>
        <w:rPr>
          <w:rFonts w:ascii="Cambria Math" w:hAnsi="Cambria Math" w:eastAsia="Cambria Math"/>
          <w:position w:val="1"/>
          <w:sz w:val="16"/>
        </w:rPr>
        <w:t>𝑡𝑜𝑡𝑎𝑙</w:t>
      </w:r>
      <w:r>
        <w:rPr>
          <w:rFonts w:ascii="Cambria Math" w:hAnsi="Cambria Math" w:eastAsia="Cambria Math"/>
          <w:spacing w:val="22"/>
          <w:position w:val="1"/>
          <w:sz w:val="16"/>
        </w:rPr>
        <w:t> </w:t>
      </w:r>
      <w:r>
        <w:rPr>
          <w:position w:val="3"/>
          <w:sz w:val="24"/>
        </w:rPr>
        <w:t>=</w:t>
      </w:r>
      <w:r>
        <w:rPr>
          <w:spacing w:val="-2"/>
          <w:position w:val="3"/>
          <w:sz w:val="24"/>
        </w:rPr>
        <w:t> </w:t>
      </w:r>
      <w:r>
        <w:rPr>
          <w:rFonts w:ascii="Cambria Math" w:hAnsi="Cambria Math" w:eastAsia="Cambria Math"/>
          <w:position w:val="3"/>
          <w:sz w:val="24"/>
        </w:rPr>
        <w:t>𝑬</w:t>
      </w:r>
      <w:r>
        <w:rPr>
          <w:rFonts w:ascii="Cambria Math" w:hAnsi="Cambria Math" w:eastAsia="Cambria Math"/>
          <w:position w:val="1"/>
          <w:sz w:val="16"/>
        </w:rPr>
        <w:t>𝑏𝑜𝑛𝑑𝑒𝑑</w:t>
      </w:r>
      <w:r>
        <w:rPr>
          <w:rFonts w:ascii="Cambria Math" w:hAnsi="Cambria Math" w:eastAsia="Cambria Math"/>
          <w:spacing w:val="24"/>
          <w:position w:val="1"/>
          <w:sz w:val="16"/>
        </w:rPr>
        <w:t> </w:t>
      </w:r>
      <w:r>
        <w:rPr>
          <w:position w:val="3"/>
          <w:sz w:val="24"/>
        </w:rPr>
        <w:t>+</w:t>
      </w:r>
      <w:r>
        <w:rPr>
          <w:spacing w:val="-1"/>
          <w:position w:val="3"/>
          <w:sz w:val="24"/>
        </w:rPr>
        <w:t> </w:t>
      </w:r>
      <w:r>
        <w:rPr>
          <w:rFonts w:ascii="Cambria Math" w:hAnsi="Cambria Math" w:eastAsia="Cambria Math"/>
          <w:position w:val="1"/>
          <w:sz w:val="16"/>
        </w:rPr>
        <w:t>𝑬𝑛𝑜𝑛</w:t>
      </w:r>
      <w:r>
        <w:rPr>
          <w:sz w:val="16"/>
        </w:rPr>
        <w:t>−</w:t>
      </w:r>
      <w:r>
        <w:rPr>
          <w:rFonts w:ascii="Cambria Math" w:hAnsi="Cambria Math" w:eastAsia="Cambria Math"/>
          <w:position w:val="1"/>
          <w:sz w:val="16"/>
        </w:rPr>
        <w:t>𝑏𝑜𝑛𝑑𝑒𝑑</w:t>
      </w:r>
      <w:r>
        <w:rPr>
          <w:rFonts w:ascii="Cambria Math" w:hAnsi="Cambria Math" w:eastAsia="Cambria Math"/>
          <w:spacing w:val="24"/>
          <w:position w:val="1"/>
          <w:sz w:val="16"/>
        </w:rPr>
        <w:t> </w:t>
      </w:r>
      <w:r>
        <w:rPr>
          <w:position w:val="3"/>
          <w:sz w:val="24"/>
        </w:rPr>
        <w:t>(1)</w:t>
      </w:r>
    </w:p>
    <w:p>
      <w:pPr>
        <w:pStyle w:val="BodyText"/>
        <w:spacing w:before="11"/>
        <w:rPr>
          <w:sz w:val="40"/>
        </w:rPr>
      </w:pPr>
    </w:p>
    <w:p>
      <w:pPr>
        <w:spacing w:before="0"/>
        <w:ind w:left="312" w:right="0" w:firstLine="0"/>
        <w:jc w:val="both"/>
        <w:rPr>
          <w:sz w:val="24"/>
        </w:rPr>
      </w:pPr>
      <w:r>
        <w:rPr>
          <w:rFonts w:ascii="Cambria Math" w:eastAsia="Cambria Math"/>
          <w:position w:val="2"/>
          <w:sz w:val="24"/>
        </w:rPr>
        <w:t>𝑬</w:t>
      </w:r>
      <w:r>
        <w:rPr>
          <w:rFonts w:ascii="Cambria Math" w:eastAsia="Cambria Math"/>
          <w:sz w:val="16"/>
        </w:rPr>
        <w:t>𝑡𝑜𝑡𝑎𝑙</w:t>
      </w:r>
      <w:r>
        <w:rPr>
          <w:position w:val="2"/>
          <w:sz w:val="24"/>
        </w:rPr>
        <w:t>=</w:t>
      </w:r>
      <w:r>
        <w:rPr>
          <w:spacing w:val="-5"/>
          <w:position w:val="2"/>
          <w:sz w:val="24"/>
        </w:rPr>
        <w:t> </w:t>
      </w:r>
      <w:r>
        <w:rPr>
          <w:rFonts w:ascii="Cambria Math" w:eastAsia="Cambria Math"/>
          <w:position w:val="2"/>
          <w:sz w:val="24"/>
        </w:rPr>
        <w:t>𝑬</w:t>
      </w:r>
      <w:r>
        <w:rPr>
          <w:rFonts w:ascii="Cambria Math" w:eastAsia="Cambria Math"/>
          <w:sz w:val="16"/>
        </w:rPr>
        <w:t>𝑠𝑡𝑟𝑒𝑡𝑐𝑕</w:t>
      </w:r>
      <w:r>
        <w:rPr>
          <w:position w:val="2"/>
          <w:sz w:val="24"/>
        </w:rPr>
        <w:t>+</w:t>
      </w:r>
      <w:r>
        <w:rPr>
          <w:spacing w:val="-5"/>
          <w:position w:val="2"/>
          <w:sz w:val="24"/>
        </w:rPr>
        <w:t> </w:t>
      </w:r>
      <w:r>
        <w:rPr>
          <w:rFonts w:ascii="Cambria Math" w:eastAsia="Cambria Math"/>
          <w:position w:val="2"/>
          <w:sz w:val="24"/>
        </w:rPr>
        <w:t>𝑬</w:t>
      </w:r>
      <w:r>
        <w:rPr>
          <w:rFonts w:ascii="Cambria Math" w:eastAsia="Cambria Math"/>
          <w:sz w:val="16"/>
        </w:rPr>
        <w:t>𝑏𝑒𝑛𝑑</w:t>
      </w:r>
      <w:r>
        <w:rPr>
          <w:position w:val="2"/>
          <w:sz w:val="24"/>
        </w:rPr>
        <w:t>+</w:t>
      </w:r>
      <w:r>
        <w:rPr>
          <w:spacing w:val="-4"/>
          <w:position w:val="2"/>
          <w:sz w:val="24"/>
        </w:rPr>
        <w:t> </w:t>
      </w:r>
      <w:r>
        <w:rPr>
          <w:rFonts w:ascii="Cambria Math" w:eastAsia="Cambria Math"/>
          <w:position w:val="2"/>
          <w:sz w:val="24"/>
        </w:rPr>
        <w:t>𝑬</w:t>
      </w:r>
      <w:r>
        <w:rPr>
          <w:rFonts w:ascii="Cambria Math" w:eastAsia="Cambria Math"/>
          <w:sz w:val="16"/>
        </w:rPr>
        <w:t>𝑡𝑜𝑟𝑠𝑖𝑜𝑛</w:t>
      </w:r>
      <w:r>
        <w:rPr>
          <w:position w:val="2"/>
          <w:sz w:val="24"/>
        </w:rPr>
        <w:t>+</w:t>
      </w:r>
      <w:r>
        <w:rPr>
          <w:spacing w:val="-5"/>
          <w:position w:val="2"/>
          <w:sz w:val="24"/>
        </w:rPr>
        <w:t> </w:t>
      </w:r>
      <w:r>
        <w:rPr>
          <w:rFonts w:ascii="Cambria Math" w:eastAsia="Cambria Math"/>
          <w:position w:val="2"/>
          <w:sz w:val="24"/>
        </w:rPr>
        <w:t>𝑬</w:t>
      </w:r>
      <w:r>
        <w:rPr>
          <w:rFonts w:ascii="Cambria Math" w:eastAsia="Cambria Math"/>
          <w:sz w:val="16"/>
        </w:rPr>
        <w:t>𝑒𝑙𝑒𝑐𝑡𝑟𝑜𝑠𝑡𝑎𝑡𝑖𝑐</w:t>
      </w:r>
      <w:r>
        <w:rPr>
          <w:position w:val="2"/>
          <w:sz w:val="24"/>
        </w:rPr>
        <w:t>+</w:t>
      </w:r>
      <w:r>
        <w:rPr>
          <w:spacing w:val="-5"/>
          <w:position w:val="2"/>
          <w:sz w:val="24"/>
        </w:rPr>
        <w:t> </w:t>
      </w:r>
      <w:r>
        <w:rPr>
          <w:rFonts w:ascii="Cambria Math" w:eastAsia="Cambria Math"/>
          <w:position w:val="2"/>
          <w:sz w:val="24"/>
        </w:rPr>
        <w:t>𝑬</w:t>
      </w:r>
      <w:r>
        <w:rPr>
          <w:rFonts w:ascii="Cambria Math" w:eastAsia="Cambria Math"/>
          <w:sz w:val="16"/>
        </w:rPr>
        <w:t>𝑣𝑑𝑊</w:t>
      </w:r>
      <w:r>
        <w:rPr>
          <w:rFonts w:ascii="Cambria Math" w:eastAsia="Cambria Math"/>
          <w:spacing w:val="20"/>
          <w:sz w:val="16"/>
        </w:rPr>
        <w:t> </w:t>
      </w:r>
      <w:r>
        <w:rPr>
          <w:position w:val="2"/>
          <w:sz w:val="24"/>
        </w:rPr>
        <w:t>(2)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86"/>
        <w:ind w:left="312" w:right="689"/>
        <w:jc w:val="both"/>
      </w:pPr>
      <w:r>
        <w:rPr/>
        <w:t>Where, E</w:t>
      </w:r>
      <w:r>
        <w:rPr>
          <w:vertAlign w:val="subscript"/>
        </w:rPr>
        <w:t>total</w:t>
      </w:r>
      <w:r>
        <w:rPr>
          <w:vertAlign w:val="baseline"/>
        </w:rPr>
        <w:t> represents the total energy of the systems. E</w:t>
      </w:r>
      <w:r>
        <w:rPr>
          <w:vertAlign w:val="subscript"/>
        </w:rPr>
        <w:t>stretch</w:t>
      </w:r>
      <w:r>
        <w:rPr>
          <w:vertAlign w:val="baseline"/>
        </w:rPr>
        <w:t> is the energy contribution</w:t>
      </w:r>
      <w:r>
        <w:rPr>
          <w:spacing w:val="1"/>
          <w:vertAlign w:val="baseline"/>
        </w:rPr>
        <w:t> </w:t>
      </w:r>
      <w:r>
        <w:rPr>
          <w:vertAlign w:val="baseline"/>
        </w:rPr>
        <w:t>from bond stretching, E</w:t>
      </w:r>
      <w:r>
        <w:rPr>
          <w:vertAlign w:val="subscript"/>
        </w:rPr>
        <w:t>bend</w:t>
      </w:r>
      <w:r>
        <w:rPr>
          <w:vertAlign w:val="baseline"/>
        </w:rPr>
        <w:t> is the energy contribution from angle bending, E</w:t>
      </w:r>
      <w:r>
        <w:rPr>
          <w:vertAlign w:val="subscript"/>
        </w:rPr>
        <w:t>torsion</w:t>
      </w:r>
      <w:r>
        <w:rPr>
          <w:vertAlign w:val="baseline"/>
        </w:rPr>
        <w:t> is the</w:t>
      </w:r>
      <w:r>
        <w:rPr>
          <w:spacing w:val="1"/>
          <w:vertAlign w:val="baseline"/>
        </w:rPr>
        <w:t> </w:t>
      </w:r>
      <w:r>
        <w:rPr>
          <w:vertAlign w:val="baseline"/>
        </w:rPr>
        <w:t>energy contribution from torsional motions around single bonds; these make up the energy</w:t>
      </w:r>
      <w:r>
        <w:rPr>
          <w:spacing w:val="-57"/>
          <w:vertAlign w:val="baseline"/>
        </w:rPr>
        <w:t> </w:t>
      </w:r>
      <w:r>
        <w:rPr>
          <w:vertAlign w:val="baseline"/>
        </w:rPr>
        <w:t>contributions from bonded interactions, E</w:t>
      </w:r>
      <w:r>
        <w:rPr>
          <w:vertAlign w:val="subscript"/>
        </w:rPr>
        <w:t>bonded</w:t>
      </w:r>
      <w:r>
        <w:rPr>
          <w:vertAlign w:val="baseline"/>
        </w:rPr>
        <w:t> (Equation 1). E</w:t>
      </w:r>
      <w:r>
        <w:rPr>
          <w:vertAlign w:val="subscript"/>
        </w:rPr>
        <w:t>non-bonded</w:t>
      </w:r>
      <w:r>
        <w:rPr>
          <w:vertAlign w:val="baseline"/>
        </w:rPr>
        <w:t>, is the interactions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 atoms that are not directly bonded together, it is made up of E</w:t>
      </w:r>
      <w:r>
        <w:rPr>
          <w:vertAlign w:val="subscript"/>
        </w:rPr>
        <w:t>electrostatic</w:t>
      </w:r>
      <w:r>
        <w:rPr>
          <w:vertAlign w:val="baseline"/>
        </w:rPr>
        <w:t>and E</w:t>
      </w:r>
      <w:r>
        <w:rPr>
          <w:vertAlign w:val="subscript"/>
        </w:rPr>
        <w:t>van</w:t>
      </w:r>
      <w:r>
        <w:rPr>
          <w:vertAlign w:val="baseline"/>
        </w:rPr>
        <w:t> </w:t>
      </w:r>
      <w:r>
        <w:rPr>
          <w:vertAlign w:val="subscript"/>
        </w:rPr>
        <w:t>der</w:t>
      </w:r>
      <w:r>
        <w:rPr>
          <w:spacing w:val="1"/>
          <w:vertAlign w:val="baseline"/>
        </w:rPr>
        <w:t> </w:t>
      </w:r>
      <w:r>
        <w:rPr>
          <w:vertAlign w:val="subscript"/>
        </w:rPr>
        <w:t>Waals</w:t>
      </w:r>
      <w:r>
        <w:rPr>
          <w:vertAlign w:val="baseline"/>
        </w:rPr>
        <w:t>. Collectively these energies/parameters create the MM force field, and describe the</w:t>
      </w:r>
      <w:r>
        <w:rPr>
          <w:spacing w:val="1"/>
          <w:vertAlign w:val="baseline"/>
        </w:rPr>
        <w:t> </w:t>
      </w:r>
      <w:r>
        <w:rPr>
          <w:vertAlign w:val="baseline"/>
        </w:rPr>
        <w:t>energy</w:t>
      </w:r>
      <w:r>
        <w:rPr>
          <w:spacing w:val="-4"/>
          <w:vertAlign w:val="baseline"/>
        </w:rPr>
        <w:t> </w:t>
      </w:r>
      <w:r>
        <w:rPr>
          <w:vertAlign w:val="baseline"/>
        </w:rPr>
        <w:t>contribution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numerous</w:t>
      </w:r>
      <w:r>
        <w:rPr>
          <w:spacing w:val="-1"/>
          <w:vertAlign w:val="baseline"/>
        </w:rPr>
        <w:t> </w:t>
      </w:r>
      <w:r>
        <w:rPr>
          <w:vertAlign w:val="baseline"/>
        </w:rPr>
        <w:t>atomic</w:t>
      </w:r>
      <w:r>
        <w:rPr>
          <w:spacing w:val="5"/>
          <w:vertAlign w:val="baseline"/>
        </w:rPr>
        <w:t> </w:t>
      </w:r>
      <w:r>
        <w:rPr>
          <w:vertAlign w:val="baseline"/>
        </w:rPr>
        <w:t>forces.</w:t>
      </w:r>
      <w:r>
        <w:rPr>
          <w:spacing w:val="3"/>
          <w:vertAlign w:val="baseline"/>
        </w:rPr>
        <w:t> </w:t>
      </w:r>
      <w:r>
        <w:rPr>
          <w:vertAlign w:val="baseline"/>
        </w:rPr>
        <w:t>The energy</w:t>
      </w:r>
      <w:r>
        <w:rPr>
          <w:spacing w:val="-9"/>
          <w:vertAlign w:val="baseline"/>
        </w:rPr>
        <w:t> </w:t>
      </w:r>
      <w:r>
        <w:rPr>
          <w:vertAlign w:val="baseline"/>
        </w:rPr>
        <w:t>terms</w:t>
      </w:r>
      <w:r>
        <w:rPr>
          <w:spacing w:val="-1"/>
          <w:vertAlign w:val="baseline"/>
        </w:rPr>
        <w:t> </w:t>
      </w:r>
      <w:r>
        <w:rPr>
          <w:vertAlign w:val="baseline"/>
        </w:rPr>
        <w:t>above are parameterized</w:t>
      </w:r>
    </w:p>
    <w:p>
      <w:pPr>
        <w:spacing w:after="0" w:line="480" w:lineRule="auto"/>
        <w:jc w:val="both"/>
        <w:sectPr>
          <w:headerReference w:type="default" r:id="rId162"/>
          <w:footerReference w:type="default" r:id="rId163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8"/>
        <w:jc w:val="both"/>
      </w:pPr>
      <w:r>
        <w:rPr/>
        <w:t>to align to experimental and QM data to ensure systems mimic the behavior of actual</w:t>
      </w:r>
      <w:r>
        <w:rPr>
          <w:spacing w:val="1"/>
        </w:rPr>
        <w:t> </w:t>
      </w:r>
      <w:r>
        <w:rPr/>
        <w:t>molecules</w:t>
      </w:r>
      <w:r>
        <w:rPr>
          <w:spacing w:val="3"/>
        </w:rPr>
        <w:t> </w:t>
      </w:r>
      <w:r>
        <w:rPr/>
        <w:t>in</w:t>
      </w:r>
      <w:r>
        <w:rPr>
          <w:spacing w:val="2"/>
        </w:rPr>
        <w:t> </w:t>
      </w:r>
      <w:r>
        <w:rPr/>
        <w:t>motion (Lewars,</w:t>
      </w:r>
      <w:r>
        <w:rPr>
          <w:spacing w:val="3"/>
        </w:rPr>
        <w:t> </w:t>
      </w:r>
      <w:r>
        <w:rPr/>
        <w:t>2016).</w:t>
      </w:r>
    </w:p>
    <w:p>
      <w:pPr>
        <w:pStyle w:val="BodyText"/>
        <w:spacing w:line="480" w:lineRule="auto" w:before="202"/>
        <w:ind w:left="312" w:right="687"/>
        <w:jc w:val="both"/>
      </w:pPr>
      <w:r>
        <w:rPr/>
        <w:t>To</w:t>
      </w:r>
      <w:r>
        <w:rPr>
          <w:spacing w:val="1"/>
        </w:rPr>
        <w:t> </w:t>
      </w:r>
      <w:r>
        <w:rPr/>
        <w:t>date,</w:t>
      </w:r>
      <w:r>
        <w:rPr>
          <w:spacing w:val="1"/>
        </w:rPr>
        <w:t> </w:t>
      </w:r>
      <w:r>
        <w:rPr/>
        <w:t>numerous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fields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differ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parameterizations; force fields should be selected based on the conditions and the type of</w:t>
      </w:r>
      <w:r>
        <w:rPr>
          <w:spacing w:val="1"/>
        </w:rPr>
        <w:t> </w:t>
      </w:r>
      <w:r>
        <w:rPr/>
        <w:t>system being investigated. The most commonly used biomolecular force fields include</w:t>
      </w:r>
      <w:r>
        <w:rPr>
          <w:spacing w:val="1"/>
        </w:rPr>
        <w:t> </w:t>
      </w:r>
      <w:r>
        <w:rPr/>
        <w:t>CHARMM (Best </w:t>
      </w:r>
      <w:r>
        <w:rPr>
          <w:i/>
        </w:rPr>
        <w:t>et al., </w:t>
      </w:r>
      <w:r>
        <w:rPr/>
        <w:t>2012), AMBER (Case </w:t>
      </w:r>
      <w:r>
        <w:rPr>
          <w:i/>
        </w:rPr>
        <w:t>et al., </w:t>
      </w:r>
      <w:r>
        <w:rPr/>
        <w:t>2005) and GROMOS (Christen </w:t>
      </w:r>
      <w:r>
        <w:rPr>
          <w:i/>
        </w:rPr>
        <w:t>et al.,</w:t>
      </w:r>
      <w:r>
        <w:rPr>
          <w:i/>
          <w:spacing w:val="-57"/>
        </w:rPr>
        <w:t> </w:t>
      </w:r>
      <w:r>
        <w:rPr/>
        <w:t>2005). In the present</w:t>
      </w:r>
      <w:r>
        <w:rPr>
          <w:spacing w:val="1"/>
        </w:rPr>
        <w:t> </w:t>
      </w:r>
      <w:r>
        <w:rPr/>
        <w:t>study, the standard</w:t>
      </w:r>
      <w:r>
        <w:rPr>
          <w:spacing w:val="1"/>
        </w:rPr>
        <w:t> </w:t>
      </w:r>
      <w:r>
        <w:rPr/>
        <w:t>AMBER Force Field was used to</w:t>
      </w:r>
      <w:r>
        <w:rPr>
          <w:spacing w:val="60"/>
        </w:rPr>
        <w:t> </w:t>
      </w:r>
      <w:r>
        <w:rPr/>
        <w:t>parameterize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systems;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AMBER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(GAFF)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parameterize the</w:t>
      </w:r>
      <w:r>
        <w:rPr>
          <w:spacing w:val="6"/>
        </w:rPr>
        <w:t> </w:t>
      </w:r>
      <w:r>
        <w:rPr/>
        <w:t>ligands.</w:t>
      </w:r>
    </w:p>
    <w:p>
      <w:pPr>
        <w:pStyle w:val="Heading1"/>
        <w:numPr>
          <w:ilvl w:val="2"/>
          <w:numId w:val="13"/>
        </w:numPr>
        <w:tabs>
          <w:tab w:pos="856" w:val="left" w:leader="none"/>
        </w:tabs>
        <w:spacing w:line="240" w:lineRule="auto" w:before="203" w:after="0"/>
        <w:ind w:left="855" w:right="0" w:hanging="544"/>
        <w:jc w:val="both"/>
      </w:pPr>
      <w:bookmarkStart w:name="_TOC_250064" w:id="29"/>
      <w:r>
        <w:rPr/>
        <w:t>Computer-assisted</w:t>
      </w:r>
      <w:r>
        <w:rPr>
          <w:spacing w:val="-4"/>
        </w:rPr>
        <w:t> </w:t>
      </w:r>
      <w:r>
        <w:rPr/>
        <w:t>drug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bookmarkEnd w:id="29"/>
      <w:r>
        <w:rPr/>
        <w:t>(CADD)</w:t>
      </w:r>
    </w:p>
    <w:p>
      <w:pPr>
        <w:pStyle w:val="BodyText"/>
        <w:spacing w:line="480" w:lineRule="auto" w:before="194"/>
        <w:ind w:left="312" w:right="688"/>
        <w:jc w:val="both"/>
      </w:pPr>
      <w:r>
        <w:rPr/>
        <w:t>Drug discovery and development is a tedious and time-consuming process and the cost has</w:t>
      </w:r>
      <w:r>
        <w:rPr>
          <w:spacing w:val="-57"/>
        </w:rPr>
        <w:t> </w:t>
      </w:r>
      <w:r>
        <w:rPr/>
        <w:t>increased drastically during the past thirty-four years, with few compounds making it 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market.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expert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indisputably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successfully guiding drug discovery projects, CADD approaches, with the availability of</w:t>
      </w:r>
      <w:r>
        <w:rPr>
          <w:spacing w:val="1"/>
        </w:rPr>
        <w:t> </w:t>
      </w:r>
      <w:r>
        <w:rPr/>
        <w:t>supercomputers, parallel processing, and the graphics processing unit (GPU), have been</w:t>
      </w:r>
      <w:r>
        <w:rPr>
          <w:spacing w:val="1"/>
        </w:rPr>
        <w:t> </w:t>
      </w:r>
      <w:r>
        <w:rPr/>
        <w:t>playing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pivotal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prioritizing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synthesis</w:t>
      </w:r>
      <w:r>
        <w:rPr>
          <w:spacing w:val="60"/>
        </w:rPr>
        <w:t> </w:t>
      </w:r>
      <w:r>
        <w:rPr/>
        <w:t>and/or</w:t>
      </w:r>
      <w:r>
        <w:rPr>
          <w:spacing w:val="60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evaluation. CADD represents a time-, labor-, and cost-effective strategy to obtain lead</w:t>
      </w:r>
      <w:r>
        <w:rPr>
          <w:spacing w:val="1"/>
        </w:rPr>
        <w:t> </w:t>
      </w:r>
      <w:r>
        <w:rPr/>
        <w:t>compounds in the early stages of drug discovery and for lead optimization (Macalino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2015).</w:t>
      </w:r>
      <w:r>
        <w:rPr>
          <w:spacing w:val="1"/>
        </w:rPr>
        <w:t> </w:t>
      </w:r>
      <w:r>
        <w:rPr/>
        <w:t>CADD</w:t>
      </w:r>
      <w:r>
        <w:rPr>
          <w:spacing w:val="1"/>
        </w:rPr>
        <w:t> </w:t>
      </w:r>
      <w:r>
        <w:rPr/>
        <w:t>employs</w:t>
      </w:r>
      <w:r>
        <w:rPr>
          <w:spacing w:val="1"/>
        </w:rPr>
        <w:t> </w:t>
      </w:r>
      <w:r>
        <w:rPr/>
        <w:t>computational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model</w:t>
      </w:r>
      <w:r>
        <w:rPr>
          <w:spacing w:val="1"/>
        </w:rPr>
        <w:t> </w:t>
      </w:r>
      <w:r>
        <w:rPr/>
        <w:t>both</w:t>
      </w:r>
      <w:r>
        <w:rPr>
          <w:spacing w:val="60"/>
        </w:rPr>
        <w:t> </w:t>
      </w:r>
      <w:r>
        <w:rPr/>
        <w:t>drug</w:t>
      </w:r>
      <w:r>
        <w:rPr>
          <w:spacing w:val="1"/>
        </w:rPr>
        <w:t> </w:t>
      </w:r>
      <w:r>
        <w:rPr/>
        <w:t>molecules and their receptors. Drugs that successfully enter the market through CADD</w:t>
      </w:r>
      <w:r>
        <w:rPr>
          <w:spacing w:val="1"/>
        </w:rPr>
        <w:t> </w:t>
      </w:r>
      <w:r>
        <w:rPr/>
        <w:t>approach include Zanamivir, Amprenavir, Raltitrexed among others (Gomes </w:t>
      </w:r>
      <w:r>
        <w:rPr>
          <w:i/>
        </w:rPr>
        <w:t>et al., </w:t>
      </w:r>
      <w:r>
        <w:rPr/>
        <w:t>2017).</w:t>
      </w:r>
      <w:r>
        <w:rPr>
          <w:spacing w:val="1"/>
        </w:rPr>
        <w:t> </w:t>
      </w:r>
      <w:r>
        <w:rPr/>
        <w:t>CADD is broadly divided into; structure-based drug design (SBDD) and ligand-based drug</w:t>
      </w:r>
      <w:r>
        <w:rPr>
          <w:spacing w:val="-57"/>
        </w:rPr>
        <w:t> </w:t>
      </w:r>
      <w:r>
        <w:rPr/>
        <w:t>design</w:t>
      </w:r>
      <w:r>
        <w:rPr>
          <w:spacing w:val="-4"/>
        </w:rPr>
        <w:t> </w:t>
      </w:r>
      <w:r>
        <w:rPr/>
        <w:t>(LBDD)</w:t>
      </w:r>
    </w:p>
    <w:p>
      <w:pPr>
        <w:pStyle w:val="ListParagraph"/>
        <w:numPr>
          <w:ilvl w:val="3"/>
          <w:numId w:val="13"/>
        </w:numPr>
        <w:tabs>
          <w:tab w:pos="1033" w:val="left" w:leader="none"/>
        </w:tabs>
        <w:spacing w:line="240" w:lineRule="auto" w:before="205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Structure-based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drug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(SBDD)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164"/>
          <w:footerReference w:type="default" r:id="rId16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In SBDD, 3D structural information of a macromolecule is used to design or evaluate</w:t>
      </w:r>
      <w:r>
        <w:rPr>
          <w:spacing w:val="1"/>
        </w:rPr>
        <w:t> </w:t>
      </w:r>
      <w:r>
        <w:rPr/>
        <w:t>ligands based on their predicted interactions and affinity with protein binding sites. Thus,</w:t>
      </w:r>
      <w:r>
        <w:rPr>
          <w:spacing w:val="1"/>
        </w:rPr>
        <w:t> </w:t>
      </w:r>
      <w:r>
        <w:rPr/>
        <w:t>identification of a valid biochemical target and the acquisition of its structural information</w:t>
      </w:r>
      <w:r>
        <w:rPr>
          <w:spacing w:val="1"/>
        </w:rPr>
        <w:t> </w:t>
      </w:r>
      <w:r>
        <w:rPr/>
        <w:t>are the first vital steps in SBDD. Researchers from computational and structural biology</w:t>
      </w:r>
      <w:r>
        <w:rPr>
          <w:spacing w:val="1"/>
        </w:rPr>
        <w:t> </w:t>
      </w:r>
      <w:r>
        <w:rPr/>
        <w:t>facilitated in the generation of thousands of structures with the use of homology modeling,</w:t>
      </w:r>
      <w:r>
        <w:rPr>
          <w:spacing w:val="-57"/>
        </w:rPr>
        <w:t> </w:t>
      </w:r>
      <w:r>
        <w:rPr/>
        <w:t>X- ray crystallography, cryo-electron microscopy (EM), and nuclear magnetic resonance</w:t>
      </w:r>
      <w:r>
        <w:rPr>
          <w:spacing w:val="1"/>
        </w:rPr>
        <w:t> </w:t>
      </w:r>
      <w:r>
        <w:rPr/>
        <w:t>(NMR)</w:t>
      </w:r>
      <w:r>
        <w:rPr>
          <w:spacing w:val="1"/>
        </w:rPr>
        <w:t> </w:t>
      </w:r>
      <w:r>
        <w:rPr/>
        <w:t>(Lionta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2014).</w:t>
      </w:r>
      <w:r>
        <w:rPr>
          <w:spacing w:val="1"/>
        </w:rPr>
        <w:t> </w:t>
      </w:r>
      <w:r>
        <w:rPr/>
        <w:t>Currently,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13,000</w:t>
      </w:r>
      <w:r>
        <w:rPr>
          <w:spacing w:val="1"/>
        </w:rPr>
        <w:t> </w:t>
      </w:r>
      <w:r>
        <w:rPr/>
        <w:t>3D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experimentally solved and stored in the Protein Data Bank (PDB), leading to attractive</w:t>
      </w:r>
      <w:r>
        <w:rPr>
          <w:spacing w:val="1"/>
        </w:rPr>
        <w:t> </w:t>
      </w:r>
      <w:r>
        <w:rPr/>
        <w:t>opportunities</w:t>
      </w:r>
      <w:r>
        <w:rPr>
          <w:spacing w:val="3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application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SBDD</w:t>
      </w:r>
      <w:r>
        <w:rPr>
          <w:spacing w:val="1"/>
        </w:rPr>
        <w:t> </w:t>
      </w:r>
      <w:r>
        <w:rPr/>
        <w:t>strategies</w:t>
      </w:r>
      <w:r>
        <w:rPr>
          <w:spacing w:val="-1"/>
        </w:rPr>
        <w:t> </w:t>
      </w:r>
      <w:r>
        <w:rPr/>
        <w:t>(Rose</w:t>
      </w:r>
      <w:r>
        <w:rPr>
          <w:spacing w:val="8"/>
        </w:rPr>
        <w:t> </w:t>
      </w:r>
      <w:r>
        <w:rPr>
          <w:i/>
        </w:rPr>
        <w:t>et</w:t>
      </w:r>
      <w:r>
        <w:rPr>
          <w:i/>
          <w:spacing w:val="3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2016)</w:t>
      </w:r>
    </w:p>
    <w:p>
      <w:pPr>
        <w:pStyle w:val="BodyText"/>
        <w:spacing w:line="480" w:lineRule="auto" w:before="203"/>
        <w:ind w:left="312" w:right="688"/>
        <w:jc w:val="both"/>
      </w:pPr>
      <w:r>
        <w:rPr/>
        <w:t>SBDD can be divided into virtual screening (VS) and </w:t>
      </w:r>
      <w:r>
        <w:rPr>
          <w:i/>
        </w:rPr>
        <w:t>de novo </w:t>
      </w:r>
      <w:r>
        <w:rPr/>
        <w:t>approaches. In VS large</w:t>
      </w:r>
      <w:r>
        <w:rPr>
          <w:spacing w:val="1"/>
        </w:rPr>
        <w:t> </w:t>
      </w:r>
      <w:r>
        <w:rPr/>
        <w:t>chemical libraries are processed to search for compounds that possess complementarities</w:t>
      </w:r>
      <w:r>
        <w:rPr>
          <w:spacing w:val="1"/>
        </w:rPr>
        <w:t> </w:t>
      </w:r>
      <w:r>
        <w:rPr/>
        <w:t>toward the targets. De novo design exploits information from the 3D model of the receptor</w:t>
      </w:r>
      <w:r>
        <w:rPr>
          <w:spacing w:val="-57"/>
        </w:rPr>
        <w:t> </w:t>
      </w:r>
      <w:r>
        <w:rPr/>
        <w:t>to find small fragments that match well with the binding site. These fragments should be</w:t>
      </w:r>
      <w:r>
        <w:rPr>
          <w:spacing w:val="1"/>
        </w:rPr>
        <w:t> </w:t>
      </w:r>
      <w:r>
        <w:rPr/>
        <w:t>linked, providing a structurally novel ligand that can be synthesized for further </w:t>
      </w:r>
      <w:r>
        <w:rPr>
          <w:i/>
        </w:rPr>
        <w:t>in vitro</w:t>
      </w:r>
      <w:r>
        <w:rPr>
          <w:i/>
          <w:spacing w:val="1"/>
        </w:rPr>
        <w:t> </w:t>
      </w:r>
      <w:r>
        <w:rPr/>
        <w:t>assays. However, because of its knowledge-based characteristic, SBDD strongly 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amount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investigation. Regardless of what kind of protein will be employed as a molecular target,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issues, such as the suitable assignment of protonation states, solvation, and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flexibility</w:t>
      </w:r>
      <w:r>
        <w:rPr>
          <w:spacing w:val="1"/>
        </w:rPr>
        <w:t> </w:t>
      </w:r>
      <w:r>
        <w:rPr/>
        <w:t>(Lionta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2014),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considered.</w:t>
      </w:r>
      <w:r>
        <w:rPr>
          <w:spacing w:val="1"/>
        </w:rPr>
        <w:t> </w:t>
      </w:r>
      <w:r>
        <w:rPr/>
        <w:t>Protein-ligand</w:t>
      </w:r>
      <w:r>
        <w:rPr>
          <w:spacing w:val="1"/>
        </w:rPr>
        <w:t> </w:t>
      </w:r>
      <w:r>
        <w:rPr/>
        <w:t>docking,</w:t>
      </w:r>
      <w:r>
        <w:rPr>
          <w:spacing w:val="1"/>
        </w:rPr>
        <w:t> </w:t>
      </w:r>
      <w:r>
        <w:rPr/>
        <w:t>molecular dynamics simulations and structure-based pharmacophores are the main SBDD</w:t>
      </w:r>
      <w:r>
        <w:rPr>
          <w:spacing w:val="1"/>
        </w:rPr>
        <w:t> </w:t>
      </w:r>
      <w:r>
        <w:rPr/>
        <w:t>tools</w:t>
      </w:r>
      <w:r>
        <w:rPr>
          <w:spacing w:val="-1"/>
        </w:rPr>
        <w:t> </w:t>
      </w:r>
      <w:r>
        <w:rPr/>
        <w:t>(Gome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2017).</w:t>
      </w:r>
    </w:p>
    <w:p>
      <w:pPr>
        <w:spacing w:before="199"/>
        <w:ind w:left="312" w:right="0" w:firstLine="0"/>
        <w:jc w:val="both"/>
        <w:rPr>
          <w:i/>
          <w:sz w:val="24"/>
        </w:rPr>
      </w:pPr>
      <w:r>
        <w:rPr>
          <w:i/>
          <w:sz w:val="24"/>
        </w:rPr>
        <w:t>Protein-ligand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docking: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80"/>
        <w:ind w:left="312" w:right="694"/>
        <w:jc w:val="both"/>
      </w:pPr>
      <w:r>
        <w:rPr/>
        <w:t>Protein-ligand docking</w:t>
      </w:r>
      <w:r>
        <w:rPr>
          <w:spacing w:val="1"/>
        </w:rPr>
        <w:t> </w:t>
      </w:r>
      <w:r>
        <w:rPr/>
        <w:t>is 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extensively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structure based</w:t>
      </w:r>
      <w:r>
        <w:rPr>
          <w:spacing w:val="1"/>
        </w:rPr>
        <w:t> </w:t>
      </w:r>
      <w:r>
        <w:rPr/>
        <w:t>virtual screening</w:t>
      </w:r>
      <w:r>
        <w:rPr>
          <w:spacing w:val="1"/>
        </w:rPr>
        <w:t> </w:t>
      </w:r>
      <w:r>
        <w:rPr/>
        <w:t>(SBVS) method. It predicts possible binding modes of a compound or fragment in a target</w:t>
      </w:r>
      <w:r>
        <w:rPr>
          <w:spacing w:val="1"/>
        </w:rPr>
        <w:t> </w:t>
      </w:r>
      <w:r>
        <w:rPr/>
        <w:t>binding</w:t>
      </w:r>
      <w:r>
        <w:rPr>
          <w:spacing w:val="17"/>
        </w:rPr>
        <w:t> </w:t>
      </w:r>
      <w:r>
        <w:rPr/>
        <w:t>site</w:t>
      </w:r>
      <w:r>
        <w:rPr>
          <w:spacing w:val="20"/>
        </w:rPr>
        <w:t> </w:t>
      </w:r>
      <w:r>
        <w:rPr/>
        <w:t>and</w:t>
      </w:r>
      <w:r>
        <w:rPr>
          <w:spacing w:val="17"/>
        </w:rPr>
        <w:t> </w:t>
      </w:r>
      <w:r>
        <w:rPr/>
        <w:t>estimates</w:t>
      </w:r>
      <w:r>
        <w:rPr>
          <w:spacing w:val="15"/>
        </w:rPr>
        <w:t> </w:t>
      </w:r>
      <w:r>
        <w:rPr/>
        <w:t>affinity</w:t>
      </w:r>
      <w:r>
        <w:rPr>
          <w:spacing w:val="17"/>
        </w:rPr>
        <w:t> </w:t>
      </w:r>
      <w:r>
        <w:rPr/>
        <w:t>based</w:t>
      </w:r>
      <w:r>
        <w:rPr>
          <w:spacing w:val="17"/>
        </w:rPr>
        <w:t> </w:t>
      </w:r>
      <w:r>
        <w:rPr/>
        <w:t>on</w:t>
      </w:r>
      <w:r>
        <w:rPr>
          <w:spacing w:val="17"/>
        </w:rPr>
        <w:t> </w:t>
      </w:r>
      <w:r>
        <w:rPr/>
        <w:t>its</w:t>
      </w:r>
      <w:r>
        <w:rPr>
          <w:spacing w:val="27"/>
        </w:rPr>
        <w:t> </w:t>
      </w:r>
      <w:r>
        <w:rPr/>
        <w:t>intermolecular</w:t>
      </w:r>
      <w:r>
        <w:rPr>
          <w:spacing w:val="23"/>
        </w:rPr>
        <w:t> </w:t>
      </w:r>
      <w:r>
        <w:rPr/>
        <w:t>interactions</w:t>
      </w:r>
      <w:r>
        <w:rPr>
          <w:spacing w:val="19"/>
        </w:rPr>
        <w:t> </w:t>
      </w:r>
      <w:r>
        <w:rPr/>
        <w:t>in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binding</w:t>
      </w:r>
    </w:p>
    <w:p>
      <w:pPr>
        <w:spacing w:after="0" w:line="480" w:lineRule="auto"/>
        <w:jc w:val="both"/>
        <w:sectPr>
          <w:headerReference w:type="default" r:id="rId166"/>
          <w:footerReference w:type="default" r:id="rId167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0"/>
        <w:jc w:val="both"/>
      </w:pPr>
      <w:r>
        <w:rPr/>
        <w:t>pocket. Docking is often carried out in two parts. In the first part, the ligand is placed</w:t>
      </w:r>
      <w:r>
        <w:rPr>
          <w:spacing w:val="1"/>
        </w:rPr>
        <w:t> </w:t>
      </w:r>
      <w:r>
        <w:rPr/>
        <w:t>inside the binding site in different orientations and conformations using a search algorithm</w:t>
      </w:r>
      <w:r>
        <w:rPr>
          <w:spacing w:val="-57"/>
        </w:rPr>
        <w:t> </w:t>
      </w:r>
      <w:r>
        <w:rPr/>
        <w:t>to facilitate the identification of the binding mode. Then, a scoring function ranks the</w:t>
      </w:r>
      <w:r>
        <w:rPr>
          <w:spacing w:val="1"/>
        </w:rPr>
        <w:t> </w:t>
      </w:r>
      <w:r>
        <w:rPr/>
        <w:t>different poses of the ligand that are generated by the search algorithm and orders them by</w:t>
      </w:r>
      <w:r>
        <w:rPr>
          <w:spacing w:val="1"/>
        </w:rPr>
        <w:t> </w:t>
      </w:r>
      <w:r>
        <w:rPr/>
        <w:t>a score. These scores are features that aid in investigating the interactions between the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molecule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target,</w:t>
      </w:r>
      <w:r>
        <w:rPr>
          <w:spacing w:val="1"/>
        </w:rPr>
        <w:t> </w:t>
      </w:r>
      <w:r>
        <w:rPr/>
        <w:t>thereby</w:t>
      </w:r>
      <w:r>
        <w:rPr>
          <w:spacing w:val="1"/>
        </w:rPr>
        <w:t> </w:t>
      </w:r>
      <w:r>
        <w:rPr/>
        <w:t>providing</w:t>
      </w:r>
      <w:r>
        <w:rPr>
          <w:spacing w:val="1"/>
        </w:rPr>
        <w:t> </w:t>
      </w:r>
      <w:r>
        <w:rPr/>
        <w:t>context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activity</w:t>
      </w:r>
      <w:r>
        <w:rPr>
          <w:spacing w:val="-9"/>
        </w:rPr>
        <w:t> </w:t>
      </w:r>
      <w:r>
        <w:rPr/>
        <w:t>(Lionta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2014;</w:t>
      </w:r>
      <w:r>
        <w:rPr>
          <w:spacing w:val="-3"/>
        </w:rPr>
        <w:t> </w:t>
      </w:r>
      <w:r>
        <w:rPr/>
        <w:t>Ferreira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2015).</w:t>
      </w:r>
    </w:p>
    <w:p>
      <w:pPr>
        <w:pStyle w:val="BodyText"/>
        <w:spacing w:line="480" w:lineRule="auto" w:before="203"/>
        <w:ind w:left="312" w:right="690"/>
        <w:jc w:val="both"/>
      </w:pPr>
      <w:r>
        <w:rPr/>
        <w:t>Although the concept of docking seems to be precise, it remains a major challenge of this</w:t>
      </w:r>
      <w:r>
        <w:rPr>
          <w:spacing w:val="1"/>
        </w:rPr>
        <w:t> </w:t>
      </w:r>
      <w:r>
        <w:rPr/>
        <w:t>approach. Usually, the scoring functions are found to have limited accuracy in the ranking</w:t>
      </w:r>
      <w:r>
        <w:rPr>
          <w:spacing w:val="1"/>
        </w:rPr>
        <w:t> </w:t>
      </w:r>
      <w:r>
        <w:rPr/>
        <w:t>of compounds and sometimes cannot</w:t>
      </w:r>
      <w:r>
        <w:rPr>
          <w:spacing w:val="1"/>
        </w:rPr>
        <w:t> </w:t>
      </w:r>
      <w:r>
        <w:rPr/>
        <w:t>distinguish between active and</w:t>
      </w:r>
      <w:r>
        <w:rPr>
          <w:spacing w:val="60"/>
        </w:rPr>
        <w:t> </w:t>
      </w:r>
      <w:r>
        <w:rPr/>
        <w:t>inactive</w:t>
      </w:r>
      <w:r>
        <w:rPr>
          <w:spacing w:val="60"/>
        </w:rPr>
        <w:t> </w:t>
      </w:r>
      <w:r>
        <w:rPr/>
        <w:t>molecules.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insertion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flexibility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residues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identifying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hits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complementarity,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traditional rigid docking. However, it requires more complex calculations because the</w:t>
      </w:r>
      <w:r>
        <w:rPr>
          <w:spacing w:val="1"/>
        </w:rPr>
        <w:t> </w:t>
      </w:r>
      <w:r>
        <w:rPr/>
        <w:t>proteins of high conformational energy score would result</w:t>
      </w:r>
      <w:r>
        <w:rPr>
          <w:spacing w:val="1"/>
        </w:rPr>
        <w:t> </w:t>
      </w:r>
      <w:r>
        <w:rPr/>
        <w:t>in idealistic binding mode</w:t>
      </w:r>
      <w:r>
        <w:rPr>
          <w:spacing w:val="1"/>
        </w:rPr>
        <w:t> </w:t>
      </w:r>
      <w:r>
        <w:rPr/>
        <w:t>(Ferreira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2015).</w:t>
      </w:r>
    </w:p>
    <w:p>
      <w:pPr>
        <w:pStyle w:val="BodyText"/>
        <w:spacing w:line="480" w:lineRule="auto" w:before="198"/>
        <w:ind w:left="312" w:right="691"/>
        <w:jc w:val="both"/>
      </w:pPr>
      <w:r>
        <w:rPr/>
        <w:t>Consequently,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streamlined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solve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methodological limitations. To incorporate protein flexibility, ensemble methods make use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input</w:t>
      </w:r>
      <w:r>
        <w:rPr>
          <w:spacing w:val="1"/>
        </w:rPr>
        <w:t> </w:t>
      </w:r>
      <w:r>
        <w:rPr/>
        <w:t>conformations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targetusing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3D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experimentally determined (X-ray crystallography or NMR) or computationally produced</w:t>
      </w:r>
      <w:r>
        <w:rPr>
          <w:spacing w:val="1"/>
        </w:rPr>
        <w:t> </w:t>
      </w:r>
      <w:r>
        <w:rPr/>
        <w:t>using molecular dynamics simulations. Instead of single rigid structure, carefully chosen</w:t>
      </w:r>
      <w:r>
        <w:rPr>
          <w:spacing w:val="1"/>
        </w:rPr>
        <w:t> </w:t>
      </w:r>
      <w:r>
        <w:rPr/>
        <w:t>3D conformations of the target can be used to represent conformational changes in the</w:t>
      </w:r>
      <w:r>
        <w:rPr>
          <w:spacing w:val="1"/>
        </w:rPr>
        <w:t> </w:t>
      </w:r>
      <w:r>
        <w:rPr/>
        <w:t>protein backbone and/or side chain. On the other hand, averaging the results from two or</w:t>
      </w:r>
      <w:r>
        <w:rPr>
          <w:spacing w:val="1"/>
        </w:rPr>
        <w:t> </w:t>
      </w:r>
      <w:r>
        <w:rPr/>
        <w:t>more scoring functions and forming a consensus has proved to be more beneficial in</w:t>
      </w:r>
      <w:r>
        <w:rPr>
          <w:spacing w:val="1"/>
        </w:rPr>
        <w:t> </w:t>
      </w:r>
      <w:r>
        <w:rPr/>
        <w:t>scoring</w:t>
      </w:r>
      <w:r>
        <w:rPr>
          <w:spacing w:val="29"/>
        </w:rPr>
        <w:t> </w:t>
      </w:r>
      <w:r>
        <w:rPr/>
        <w:t>and</w:t>
      </w:r>
      <w:r>
        <w:rPr>
          <w:spacing w:val="29"/>
        </w:rPr>
        <w:t> </w:t>
      </w:r>
      <w:r>
        <w:rPr/>
        <w:t>ranking</w:t>
      </w:r>
      <w:r>
        <w:rPr>
          <w:spacing w:val="29"/>
        </w:rPr>
        <w:t> </w:t>
      </w:r>
      <w:r>
        <w:rPr/>
        <w:t>compounds.</w:t>
      </w:r>
      <w:r>
        <w:rPr>
          <w:spacing w:val="31"/>
        </w:rPr>
        <w:t> </w:t>
      </w:r>
      <w:r>
        <w:rPr/>
        <w:t>In</w:t>
      </w:r>
      <w:r>
        <w:rPr>
          <w:spacing w:val="24"/>
        </w:rPr>
        <w:t> </w:t>
      </w:r>
      <w:r>
        <w:rPr/>
        <w:t>addition</w:t>
      </w:r>
      <w:r>
        <w:rPr>
          <w:spacing w:val="29"/>
        </w:rPr>
        <w:t> </w:t>
      </w:r>
      <w:r>
        <w:rPr/>
        <w:t>to</w:t>
      </w:r>
      <w:r>
        <w:rPr>
          <w:spacing w:val="34"/>
        </w:rPr>
        <w:t> </w:t>
      </w:r>
      <w:r>
        <w:rPr/>
        <w:t>consensus</w:t>
      </w:r>
      <w:r>
        <w:rPr>
          <w:spacing w:val="27"/>
        </w:rPr>
        <w:t> </w:t>
      </w:r>
      <w:r>
        <w:rPr/>
        <w:t>scoring,</w:t>
      </w:r>
      <w:r>
        <w:rPr>
          <w:spacing w:val="31"/>
        </w:rPr>
        <w:t> </w:t>
      </w:r>
      <w:r>
        <w:rPr/>
        <w:t>post-processing</w:t>
      </w:r>
    </w:p>
    <w:p>
      <w:pPr>
        <w:spacing w:after="0" w:line="480" w:lineRule="auto"/>
        <w:jc w:val="both"/>
        <w:sectPr>
          <w:headerReference w:type="default" r:id="rId168"/>
          <w:footerReference w:type="default" r:id="rId169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techniques such as the molecular mechanics Poisson–Boltzmann surface area methods can</w:t>
      </w:r>
      <w:r>
        <w:rPr>
          <w:spacing w:val="-57"/>
        </w:rPr>
        <w:t> </w:t>
      </w:r>
      <w:r>
        <w:rPr/>
        <w:t>be 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better</w:t>
      </w:r>
      <w:r>
        <w:rPr>
          <w:spacing w:val="-2"/>
        </w:rPr>
        <w:t> </w:t>
      </w:r>
      <w:r>
        <w:rPr/>
        <w:t>estimate</w:t>
      </w:r>
      <w:r>
        <w:rPr>
          <w:spacing w:val="-5"/>
        </w:rPr>
        <w:t> </w:t>
      </w:r>
      <w:r>
        <w:rPr/>
        <w:t>the</w:t>
      </w:r>
      <w:r>
        <w:rPr>
          <w:spacing w:val="5"/>
        </w:rPr>
        <w:t> </w:t>
      </w:r>
      <w:r>
        <w:rPr/>
        <w:t>free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energies</w:t>
      </w:r>
      <w:r>
        <w:rPr>
          <w:spacing w:val="3"/>
        </w:rPr>
        <w:t> </w:t>
      </w:r>
      <w:r>
        <w:rPr/>
        <w:t>(Gomes</w:t>
      </w:r>
      <w:r>
        <w:rPr>
          <w:spacing w:val="6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2017)</w:t>
      </w:r>
    </w:p>
    <w:p>
      <w:pPr>
        <w:spacing w:before="202"/>
        <w:ind w:left="312" w:right="0" w:firstLine="0"/>
        <w:jc w:val="both"/>
        <w:rPr>
          <w:i/>
          <w:sz w:val="24"/>
        </w:rPr>
      </w:pPr>
      <w:r>
        <w:rPr>
          <w:i/>
          <w:sz w:val="24"/>
        </w:rPr>
        <w:t>Molecular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dynamics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(MD)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simulations: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0"/>
        <w:jc w:val="both"/>
      </w:pPr>
      <w:r>
        <w:rPr/>
        <w:t>MD uses MM to generate the forces acting on molecules, which is then used to calculate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motions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time.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NMR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crystallographic</w:t>
      </w:r>
      <w:r>
        <w:rPr>
          <w:spacing w:val="1"/>
        </w:rPr>
        <w:t> </w:t>
      </w:r>
      <w:r>
        <w:rPr/>
        <w:t>studies,</w:t>
      </w:r>
      <w:r>
        <w:rPr>
          <w:spacing w:val="1"/>
        </w:rPr>
        <w:t> </w:t>
      </w:r>
      <w:r>
        <w:rPr/>
        <w:t>represent a static view of biomolecular systems; these structures alone are insufficient in</w:t>
      </w:r>
      <w:r>
        <w:rPr>
          <w:spacing w:val="1"/>
        </w:rPr>
        <w:t> </w:t>
      </w:r>
      <w:r>
        <w:rPr/>
        <w:t>understanding the wide range of biological activity. Molecular dynamics programs allow</w:t>
      </w:r>
      <w:r>
        <w:rPr>
          <w:spacing w:val="1"/>
        </w:rPr>
        <w:t> </w:t>
      </w:r>
      <w:r>
        <w:rPr/>
        <w:t>the dynamic nature of molecules to be studied by simulating the natural motion of the</w:t>
      </w:r>
      <w:r>
        <w:rPr>
          <w:spacing w:val="1"/>
        </w:rPr>
        <w:t> </w:t>
      </w:r>
      <w:r>
        <w:rPr/>
        <w:t>atoms in a structure (Lewars, 2016). In essence, MD is a deterministic method that strives</w:t>
      </w:r>
      <w:r>
        <w:rPr>
          <w:spacing w:val="1"/>
        </w:rPr>
        <w:t> </w:t>
      </w:r>
      <w:r>
        <w:rPr/>
        <w:t>to mimic the time dependent behavior of molecules in space. The assumption is that the</w:t>
      </w:r>
      <w:r>
        <w:rPr>
          <w:spacing w:val="1"/>
        </w:rPr>
        <w:t> </w:t>
      </w:r>
      <w:r>
        <w:rPr/>
        <w:t>atoms in a given molecule will interact with each other in accordance to the force field</w:t>
      </w:r>
      <w:r>
        <w:rPr>
          <w:spacing w:val="1"/>
        </w:rPr>
        <w:t> </w:t>
      </w:r>
      <w:r>
        <w:rPr/>
        <w:t>applied; resulting in a MD trajectory. A trajectory is a data set that represents the positions</w:t>
      </w:r>
      <w:r>
        <w:rPr>
          <w:spacing w:val="-57"/>
        </w:rPr>
        <w:t> </w:t>
      </w:r>
      <w:r>
        <w:rPr/>
        <w:t>(coordinates) and velocities of particles in the system over time; containing the structural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properties 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-7"/>
        </w:rPr>
        <w:t> </w:t>
      </w:r>
      <w:r>
        <w:rPr/>
        <w:t>(Kalyaanamoorthy</w:t>
      </w:r>
      <w:r>
        <w:rPr>
          <w:spacing w:val="-8"/>
        </w:rPr>
        <w:t> </w:t>
      </w:r>
      <w:r>
        <w:rPr/>
        <w:t>and</w:t>
      </w:r>
      <w:r>
        <w:rPr>
          <w:spacing w:val="2"/>
        </w:rPr>
        <w:t> </w:t>
      </w:r>
      <w:r>
        <w:rPr/>
        <w:t>Chen,</w:t>
      </w:r>
      <w:r>
        <w:rPr>
          <w:spacing w:val="3"/>
        </w:rPr>
        <w:t> </w:t>
      </w:r>
      <w:r>
        <w:rPr/>
        <w:t>2014).</w:t>
      </w:r>
    </w:p>
    <w:p>
      <w:pPr>
        <w:pStyle w:val="BodyText"/>
        <w:spacing w:line="480" w:lineRule="auto" w:before="204"/>
        <w:ind w:left="312" w:right="693"/>
        <w:jc w:val="both"/>
      </w:pPr>
      <w:r>
        <w:rPr/>
        <w:t>Molecular dynamics is based on an integrated approach of Newton ‗s laws of motion (F =</w:t>
      </w:r>
      <w:r>
        <w:rPr>
          <w:spacing w:val="1"/>
        </w:rPr>
        <w:t> </w:t>
      </w:r>
      <w:r>
        <w:rPr/>
        <w:t>m.a), which solves the equation of motion for atoms on an energy surface. Therefore,</w:t>
      </w:r>
      <w:r>
        <w:rPr>
          <w:spacing w:val="1"/>
        </w:rPr>
        <w:t> </w:t>
      </w:r>
      <w:r>
        <w:rPr/>
        <w:t>motion can be simulated for a molecule as it changes conformations over time, or upon</w:t>
      </w:r>
      <w:r>
        <w:rPr>
          <w:spacing w:val="1"/>
        </w:rPr>
        <w:t> </w:t>
      </w:r>
      <w:r>
        <w:rPr/>
        <w:t>ligand</w:t>
      </w:r>
      <w:r>
        <w:rPr>
          <w:spacing w:val="1"/>
        </w:rPr>
        <w:t> </w:t>
      </w:r>
      <w:r>
        <w:rPr/>
        <w:t>binding.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trajectories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location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velocity</w:t>
      </w:r>
      <w:r>
        <w:rPr>
          <w:spacing w:val="1"/>
        </w:rPr>
        <w:t> </w:t>
      </w:r>
      <w:r>
        <w:rPr/>
        <w:t>vectors which describe the time progression of the biomolecular system through phase</w:t>
      </w:r>
      <w:r>
        <w:rPr>
          <w:spacing w:val="1"/>
        </w:rPr>
        <w:t> </w:t>
      </w:r>
      <w:r>
        <w:rPr/>
        <w:t>space. The</w:t>
      </w:r>
      <w:r>
        <w:rPr>
          <w:spacing w:val="1"/>
        </w:rPr>
        <w:t> </w:t>
      </w:r>
      <w:r>
        <w:rPr/>
        <w:t>location (changing through time)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each particle in space and the</w:t>
      </w:r>
      <w:r>
        <w:rPr>
          <w:spacing w:val="60"/>
        </w:rPr>
        <w:t> </w:t>
      </w:r>
      <w:r>
        <w:rPr/>
        <w:t>velocities</w:t>
      </w:r>
      <w:r>
        <w:rPr>
          <w:spacing w:val="-57"/>
        </w:rPr>
        <w:t> </w:t>
      </w:r>
      <w:r>
        <w:rPr/>
        <w:t>are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thermodynamics</w:t>
      </w:r>
      <w:r>
        <w:rPr>
          <w:spacing w:val="1"/>
        </w:rPr>
        <w:t> </w:t>
      </w:r>
      <w:r>
        <w:rPr/>
        <w:t>(temperature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kinetic</w:t>
      </w:r>
      <w:r>
        <w:rPr>
          <w:spacing w:val="1"/>
        </w:rPr>
        <w:t> </w:t>
      </w:r>
      <w:r>
        <w:rPr/>
        <w:t>energy)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biomolecular system. The functional properties of a system can be affected by dynamic</w:t>
      </w:r>
      <w:r>
        <w:rPr>
          <w:spacing w:val="1"/>
        </w:rPr>
        <w:t> </w:t>
      </w:r>
      <w:r>
        <w:rPr/>
        <w:t>events, which can be detected at an atomic level. MD has been particularly useful in the</w:t>
      </w:r>
      <w:r>
        <w:rPr>
          <w:spacing w:val="1"/>
        </w:rPr>
        <w:t> </w:t>
      </w:r>
      <w:r>
        <w:rPr/>
        <w:t>structural refinements of post-docking complexes, such that the complementarity between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ligand</w:t>
      </w:r>
      <w:r>
        <w:rPr>
          <w:spacing w:val="59"/>
        </w:rPr>
        <w:t> </w:t>
      </w:r>
      <w:r>
        <w:rPr/>
        <w:t>and</w:t>
      </w:r>
      <w:r>
        <w:rPr>
          <w:spacing w:val="59"/>
        </w:rPr>
        <w:t> </w:t>
      </w:r>
      <w:r>
        <w:rPr/>
        <w:t>the</w:t>
      </w:r>
      <w:r>
        <w:rPr>
          <w:spacing w:val="58"/>
        </w:rPr>
        <w:t> </w:t>
      </w:r>
      <w:r>
        <w:rPr/>
        <w:t>receptor</w:t>
      </w:r>
      <w:r>
        <w:rPr>
          <w:spacing w:val="60"/>
        </w:rPr>
        <w:t> </w:t>
      </w:r>
      <w:r>
        <w:rPr/>
        <w:t>is</w:t>
      </w:r>
      <w:r>
        <w:rPr>
          <w:spacing w:val="57"/>
        </w:rPr>
        <w:t> </w:t>
      </w:r>
      <w:r>
        <w:rPr/>
        <w:t>enhanced</w:t>
      </w:r>
      <w:r>
        <w:rPr>
          <w:spacing w:val="3"/>
        </w:rPr>
        <w:t> </w:t>
      </w:r>
      <w:r>
        <w:rPr/>
        <w:t>in</w:t>
      </w:r>
      <w:r>
        <w:rPr>
          <w:spacing w:val="54"/>
        </w:rPr>
        <w:t> </w:t>
      </w:r>
      <w:r>
        <w:rPr/>
        <w:t>the</w:t>
      </w:r>
      <w:r>
        <w:rPr>
          <w:spacing w:val="58"/>
        </w:rPr>
        <w:t> </w:t>
      </w:r>
      <w:r>
        <w:rPr/>
        <w:t>complex</w:t>
      </w:r>
      <w:r>
        <w:rPr>
          <w:spacing w:val="54"/>
        </w:rPr>
        <w:t> </w:t>
      </w:r>
      <w:r>
        <w:rPr/>
        <w:t>state,</w:t>
      </w:r>
      <w:r>
        <w:rPr>
          <w:spacing w:val="1"/>
        </w:rPr>
        <w:t> </w:t>
      </w:r>
      <w:r>
        <w:rPr/>
        <w:t>allowing</w:t>
      </w:r>
      <w:r>
        <w:rPr>
          <w:spacing w:val="59"/>
        </w:rPr>
        <w:t> </w:t>
      </w:r>
      <w:r>
        <w:rPr/>
        <w:t>better</w:t>
      </w:r>
    </w:p>
    <w:p>
      <w:pPr>
        <w:spacing w:after="0" w:line="480" w:lineRule="auto"/>
        <w:jc w:val="both"/>
        <w:sectPr>
          <w:headerReference w:type="default" r:id="rId170"/>
          <w:footerReference w:type="default" r:id="rId171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complementarities. MD can provide information on physiological conformations of target</w:t>
      </w:r>
      <w:r>
        <w:rPr>
          <w:spacing w:val="1"/>
        </w:rPr>
        <w:t> </w:t>
      </w:r>
      <w:r>
        <w:rPr/>
        <w:t>proteins, which are, in many cases, not even accessible through experimental techniques</w:t>
      </w:r>
      <w:r>
        <w:rPr>
          <w:spacing w:val="1"/>
        </w:rPr>
        <w:t> </w:t>
      </w:r>
      <w:r>
        <w:rPr/>
        <w:t>(Kalyaanamoorthy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Chen,</w:t>
      </w:r>
      <w:r>
        <w:rPr>
          <w:spacing w:val="1"/>
        </w:rPr>
        <w:t> </w:t>
      </w:r>
      <w:r>
        <w:rPr/>
        <w:t>2014).</w:t>
      </w:r>
      <w:r>
        <w:rPr>
          <w:spacing w:val="1"/>
        </w:rPr>
        <w:t> </w:t>
      </w:r>
      <w:r>
        <w:rPr/>
        <w:t>Methodologically,</w:t>
      </w:r>
      <w:r>
        <w:rPr>
          <w:spacing w:val="1"/>
        </w:rPr>
        <w:t> </w:t>
      </w:r>
      <w:r>
        <w:rPr/>
        <w:t>MD</w:t>
      </w:r>
      <w:r>
        <w:rPr>
          <w:spacing w:val="1"/>
        </w:rPr>
        <w:t> </w:t>
      </w:r>
      <w:r>
        <w:rPr/>
        <w:t>regards</w:t>
      </w:r>
      <w:r>
        <w:rPr>
          <w:spacing w:val="1"/>
        </w:rPr>
        <w:t> </w:t>
      </w:r>
      <w:r>
        <w:rPr/>
        <w:t>atoms</w:t>
      </w:r>
      <w:r>
        <w:rPr>
          <w:spacing w:val="1"/>
        </w:rPr>
        <w:t> </w:t>
      </w:r>
      <w:r>
        <w:rPr/>
        <w:t>as</w:t>
      </w:r>
      <w:r>
        <w:rPr>
          <w:spacing w:val="60"/>
        </w:rPr>
        <w:t> </w:t>
      </w:r>
      <w:r>
        <w:rPr/>
        <w:t>solid</w:t>
      </w:r>
      <w:r>
        <w:rPr>
          <w:spacing w:val="1"/>
        </w:rPr>
        <w:t> </w:t>
      </w:r>
      <w:r>
        <w:rPr/>
        <w:t>spheres and the bonds connecting them as springs. The trajectories of atoms and molecules</w:t>
      </w:r>
      <w:r>
        <w:rPr>
          <w:spacing w:val="-57"/>
        </w:rPr>
        <w:t> </w:t>
      </w:r>
      <w:r>
        <w:rPr/>
        <w:t>are determined</w:t>
      </w:r>
      <w:r>
        <w:rPr>
          <w:spacing w:val="1"/>
        </w:rPr>
        <w:t> </w:t>
      </w:r>
      <w:r>
        <w:rPr/>
        <w:t>by numerically solving Newton ‗s equations ofmotion fora system of</w:t>
      </w:r>
      <w:r>
        <w:rPr>
          <w:spacing w:val="1"/>
        </w:rPr>
        <w:t> </w:t>
      </w:r>
      <w:r>
        <w:rPr/>
        <w:t>interacting particles, where forces between the particles and their potential energies are</w:t>
      </w:r>
      <w:r>
        <w:rPr>
          <w:spacing w:val="1"/>
        </w:rPr>
        <w:t> </w:t>
      </w:r>
      <w:r>
        <w:rPr/>
        <w:t>calculated</w:t>
      </w:r>
      <w:r>
        <w:rPr>
          <w:spacing w:val="1"/>
        </w:rPr>
        <w:t> </w:t>
      </w:r>
      <w:r>
        <w:rPr/>
        <w:t>using</w:t>
      </w:r>
      <w:r>
        <w:rPr>
          <w:spacing w:val="5"/>
        </w:rPr>
        <w:t> </w:t>
      </w:r>
      <w:r>
        <w:rPr/>
        <w:t>force</w:t>
      </w:r>
      <w:r>
        <w:rPr>
          <w:spacing w:val="6"/>
        </w:rPr>
        <w:t> </w:t>
      </w:r>
      <w:r>
        <w:rPr/>
        <w:t>fields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predefined</w:t>
      </w:r>
      <w:r>
        <w:rPr>
          <w:spacing w:val="1"/>
        </w:rPr>
        <w:t> </w:t>
      </w:r>
      <w:r>
        <w:rPr/>
        <w:t>parameters.</w:t>
      </w:r>
    </w:p>
    <w:p>
      <w:pPr>
        <w:spacing w:before="203"/>
        <w:ind w:left="312" w:right="0" w:firstLine="0"/>
        <w:jc w:val="both"/>
        <w:rPr>
          <w:i/>
          <w:sz w:val="24"/>
        </w:rPr>
      </w:pPr>
      <w:r>
        <w:rPr>
          <w:i/>
          <w:sz w:val="24"/>
        </w:rPr>
        <w:t>Structure-Based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Pharmacophores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(SBPs):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0"/>
        <w:jc w:val="both"/>
      </w:pPr>
      <w:r>
        <w:rPr/>
        <w:t>In addition to docking, 3D structural information may be used to derive pharmacophore</w:t>
      </w:r>
      <w:r>
        <w:rPr>
          <w:spacing w:val="1"/>
        </w:rPr>
        <w:t> </w:t>
      </w:r>
      <w:r>
        <w:rPr/>
        <w:t>hypotheses. Pharmacophore is defined by the International Union of Pure and Applied</w:t>
      </w:r>
      <w:r>
        <w:rPr>
          <w:spacing w:val="1"/>
        </w:rPr>
        <w:t> </w:t>
      </w:r>
      <w:r>
        <w:rPr>
          <w:spacing w:val="-2"/>
        </w:rPr>
        <w:t>C</w:t>
      </w:r>
      <w:r>
        <w:rPr/>
        <w:t>h</w:t>
      </w:r>
      <w:r>
        <w:rPr>
          <w:spacing w:val="3"/>
        </w:rPr>
        <w:t>e</w:t>
      </w:r>
      <w:r>
        <w:rPr>
          <w:spacing w:val="-5"/>
        </w:rPr>
        <w:t>mi</w:t>
      </w:r>
      <w:r>
        <w:rPr>
          <w:spacing w:val="-3"/>
          <w:w w:val="99"/>
        </w:rPr>
        <w:t>s</w:t>
      </w:r>
      <w:r>
        <w:rPr>
          <w:spacing w:val="5"/>
        </w:rPr>
        <w:t>t</w:t>
      </w:r>
      <w:r>
        <w:rPr>
          <w:spacing w:val="6"/>
        </w:rPr>
        <w:t>r</w:t>
      </w:r>
      <w:r>
        <w:rPr/>
        <w:t>y</w:t>
      </w:r>
      <w:r>
        <w:rPr>
          <w:spacing w:val="8"/>
        </w:rPr>
        <w:t> </w:t>
      </w:r>
      <w:r>
        <w:rPr>
          <w:spacing w:val="2"/>
        </w:rPr>
        <w:t>(</w:t>
      </w:r>
      <w:r>
        <w:rPr>
          <w:spacing w:val="1"/>
        </w:rPr>
        <w:t>I</w:t>
      </w:r>
      <w:r>
        <w:rPr>
          <w:spacing w:val="-1"/>
        </w:rPr>
        <w:t>UPA</w:t>
      </w:r>
      <w:r>
        <w:rPr>
          <w:spacing w:val="-2"/>
        </w:rPr>
        <w:t>C</w:t>
      </w:r>
      <w:r>
        <w:rPr/>
        <w:t>)</w:t>
      </w:r>
      <w:r>
        <w:rPr>
          <w:spacing w:val="18"/>
        </w:rPr>
        <w:t> </w:t>
      </w:r>
      <w:r>
        <w:rPr>
          <w:spacing w:val="-1"/>
        </w:rPr>
        <w:t>a</w:t>
      </w:r>
      <w:r>
        <w:rPr/>
        <w:t>s</w:t>
      </w:r>
      <w:r>
        <w:rPr>
          <w:spacing w:val="19"/>
        </w:rPr>
        <w:t> </w:t>
      </w:r>
      <w:r>
        <w:rPr>
          <w:spacing w:val="-6"/>
          <w:w w:val="44"/>
        </w:rPr>
        <w:t>―</w:t>
      </w:r>
      <w:r>
        <w:rPr>
          <w:spacing w:val="3"/>
        </w:rPr>
        <w:t>a</w:t>
      </w:r>
      <w:r>
        <w:rPr/>
        <w:t>n</w:t>
      </w:r>
      <w:r>
        <w:rPr>
          <w:spacing w:val="11"/>
        </w:rPr>
        <w:t> </w:t>
      </w:r>
      <w:r>
        <w:rPr>
          <w:spacing w:val="3"/>
        </w:rPr>
        <w:t>e</w:t>
      </w:r>
      <w:r>
        <w:rPr>
          <w:spacing w:val="-5"/>
        </w:rPr>
        <w:t>n</w:t>
      </w:r>
      <w:r>
        <w:rPr>
          <w:spacing w:val="-3"/>
        </w:rPr>
        <w:t>s</w:t>
      </w:r>
      <w:r>
        <w:rPr>
          <w:spacing w:val="3"/>
        </w:rPr>
        <w:t>e</w:t>
      </w:r>
      <w:r>
        <w:rPr>
          <w:spacing w:val="-5"/>
        </w:rPr>
        <w:t>m</w:t>
      </w:r>
      <w:r>
        <w:rPr>
          <w:spacing w:val="4"/>
        </w:rPr>
        <w:t>b</w:t>
      </w:r>
      <w:r>
        <w:rPr>
          <w:spacing w:val="-5"/>
        </w:rPr>
        <w:t>l</w:t>
      </w:r>
      <w:r>
        <w:rPr/>
        <w:t>e</w:t>
      </w:r>
      <w:r>
        <w:rPr>
          <w:spacing w:val="15"/>
        </w:rPr>
        <w:t> </w:t>
      </w:r>
      <w:r>
        <w:rPr>
          <w:spacing w:val="9"/>
        </w:rPr>
        <w:t>o</w:t>
      </w:r>
      <w:r>
        <w:rPr/>
        <w:t>f</w:t>
      </w:r>
      <w:r>
        <w:rPr>
          <w:spacing w:val="8"/>
        </w:rPr>
        <w:t> </w:t>
      </w:r>
      <w:r>
        <w:rPr>
          <w:spacing w:val="-3"/>
        </w:rPr>
        <w:t>s</w:t>
      </w:r>
      <w:r>
        <w:rPr>
          <w:spacing w:val="5"/>
        </w:rPr>
        <w:t>t</w:t>
      </w:r>
      <w:r>
        <w:rPr>
          <w:spacing w:val="-1"/>
        </w:rPr>
        <w:t>e</w:t>
      </w:r>
      <w:r>
        <w:rPr>
          <w:spacing w:val="1"/>
        </w:rPr>
        <w:t>r</w:t>
      </w:r>
      <w:r>
        <w:rPr>
          <w:spacing w:val="-5"/>
        </w:rPr>
        <w:t>i</w:t>
      </w:r>
      <w:r>
        <w:rPr/>
        <w:t>c</w:t>
      </w:r>
      <w:r>
        <w:rPr>
          <w:spacing w:val="20"/>
        </w:rPr>
        <w:t> </w:t>
      </w:r>
      <w:r>
        <w:rPr>
          <w:spacing w:val="-1"/>
        </w:rPr>
        <w:t>a</w:t>
      </w:r>
      <w:r>
        <w:rPr>
          <w:spacing w:val="-5"/>
        </w:rPr>
        <w:t>n</w:t>
      </w:r>
      <w:r>
        <w:rPr/>
        <w:t>d</w:t>
      </w:r>
      <w:r>
        <w:rPr>
          <w:spacing w:val="21"/>
        </w:rPr>
        <w:t> </w:t>
      </w:r>
      <w:r>
        <w:rPr>
          <w:spacing w:val="3"/>
        </w:rPr>
        <w:t>e</w:t>
      </w:r>
      <w:r>
        <w:rPr>
          <w:spacing w:val="-10"/>
        </w:rPr>
        <w:t>l</w:t>
      </w:r>
      <w:r>
        <w:rPr>
          <w:spacing w:val="-1"/>
        </w:rPr>
        <w:t>ec</w:t>
      </w:r>
      <w:r>
        <w:rPr>
          <w:spacing w:val="5"/>
        </w:rPr>
        <w:t>t</w:t>
      </w:r>
      <w:r>
        <w:rPr>
          <w:spacing w:val="1"/>
        </w:rPr>
        <w:t>r</w:t>
      </w:r>
      <w:r>
        <w:rPr>
          <w:spacing w:val="4"/>
        </w:rPr>
        <w:t>o</w:t>
      </w:r>
      <w:r>
        <w:rPr/>
        <w:t>n</w:t>
      </w:r>
      <w:r>
        <w:rPr>
          <w:spacing w:val="-10"/>
        </w:rPr>
        <w:t>i</w:t>
      </w:r>
      <w:r>
        <w:rPr/>
        <w:t>c</w:t>
      </w:r>
      <w:r>
        <w:rPr>
          <w:spacing w:val="20"/>
        </w:rPr>
        <w:t> </w:t>
      </w:r>
      <w:r>
        <w:rPr>
          <w:spacing w:val="-8"/>
        </w:rPr>
        <w:t>f</w:t>
      </w:r>
      <w:r>
        <w:rPr>
          <w:spacing w:val="3"/>
        </w:rPr>
        <w:t>e</w:t>
      </w:r>
      <w:r>
        <w:rPr>
          <w:spacing w:val="-1"/>
        </w:rPr>
        <w:t>a</w:t>
      </w:r>
      <w:r>
        <w:rPr>
          <w:spacing w:val="5"/>
        </w:rPr>
        <w:t>t</w:t>
      </w:r>
      <w:r>
        <w:rPr/>
        <w:t>u</w:t>
      </w:r>
      <w:r>
        <w:rPr>
          <w:spacing w:val="1"/>
        </w:rPr>
        <w:t>r</w:t>
      </w:r>
      <w:r>
        <w:rPr>
          <w:spacing w:val="-1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</w:rPr>
        <w:t>n</w:t>
      </w:r>
      <w:r>
        <w:rPr>
          <w:spacing w:val="-1"/>
        </w:rPr>
        <w:t>ece</w:t>
      </w:r>
      <w:r>
        <w:rPr>
          <w:spacing w:val="2"/>
          <w:w w:val="99"/>
        </w:rPr>
        <w:t>s</w:t>
      </w:r>
      <w:r>
        <w:rPr>
          <w:spacing w:val="-3"/>
          <w:w w:val="99"/>
        </w:rPr>
        <w:t>s</w:t>
      </w:r>
      <w:r>
        <w:rPr>
          <w:spacing w:val="-1"/>
        </w:rPr>
        <w:t>a</w:t>
      </w:r>
      <w:r>
        <w:rPr>
          <w:spacing w:val="6"/>
        </w:rPr>
        <w:t>r</w:t>
      </w:r>
      <w:r>
        <w:rPr/>
        <w:t>y</w:t>
      </w:r>
      <w:r>
        <w:rPr>
          <w:spacing w:val="6"/>
        </w:rPr>
        <w:t> </w:t>
      </w:r>
      <w:r>
        <w:rPr>
          <w:spacing w:val="5"/>
        </w:rPr>
        <w:t>t</w:t>
      </w:r>
      <w:r>
        <w:rPr/>
        <w:t>o</w:t>
      </w:r>
      <w:r>
        <w:rPr>
          <w:spacing w:val="21"/>
        </w:rPr>
        <w:t> </w:t>
      </w:r>
      <w:r>
        <w:rPr>
          <w:spacing w:val="-1"/>
        </w:rPr>
        <w:t>e</w:t>
      </w:r>
      <w:r>
        <w:rPr>
          <w:spacing w:val="-5"/>
        </w:rPr>
        <w:t>n</w:t>
      </w:r>
      <w:r>
        <w:rPr>
          <w:spacing w:val="-3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/>
        <w:t>the optimal supramolecular interactions with a specific biological target and to trigger (or</w:t>
      </w:r>
      <w:r>
        <w:rPr>
          <w:spacing w:val="1"/>
        </w:rPr>
        <w:t> </w:t>
      </w:r>
      <w:r>
        <w:rPr/>
        <w:t>block)</w:t>
      </w:r>
      <w:r>
        <w:rPr>
          <w:spacing w:val="60"/>
        </w:rPr>
        <w:t> </w:t>
      </w:r>
      <w:r>
        <w:rPr/>
        <w:t>its biological response‖ and can be used to screen a compound database (Wermuth</w:t>
      </w:r>
      <w:r>
        <w:rPr>
          <w:spacing w:val="1"/>
        </w:rPr>
        <w:t> </w:t>
      </w:r>
      <w:r>
        <w:rPr>
          <w:i/>
        </w:rPr>
        <w:t>et al., </w:t>
      </w:r>
      <w:r>
        <w:rPr/>
        <w:t>1998). A typical pharmacophore features include hydrophobic centroids, aromatic</w:t>
      </w:r>
      <w:r>
        <w:rPr>
          <w:spacing w:val="1"/>
        </w:rPr>
        <w:t> </w:t>
      </w:r>
      <w:r>
        <w:rPr/>
        <w:t>rings, hydrogen bond acceptors or donors, cations, and anions. Hence, SBPs describe the</w:t>
      </w:r>
      <w:r>
        <w:rPr>
          <w:spacing w:val="1"/>
        </w:rPr>
        <w:t> </w:t>
      </w:r>
      <w:r>
        <w:rPr/>
        <w:t>spatial arrangement of essential ligand-macromolecule interactions directly from the 3D</w:t>
      </w:r>
      <w:r>
        <w:rPr>
          <w:spacing w:val="1"/>
        </w:rPr>
        <w:t> </w:t>
      </w:r>
      <w:r>
        <w:rPr/>
        <w:t>structural data. This approach determines chemical features based on complementarities</w:t>
      </w:r>
      <w:r>
        <w:rPr>
          <w:spacing w:val="1"/>
        </w:rPr>
        <w:t> </w:t>
      </w:r>
      <w:r>
        <w:rPr/>
        <w:t>between a ligand and its binding site. Nonetheless, the selection of features in SBPs is a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effort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ligand-based,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possibilities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conformational and spatial states (Pirhadi </w:t>
      </w:r>
      <w:r>
        <w:rPr>
          <w:i/>
        </w:rPr>
        <w:t>et al., </w:t>
      </w:r>
      <w:r>
        <w:rPr/>
        <w:t>2013). Typically, SBPs can be created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ligand-</w:t>
      </w:r>
      <w:r>
        <w:rPr>
          <w:spacing w:val="1"/>
        </w:rPr>
        <w:t> </w:t>
      </w:r>
      <w:r>
        <w:rPr/>
        <w:t>macromolecule</w:t>
      </w:r>
      <w:r>
        <w:rPr>
          <w:spacing w:val="1"/>
        </w:rPr>
        <w:t> </w:t>
      </w:r>
      <w:r>
        <w:rPr/>
        <w:t>complexes</w:t>
      </w:r>
      <w:r>
        <w:rPr>
          <w:spacing w:val="1"/>
        </w:rPr>
        <w:t> </w:t>
      </w:r>
      <w:r>
        <w:rPr/>
        <w:t>(holo)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using</w:t>
      </w:r>
      <w:r>
        <w:rPr>
          <w:spacing w:val="60"/>
        </w:rPr>
        <w:t> </w:t>
      </w:r>
      <w:r>
        <w:rPr/>
        <w:t>ligand-free</w:t>
      </w:r>
      <w:r>
        <w:rPr>
          <w:spacing w:val="60"/>
        </w:rPr>
        <w:t> </w:t>
      </w:r>
      <w:r>
        <w:rPr/>
        <w:t>macromolecules</w:t>
      </w:r>
      <w:r>
        <w:rPr>
          <w:spacing w:val="1"/>
        </w:rPr>
        <w:t> </w:t>
      </w:r>
      <w:r>
        <w:rPr/>
        <w:t>(apo). The generation of models using holo structures allows complete exploration of the</w:t>
      </w:r>
      <w:r>
        <w:rPr>
          <w:spacing w:val="1"/>
        </w:rPr>
        <w:t> </w:t>
      </w:r>
      <w:r>
        <w:rPr/>
        <w:t>ligand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site,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inclusion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shape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volume</w:t>
      </w:r>
      <w:r>
        <w:rPr>
          <w:spacing w:val="1"/>
        </w:rPr>
        <w:t> </w:t>
      </w:r>
      <w:r>
        <w:rPr/>
        <w:t>information derived directly from the structural data (Pirhadi </w:t>
      </w:r>
      <w:r>
        <w:rPr>
          <w:i/>
        </w:rPr>
        <w:t>et al., </w:t>
      </w:r>
      <w:r>
        <w:rPr/>
        <w:t>2013). In the absence</w:t>
      </w:r>
      <w:r>
        <w:rPr>
          <w:spacing w:val="1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6"/>
        </w:rPr>
        <w:t> </w:t>
      </w:r>
      <w:r>
        <w:rPr/>
        <w:t>ligand</w:t>
      </w:r>
      <w:r>
        <w:rPr>
          <w:spacing w:val="8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7"/>
        </w:rPr>
        <w:t> </w:t>
      </w:r>
      <w:r>
        <w:rPr/>
        <w:t>binding</w:t>
      </w:r>
      <w:r>
        <w:rPr>
          <w:spacing w:val="3"/>
        </w:rPr>
        <w:t> </w:t>
      </w:r>
      <w:r>
        <w:rPr/>
        <w:t>site,</w:t>
      </w:r>
      <w:r>
        <w:rPr>
          <w:spacing w:val="6"/>
        </w:rPr>
        <w:t> </w:t>
      </w:r>
      <w:r>
        <w:rPr/>
        <w:t>pharmacophores</w:t>
      </w:r>
      <w:r>
        <w:rPr>
          <w:spacing w:val="1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3"/>
        </w:rPr>
        <w:t> </w:t>
      </w:r>
      <w:r>
        <w:rPr/>
        <w:t>obtained</w:t>
      </w:r>
      <w:r>
        <w:rPr>
          <w:spacing w:val="3"/>
        </w:rPr>
        <w:t> </w:t>
      </w:r>
      <w:r>
        <w:rPr/>
        <w:t>using</w:t>
      </w:r>
      <w:r>
        <w:rPr>
          <w:spacing w:val="8"/>
        </w:rPr>
        <w:t> </w:t>
      </w:r>
      <w:r>
        <w:rPr/>
        <w:t>functional</w:t>
      </w:r>
      <w:r>
        <w:rPr>
          <w:spacing w:val="-6"/>
        </w:rPr>
        <w:t> </w:t>
      </w:r>
      <w:r>
        <w:rPr/>
        <w:t>groups</w:t>
      </w:r>
      <w:r>
        <w:rPr>
          <w:spacing w:val="1"/>
        </w:rPr>
        <w:t> </w:t>
      </w:r>
      <w:r>
        <w:rPr/>
        <w:t>or</w:t>
      </w:r>
    </w:p>
    <w:p>
      <w:pPr>
        <w:spacing w:after="0" w:line="480" w:lineRule="auto"/>
        <w:jc w:val="both"/>
        <w:sectPr>
          <w:headerReference w:type="default" r:id="rId172"/>
          <w:footerReference w:type="default" r:id="rId173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1"/>
        <w:jc w:val="both"/>
      </w:pPr>
      <w:r>
        <w:rPr/>
        <w:t>small fragments, also referred to as molecular probes, to map possible interaction sites or</w:t>
      </w:r>
      <w:r>
        <w:rPr>
          <w:spacing w:val="1"/>
        </w:rPr>
        <w:t> </w:t>
      </w:r>
      <w:r>
        <w:rPr/>
        <w:t>hot</w:t>
      </w:r>
      <w:r>
        <w:rPr>
          <w:spacing w:val="1"/>
        </w:rPr>
        <w:t> </w:t>
      </w:r>
      <w:r>
        <w:rPr/>
        <w:t>spots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site.</w:t>
      </w:r>
      <w:r>
        <w:rPr>
          <w:spacing w:val="1"/>
        </w:rPr>
        <w:t> </w:t>
      </w:r>
      <w:r>
        <w:rPr/>
        <w:t>Selected</w:t>
      </w:r>
      <w:r>
        <w:rPr>
          <w:spacing w:val="1"/>
        </w:rPr>
        <w:t> </w:t>
      </w:r>
      <w:r>
        <w:rPr/>
        <w:t>hot</w:t>
      </w:r>
      <w:r>
        <w:rPr>
          <w:spacing w:val="1"/>
        </w:rPr>
        <w:t> </w:t>
      </w:r>
      <w:r>
        <w:rPr/>
        <w:t>spots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converted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pharmacophoric</w:t>
      </w:r>
      <w:r>
        <w:rPr>
          <w:spacing w:val="4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to generate a structure-based</w:t>
      </w:r>
      <w:r>
        <w:rPr>
          <w:spacing w:val="1"/>
        </w:rPr>
        <w:t> </w:t>
      </w:r>
      <w:r>
        <w:rPr/>
        <w:t>pharmacophore</w:t>
      </w:r>
      <w:r>
        <w:rPr>
          <w:spacing w:val="-1"/>
        </w:rPr>
        <w:t> </w:t>
      </w:r>
      <w:r>
        <w:rPr/>
        <w:t>model.</w:t>
      </w:r>
    </w:p>
    <w:p>
      <w:pPr>
        <w:pStyle w:val="ListParagraph"/>
        <w:numPr>
          <w:ilvl w:val="3"/>
          <w:numId w:val="13"/>
        </w:numPr>
        <w:tabs>
          <w:tab w:pos="1033" w:val="left" w:leader="none"/>
        </w:tabs>
        <w:spacing w:line="240" w:lineRule="auto" w:before="202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Ligand-Based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Drug Design (LBDD).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4"/>
        <w:jc w:val="both"/>
      </w:pPr>
      <w:r>
        <w:rPr/>
        <w:t>In some cases, usually when data pertaining to the 3D structure of a target protein are not</w:t>
      </w:r>
      <w:r>
        <w:rPr>
          <w:spacing w:val="1"/>
        </w:rPr>
        <w:t> </w:t>
      </w:r>
      <w:r>
        <w:rPr/>
        <w:t>available, CADD can instead be based on processes using the known ligands of a target</w:t>
      </w:r>
      <w:r>
        <w:rPr>
          <w:spacing w:val="1"/>
        </w:rPr>
        <w:t> </w:t>
      </w:r>
      <w:r>
        <w:rPr/>
        <w:t>protein or known active compounds in phenotypic assays as starting points. This approach</w:t>
      </w:r>
      <w:r>
        <w:rPr>
          <w:spacing w:val="1"/>
        </w:rPr>
        <w:t> </w:t>
      </w:r>
      <w:r>
        <w:rPr/>
        <w:t>is known as LBDD (Pirhadi </w:t>
      </w:r>
      <w:r>
        <w:rPr>
          <w:i/>
        </w:rPr>
        <w:t>et al., </w:t>
      </w:r>
      <w:r>
        <w:rPr/>
        <w:t>2013). Similarity search, ligand-based pharmacophores,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quantitative</w:t>
      </w:r>
      <w:r>
        <w:rPr>
          <w:spacing w:val="1"/>
        </w:rPr>
        <w:t> </w:t>
      </w:r>
      <w:r>
        <w:rPr/>
        <w:t>structure-activity relationship</w:t>
      </w:r>
      <w:r>
        <w:rPr>
          <w:spacing w:val="1"/>
        </w:rPr>
        <w:t> </w:t>
      </w:r>
      <w:r>
        <w:rPr/>
        <w:t>(QSAR)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popular</w:t>
      </w:r>
      <w:r>
        <w:rPr>
          <w:spacing w:val="1"/>
        </w:rPr>
        <w:t> </w:t>
      </w:r>
      <w:r>
        <w:rPr/>
        <w:t>methods</w:t>
      </w:r>
      <w:r>
        <w:rPr>
          <w:spacing w:val="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LBDD</w:t>
      </w:r>
      <w:r>
        <w:rPr>
          <w:spacing w:val="1"/>
        </w:rPr>
        <w:t> </w:t>
      </w:r>
      <w:r>
        <w:rPr/>
        <w:t>process.</w:t>
      </w:r>
    </w:p>
    <w:p>
      <w:pPr>
        <w:spacing w:before="203"/>
        <w:ind w:left="312" w:right="0" w:firstLine="0"/>
        <w:jc w:val="both"/>
        <w:rPr>
          <w:i/>
          <w:sz w:val="24"/>
        </w:rPr>
      </w:pPr>
      <w:r>
        <w:rPr>
          <w:i/>
          <w:sz w:val="24"/>
        </w:rPr>
        <w:t>Similarity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search: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9"/>
        <w:ind w:left="312" w:right="691"/>
        <w:jc w:val="both"/>
      </w:pPr>
      <w:r>
        <w:rPr/>
        <w:t>The major principle of medicinal chemistry is the assumption that structurally similar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(Gomes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2017).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60"/>
        </w:rPr>
        <w:t> </w:t>
      </w:r>
      <w:r>
        <w:rPr/>
        <w:t>this</w:t>
      </w:r>
      <w:r>
        <w:rPr>
          <w:spacing w:val="1"/>
        </w:rPr>
        <w:t> </w:t>
      </w:r>
      <w:r>
        <w:rPr/>
        <w:t>premise, similarity search techniques have been applied to chemical structures to allow</w:t>
      </w:r>
      <w:r>
        <w:rPr>
          <w:spacing w:val="1"/>
        </w:rPr>
        <w:t> </w:t>
      </w:r>
      <w:r>
        <w:rPr/>
        <w:t>rapid structural comparison in an effort to identify structurally similar compounds or to</w:t>
      </w:r>
      <w:r>
        <w:rPr>
          <w:spacing w:val="1"/>
        </w:rPr>
        <w:t> </w:t>
      </w:r>
      <w:r>
        <w:rPr/>
        <w:t>cluster</w:t>
      </w:r>
      <w:r>
        <w:rPr>
          <w:spacing w:val="2"/>
        </w:rPr>
        <w:t> </w:t>
      </w:r>
      <w:r>
        <w:rPr/>
        <w:t>collections</w:t>
      </w:r>
      <w:r>
        <w:rPr>
          <w:spacing w:val="4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-3"/>
        </w:rPr>
        <w:t> </w:t>
      </w:r>
      <w:r>
        <w:rPr/>
        <w:t>structural</w:t>
      </w:r>
      <w:r>
        <w:rPr>
          <w:spacing w:val="-7"/>
        </w:rPr>
        <w:t> </w:t>
      </w:r>
      <w:r>
        <w:rPr/>
        <w:t>similarity.</w:t>
      </w:r>
    </w:p>
    <w:p>
      <w:pPr>
        <w:pStyle w:val="BodyText"/>
        <w:spacing w:line="480" w:lineRule="auto" w:before="198"/>
        <w:ind w:left="312" w:right="691"/>
        <w:jc w:val="both"/>
      </w:pPr>
      <w:r>
        <w:rPr/>
        <w:t>Methodologically, both query ligand and the database of compounds could be represented</w:t>
      </w:r>
      <w:r>
        <w:rPr>
          <w:spacing w:val="1"/>
        </w:rPr>
        <w:t> </w:t>
      </w:r>
      <w:r>
        <w:rPr/>
        <w:t>and further compared using molecular fingerprints (a string made up of binary digits that</w:t>
      </w:r>
      <w:r>
        <w:rPr>
          <w:spacing w:val="1"/>
        </w:rPr>
        <w:t> </w:t>
      </w:r>
      <w:r>
        <w:rPr/>
        <w:t>account for the presence (1) or absence (0) of representative fragments or atoms in the</w:t>
      </w:r>
      <w:r>
        <w:rPr>
          <w:spacing w:val="1"/>
        </w:rPr>
        <w:t> </w:t>
      </w:r>
      <w:r>
        <w:rPr/>
        <w:t>chemical structure). These fingerprints vary greatly in length and complexity ranging from</w:t>
      </w:r>
      <w:r>
        <w:rPr>
          <w:spacing w:val="-57"/>
        </w:rPr>
        <w:t> </w:t>
      </w:r>
      <w:r>
        <w:rPr/>
        <w:t>simple</w:t>
      </w:r>
      <w:r>
        <w:rPr>
          <w:spacing w:val="1"/>
        </w:rPr>
        <w:t> </w:t>
      </w:r>
      <w:r>
        <w:rPr/>
        <w:t>topological</w:t>
      </w:r>
      <w:r>
        <w:rPr>
          <w:spacing w:val="1"/>
        </w:rPr>
        <w:t> </w:t>
      </w:r>
      <w:r>
        <w:rPr/>
        <w:t>representations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complicated</w:t>
      </w:r>
      <w:r>
        <w:rPr>
          <w:spacing w:val="1"/>
        </w:rPr>
        <w:t> </w:t>
      </w:r>
      <w:r>
        <w:rPr/>
        <w:t>multi-point</w:t>
      </w:r>
      <w:r>
        <w:rPr>
          <w:spacing w:val="1"/>
        </w:rPr>
        <w:t> </w:t>
      </w:r>
      <w:r>
        <w:rPr/>
        <w:t>3D</w:t>
      </w:r>
      <w:r>
        <w:rPr>
          <w:spacing w:val="1"/>
        </w:rPr>
        <w:t> </w:t>
      </w:r>
      <w:r>
        <w:rPr/>
        <w:t>pharmacophore</w:t>
      </w:r>
      <w:r>
        <w:rPr>
          <w:spacing w:val="1"/>
        </w:rPr>
        <w:t> </w:t>
      </w:r>
      <w:r>
        <w:rPr/>
        <w:t>arrangements</w:t>
      </w:r>
      <w:r>
        <w:rPr>
          <w:spacing w:val="-1"/>
        </w:rPr>
        <w:t> </w:t>
      </w:r>
      <w:r>
        <w:rPr/>
        <w:t>(Muegge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Mukherjee,</w:t>
      </w:r>
      <w:r>
        <w:rPr>
          <w:spacing w:val="4"/>
        </w:rPr>
        <w:t> </w:t>
      </w:r>
      <w:r>
        <w:rPr/>
        <w:t>2016).</w:t>
      </w:r>
    </w:p>
    <w:p>
      <w:pPr>
        <w:spacing w:before="203"/>
        <w:ind w:left="312" w:right="0" w:firstLine="0"/>
        <w:jc w:val="both"/>
        <w:rPr>
          <w:i/>
          <w:sz w:val="24"/>
        </w:rPr>
      </w:pPr>
      <w:r>
        <w:rPr>
          <w:i/>
          <w:sz w:val="24"/>
        </w:rPr>
        <w:t>Ligand-Based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Pharmacophores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(LBPs):</w:t>
      </w:r>
    </w:p>
    <w:p>
      <w:pPr>
        <w:spacing w:after="0"/>
        <w:jc w:val="both"/>
        <w:rPr>
          <w:sz w:val="24"/>
        </w:rPr>
        <w:sectPr>
          <w:headerReference w:type="default" r:id="rId174"/>
          <w:footerReference w:type="default" r:id="rId17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0"/>
        <w:jc w:val="both"/>
      </w:pPr>
      <w:r>
        <w:rPr/>
        <w:t>The pharmacophore approach aims to</w:t>
      </w:r>
      <w:r>
        <w:rPr>
          <w:spacing w:val="1"/>
        </w:rPr>
        <w:t> </w:t>
      </w:r>
      <w:r>
        <w:rPr/>
        <w:t>identify molecules containing different</w:t>
      </w:r>
      <w:r>
        <w:rPr>
          <w:spacing w:val="60"/>
        </w:rPr>
        <w:t> </w:t>
      </w:r>
      <w:r>
        <w:rPr/>
        <w:t>scaffolds,</w:t>
      </w:r>
      <w:r>
        <w:rPr>
          <w:spacing w:val="1"/>
        </w:rPr>
        <w:t> </w:t>
      </w:r>
      <w:r>
        <w:rPr/>
        <w:t>but with a similar 3D arrangement of key interacting functional groups. LBPs identify key</w:t>
      </w:r>
      <w:r>
        <w:rPr>
          <w:spacing w:val="1"/>
        </w:rPr>
        <w:t> </w:t>
      </w:r>
      <w:r>
        <w:rPr/>
        <w:t>common features (e.g., hydrogen bond donors or acceptors, aromatic rings, partial charges,</w:t>
      </w:r>
      <w:r>
        <w:rPr>
          <w:spacing w:val="-57"/>
        </w:rPr>
        <w:t> </w:t>
      </w:r>
      <w:r>
        <w:rPr/>
        <w:t>and hydrophobicity) and the relative orientations of known active ligands not shared by</w:t>
      </w:r>
      <w:r>
        <w:rPr>
          <w:spacing w:val="1"/>
        </w:rPr>
        <w:t> </w:t>
      </w:r>
      <w:r>
        <w:rPr/>
        <w:t>inactive</w:t>
      </w:r>
      <w:r>
        <w:rPr>
          <w:spacing w:val="1"/>
        </w:rPr>
        <w:t> </w:t>
      </w:r>
      <w:r>
        <w:rPr/>
        <w:t>ligands. Its elucidation involves two</w:t>
      </w:r>
      <w:r>
        <w:rPr>
          <w:spacing w:val="60"/>
        </w:rPr>
        <w:t> </w:t>
      </w:r>
      <w:r>
        <w:rPr/>
        <w:t>main stages: (i) the analysis of the training</w:t>
      </w:r>
      <w:r>
        <w:rPr>
          <w:spacing w:val="1"/>
        </w:rPr>
        <w:t> </w:t>
      </w:r>
      <w:r>
        <w:rPr/>
        <w:t>set molecules to identify common pharmacophoric points and (ii) the alignment of the</w:t>
      </w:r>
      <w:r>
        <w:rPr>
          <w:spacing w:val="1"/>
        </w:rPr>
        <w:t> </w:t>
      </w:r>
      <w:r>
        <w:rPr/>
        <w:t>bioactive conformations of these molecules to determine the best overlay of corresponding</w:t>
      </w:r>
      <w:r>
        <w:rPr>
          <w:spacing w:val="-57"/>
        </w:rPr>
        <w:t> </w:t>
      </w:r>
      <w:r>
        <w:rPr/>
        <w:t>features.</w:t>
      </w:r>
      <w:r>
        <w:rPr>
          <w:spacing w:val="1"/>
        </w:rPr>
        <w:t> </w:t>
      </w:r>
      <w:r>
        <w:rPr/>
        <w:t>During this process, molecular features, which are not consistently observed in</w:t>
      </w:r>
      <w:r>
        <w:rPr>
          <w:spacing w:val="1"/>
        </w:rPr>
        <w:t> </w:t>
      </w:r>
      <w:r>
        <w:rPr/>
        <w:t>active compounds should be made optional or removed from the model. Furthermore,</w:t>
      </w:r>
      <w:r>
        <w:rPr>
          <w:spacing w:val="1"/>
        </w:rPr>
        <w:t> </w:t>
      </w:r>
      <w:r>
        <w:rPr/>
        <w:t>spatial constraints can be employed in moieties occupied by inactive compounds and</w:t>
      </w:r>
      <w:r>
        <w:rPr>
          <w:spacing w:val="1"/>
        </w:rPr>
        <w:t> </w:t>
      </w:r>
      <w:r>
        <w:rPr/>
        <w:t>refined to avoid</w:t>
      </w:r>
      <w:r>
        <w:rPr>
          <w:spacing w:val="1"/>
        </w:rPr>
        <w:t> </w:t>
      </w:r>
      <w:r>
        <w:rPr/>
        <w:t>making the model too restrictive. After model refinement, validation</w:t>
      </w:r>
      <w:r>
        <w:rPr>
          <w:spacing w:val="1"/>
        </w:rPr>
        <w:t> </w:t>
      </w:r>
      <w:r>
        <w:rPr/>
        <w:t>studies using statistical metrics must be performed to determine the ability of the model to</w:t>
      </w:r>
      <w:r>
        <w:rPr>
          <w:spacing w:val="1"/>
        </w:rPr>
        <w:t> </w:t>
      </w:r>
      <w:r>
        <w:rPr/>
        <w:t>discriminate</w:t>
      </w:r>
      <w:r>
        <w:rPr>
          <w:spacing w:val="-1"/>
        </w:rPr>
        <w:t> </w:t>
      </w:r>
      <w:r>
        <w:rPr/>
        <w:t>between</w:t>
      </w:r>
      <w:r>
        <w:rPr>
          <w:spacing w:val="-4"/>
        </w:rPr>
        <w:t> </w:t>
      </w:r>
      <w:r>
        <w:rPr/>
        <w:t>known</w:t>
      </w:r>
      <w:r>
        <w:rPr>
          <w:spacing w:val="-5"/>
        </w:rPr>
        <w:t> </w:t>
      </w:r>
      <w:r>
        <w:rPr/>
        <w:t>active</w:t>
      </w:r>
      <w:r>
        <w:rPr>
          <w:spacing w:val="-1"/>
        </w:rPr>
        <w:t> </w:t>
      </w:r>
      <w:r>
        <w:rPr/>
        <w:t>and</w:t>
      </w:r>
      <w:r>
        <w:rPr>
          <w:spacing w:val="5"/>
        </w:rPr>
        <w:t> </w:t>
      </w:r>
      <w:r>
        <w:rPr/>
        <w:t>inactive</w:t>
      </w:r>
      <w:r>
        <w:rPr>
          <w:spacing w:val="-1"/>
        </w:rPr>
        <w:t> </w:t>
      </w:r>
      <w:r>
        <w:rPr/>
        <w:t>compounds</w:t>
      </w:r>
      <w:r>
        <w:rPr>
          <w:spacing w:val="-1"/>
        </w:rPr>
        <w:t> </w:t>
      </w:r>
      <w:r>
        <w:rPr/>
        <w:t>(Vuorinen</w:t>
      </w:r>
      <w:r>
        <w:rPr>
          <w:spacing w:val="4"/>
        </w:rPr>
        <w:t> </w:t>
      </w:r>
      <w:r>
        <w:rPr>
          <w:i/>
        </w:rPr>
        <w:t>et al.,</w:t>
      </w:r>
      <w:r>
        <w:rPr>
          <w:i/>
          <w:spacing w:val="4"/>
        </w:rPr>
        <w:t> </w:t>
      </w:r>
      <w:r>
        <w:rPr/>
        <w:t>2015).</w:t>
      </w:r>
    </w:p>
    <w:p>
      <w:pPr>
        <w:spacing w:before="204"/>
        <w:ind w:left="312" w:right="0" w:firstLine="0"/>
        <w:jc w:val="both"/>
        <w:rPr>
          <w:i/>
          <w:sz w:val="24"/>
        </w:rPr>
      </w:pPr>
      <w:r>
        <w:rPr>
          <w:i/>
          <w:sz w:val="24"/>
        </w:rPr>
        <w:t>Quantitative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activity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relationship(QSAR):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9"/>
        <w:jc w:val="both"/>
      </w:pPr>
      <w:r>
        <w:rPr/>
        <w:t>QSAR is a mathematical model describing the relationship between chemical structure and</w:t>
      </w:r>
      <w:r>
        <w:rPr>
          <w:spacing w:val="-58"/>
        </w:rPr>
        <w:t> </w:t>
      </w:r>
      <w:r>
        <w:rPr/>
        <w:t>respective</w:t>
      </w:r>
      <w:r>
        <w:rPr>
          <w:spacing w:val="18"/>
        </w:rPr>
        <w:t> </w:t>
      </w:r>
      <w:r>
        <w:rPr/>
        <w:t>biological</w:t>
      </w:r>
      <w:r>
        <w:rPr>
          <w:spacing w:val="10"/>
        </w:rPr>
        <w:t> </w:t>
      </w:r>
      <w:r>
        <w:rPr/>
        <w:t>activity</w:t>
      </w:r>
      <w:r>
        <w:rPr>
          <w:spacing w:val="9"/>
        </w:rPr>
        <w:t> </w:t>
      </w:r>
      <w:r>
        <w:rPr/>
        <w:t>of</w:t>
      </w:r>
      <w:r>
        <w:rPr>
          <w:spacing w:val="6"/>
        </w:rPr>
        <w:t> </w:t>
      </w:r>
      <w:r>
        <w:rPr/>
        <w:t>a</w:t>
      </w:r>
      <w:r>
        <w:rPr>
          <w:spacing w:val="18"/>
        </w:rPr>
        <w:t> </w:t>
      </w:r>
      <w:r>
        <w:rPr/>
        <w:t>set</w:t>
      </w:r>
      <w:r>
        <w:rPr>
          <w:spacing w:val="19"/>
        </w:rPr>
        <w:t> </w:t>
      </w:r>
      <w:r>
        <w:rPr/>
        <w:t>of</w:t>
      </w:r>
      <w:r>
        <w:rPr>
          <w:spacing w:val="7"/>
        </w:rPr>
        <w:t> </w:t>
      </w:r>
      <w:r>
        <w:rPr/>
        <w:t>compounds.</w:t>
      </w:r>
      <w:r>
        <w:rPr>
          <w:spacing w:val="16"/>
        </w:rPr>
        <w:t> </w:t>
      </w:r>
      <w:r>
        <w:rPr/>
        <w:t>QSAR</w:t>
      </w:r>
      <w:r>
        <w:rPr>
          <w:spacing w:val="17"/>
        </w:rPr>
        <w:t> </w:t>
      </w:r>
      <w:r>
        <w:rPr/>
        <w:t>modeling</w:t>
      </w:r>
      <w:r>
        <w:rPr>
          <w:spacing w:val="14"/>
        </w:rPr>
        <w:t> </w:t>
      </w:r>
      <w:r>
        <w:rPr/>
        <w:t>could</w:t>
      </w:r>
      <w:r>
        <w:rPr>
          <w:spacing w:val="19"/>
        </w:rPr>
        <w:t> </w:t>
      </w:r>
      <w:r>
        <w:rPr/>
        <w:t>be</w:t>
      </w:r>
      <w:r>
        <w:rPr>
          <w:spacing w:val="13"/>
        </w:rPr>
        <w:t> </w:t>
      </w:r>
      <w:r>
        <w:rPr/>
        <w:t>presented</w:t>
      </w:r>
      <w:r>
        <w:rPr>
          <w:spacing w:val="-57"/>
        </w:rPr>
        <w:t> </w:t>
      </w:r>
      <w:r>
        <w:rPr/>
        <w:t>as a two-part process. Firstly, chemical structures are converted into a vector of features,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descriptors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generically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symbol</w:t>
      </w:r>
      <w:r>
        <w:rPr>
          <w:spacing w:val="1"/>
        </w:rPr>
        <w:t> </w:t>
      </w:r>
      <w:r>
        <w:rPr/>
        <w:t>x.</w:t>
      </w:r>
      <w:r>
        <w:rPr>
          <w:spacing w:val="1"/>
        </w:rPr>
        <w:t> </w:t>
      </w:r>
      <w:r>
        <w:rPr/>
        <w:t>Thousands of descriptors, both freely available and commercial, encode a compound as a</w:t>
      </w:r>
      <w:r>
        <w:rPr>
          <w:spacing w:val="1"/>
        </w:rPr>
        <w:t> </w:t>
      </w:r>
      <w:r>
        <w:rPr/>
        <w:t>feature</w:t>
      </w:r>
      <w:r>
        <w:rPr>
          <w:spacing w:val="1"/>
        </w:rPr>
        <w:t> </w:t>
      </w:r>
      <w:r>
        <w:rPr/>
        <w:t>vector.</w:t>
      </w:r>
      <w:r>
        <w:rPr>
          <w:spacing w:val="1"/>
        </w:rPr>
        <w:t> </w:t>
      </w:r>
      <w:r>
        <w:rPr/>
        <w:t>Then,</w:t>
      </w:r>
      <w:r>
        <w:rPr>
          <w:spacing w:val="1"/>
        </w:rPr>
        <w:t> </w:t>
      </w:r>
      <w:r>
        <w:rPr/>
        <w:t>machine</w:t>
      </w:r>
      <w:r>
        <w:rPr>
          <w:spacing w:val="1"/>
        </w:rPr>
        <w:t> </w:t>
      </w:r>
      <w:r>
        <w:rPr/>
        <w:t>learning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establish</w:t>
      </w:r>
      <w:r>
        <w:rPr>
          <w:spacing w:val="1"/>
        </w:rPr>
        <w:t> </w:t>
      </w:r>
      <w:r>
        <w:rPr/>
        <w:t>quantitative</w:t>
      </w:r>
      <w:r>
        <w:rPr>
          <w:spacing w:val="1"/>
        </w:rPr>
        <w:t> </w:t>
      </w:r>
      <w:r>
        <w:rPr/>
        <w:t>relationships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descriptors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activities.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empirically</w:t>
      </w:r>
      <w:r>
        <w:rPr>
          <w:spacing w:val="1"/>
        </w:rPr>
        <w:t> </w:t>
      </w:r>
      <w:r>
        <w:rPr/>
        <w:t>discovering a function that maps between the feature vectors and activities. Nevertheless,</w:t>
      </w:r>
      <w:r>
        <w:rPr>
          <w:spacing w:val="1"/>
        </w:rPr>
        <w:t> </w:t>
      </w:r>
      <w:r>
        <w:rPr/>
        <w:t>the resulting QSAR model is useful if and only if it is predictive. Hence, the quality of the</w:t>
      </w:r>
      <w:r>
        <w:rPr>
          <w:spacing w:val="1"/>
        </w:rPr>
        <w:t> </w:t>
      </w:r>
      <w:r>
        <w:rPr/>
        <w:t>resulting QSAR model is measured by using the appropriate metrics regarding its ability to</w:t>
      </w:r>
      <w:r>
        <w:rPr>
          <w:spacing w:val="-58"/>
        </w:rPr>
        <w:t> </w:t>
      </w:r>
      <w:r>
        <w:rPr/>
        <w:t>correctly predict</w:t>
      </w:r>
      <w:r>
        <w:rPr>
          <w:spacing w:val="14"/>
        </w:rPr>
        <w:t> </w:t>
      </w:r>
      <w:r>
        <w:rPr/>
        <w:t>the</w:t>
      </w:r>
      <w:r>
        <w:rPr>
          <w:spacing w:val="8"/>
        </w:rPr>
        <w:t> </w:t>
      </w:r>
      <w:r>
        <w:rPr/>
        <w:t>activities</w:t>
      </w:r>
      <w:r>
        <w:rPr>
          <w:spacing w:val="7"/>
        </w:rPr>
        <w:t> </w:t>
      </w:r>
      <w:r>
        <w:rPr/>
        <w:t>of</w:t>
      </w:r>
      <w:r>
        <w:rPr>
          <w:spacing w:val="1"/>
        </w:rPr>
        <w:t> </w:t>
      </w:r>
      <w:r>
        <w:rPr/>
        <w:t>compounds</w:t>
      </w:r>
      <w:r>
        <w:rPr>
          <w:spacing w:val="7"/>
        </w:rPr>
        <w:t> </w:t>
      </w:r>
      <w:r>
        <w:rPr/>
        <w:t>experimentally</w:t>
      </w:r>
      <w:r>
        <w:rPr>
          <w:spacing w:val="4"/>
        </w:rPr>
        <w:t> </w:t>
      </w:r>
      <w:r>
        <w:rPr/>
        <w:t>determined.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influence</w:t>
      </w:r>
      <w:r>
        <w:rPr>
          <w:spacing w:val="8"/>
        </w:rPr>
        <w:t> </w:t>
      </w:r>
      <w:r>
        <w:rPr/>
        <w:t>of</w:t>
      </w:r>
    </w:p>
    <w:p>
      <w:pPr>
        <w:spacing w:after="0" w:line="480" w:lineRule="auto"/>
        <w:jc w:val="both"/>
        <w:sectPr>
          <w:headerReference w:type="default" r:id="rId176"/>
          <w:footerReference w:type="default" r:id="rId177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4"/>
        <w:jc w:val="both"/>
      </w:pPr>
      <w:r>
        <w:rPr/>
        <w:t>various factors on QSAR performance decreases in the</w:t>
      </w:r>
      <w:r>
        <w:rPr>
          <w:spacing w:val="1"/>
        </w:rPr>
        <w:t> </w:t>
      </w:r>
      <w:r>
        <w:rPr/>
        <w:t>following row: data quality &gt;</w:t>
      </w:r>
      <w:r>
        <w:rPr>
          <w:spacing w:val="1"/>
        </w:rPr>
        <w:t> </w:t>
      </w:r>
      <w:r>
        <w:rPr/>
        <w:t>molecular</w:t>
      </w:r>
      <w:r>
        <w:rPr>
          <w:spacing w:val="2"/>
        </w:rPr>
        <w:t> </w:t>
      </w:r>
      <w:r>
        <w:rPr/>
        <w:t>descriptors</w:t>
      </w:r>
      <w:r>
        <w:rPr>
          <w:spacing w:val="-1"/>
        </w:rPr>
        <w:t> </w:t>
      </w:r>
      <w:r>
        <w:rPr/>
        <w:t>&gt; machine</w:t>
      </w:r>
      <w:r>
        <w:rPr>
          <w:spacing w:val="5"/>
        </w:rPr>
        <w:t> </w:t>
      </w:r>
      <w:r>
        <w:rPr/>
        <w:t>learning</w:t>
      </w:r>
      <w:r>
        <w:rPr>
          <w:spacing w:val="1"/>
        </w:rPr>
        <w:t> </w:t>
      </w:r>
      <w:r>
        <w:rPr/>
        <w:t>approach</w:t>
      </w:r>
      <w:r>
        <w:rPr>
          <w:spacing w:val="-4"/>
        </w:rPr>
        <w:t> </w:t>
      </w:r>
      <w:r>
        <w:rPr/>
        <w:t>(Cherkasov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2014).</w:t>
      </w:r>
    </w:p>
    <w:p>
      <w:pPr>
        <w:pStyle w:val="BodyText"/>
        <w:spacing w:line="480" w:lineRule="auto" w:before="202"/>
        <w:ind w:left="312" w:right="693"/>
        <w:jc w:val="both"/>
      </w:pPr>
      <w:r>
        <w:rPr/>
        <w:t>Once validated, this model can be applied to untested chemical compounds for numerical</w:t>
      </w:r>
      <w:r>
        <w:rPr>
          <w:spacing w:val="1"/>
        </w:rPr>
        <w:t> </w:t>
      </w:r>
      <w:r>
        <w:rPr/>
        <w:t>prediction of biological activity (continuous model) or the discrimination between active</w:t>
      </w:r>
      <w:r>
        <w:rPr>
          <w:spacing w:val="1"/>
        </w:rPr>
        <w:t> </w:t>
      </w:r>
      <w:r>
        <w:rPr/>
        <w:t>and</w:t>
      </w:r>
      <w:r>
        <w:rPr>
          <w:spacing w:val="5"/>
        </w:rPr>
        <w:t> </w:t>
      </w:r>
      <w:r>
        <w:rPr/>
        <w:t>inactive</w:t>
      </w:r>
      <w:r>
        <w:rPr>
          <w:spacing w:val="1"/>
        </w:rPr>
        <w:t> </w:t>
      </w:r>
      <w:r>
        <w:rPr/>
        <w:t>compounds (binary</w:t>
      </w:r>
      <w:r>
        <w:rPr>
          <w:spacing w:val="-4"/>
        </w:rPr>
        <w:t> </w:t>
      </w:r>
      <w:r>
        <w:rPr/>
        <w:t>model).</w:t>
      </w:r>
    </w:p>
    <w:p>
      <w:pPr>
        <w:pStyle w:val="Heading1"/>
        <w:numPr>
          <w:ilvl w:val="1"/>
          <w:numId w:val="12"/>
        </w:numPr>
        <w:tabs>
          <w:tab w:pos="3238" w:val="left" w:leader="none"/>
        </w:tabs>
        <w:spacing w:line="240" w:lineRule="auto" w:before="202" w:after="0"/>
        <w:ind w:left="3237" w:right="0" w:hanging="366"/>
        <w:jc w:val="both"/>
      </w:pPr>
      <w:bookmarkStart w:name="_TOC_250063" w:id="30"/>
      <w:r>
        <w:rPr/>
        <w:t>Theoretical</w:t>
      </w:r>
      <w:r>
        <w:rPr>
          <w:spacing w:val="-7"/>
        </w:rPr>
        <w:t> </w:t>
      </w:r>
      <w:r>
        <w:rPr/>
        <w:t>Oral</w:t>
      </w:r>
      <w:r>
        <w:rPr>
          <w:spacing w:val="-7"/>
        </w:rPr>
        <w:t> </w:t>
      </w:r>
      <w:bookmarkEnd w:id="30"/>
      <w:r>
        <w:rPr/>
        <w:t>Bioavailability</w:t>
      </w:r>
    </w:p>
    <w:p>
      <w:pPr>
        <w:pStyle w:val="BodyText"/>
        <w:spacing w:line="480" w:lineRule="auto" w:before="194"/>
        <w:ind w:left="312" w:right="694"/>
        <w:jc w:val="both"/>
      </w:pPr>
      <w:r>
        <w:rPr/>
        <w:t>The drug ability of chemical compounds, that is their ability to be orally available is 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consideration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predicted</w:t>
      </w:r>
      <w:r>
        <w:rPr>
          <w:spacing w:val="1"/>
        </w:rPr>
        <w:t> </w:t>
      </w:r>
      <w:r>
        <w:rPr/>
        <w:t>theoretically</w:t>
      </w:r>
      <w:r>
        <w:rPr>
          <w:spacing w:val="-4"/>
        </w:rPr>
        <w:t> </w:t>
      </w:r>
      <w:r>
        <w:rPr/>
        <w:t>using</w:t>
      </w:r>
      <w:r>
        <w:rPr>
          <w:spacing w:val="6"/>
        </w:rPr>
        <w:t> </w:t>
      </w:r>
      <w:r>
        <w:rPr/>
        <w:t>Lipinski</w:t>
      </w:r>
      <w:r>
        <w:rPr>
          <w:spacing w:val="-4"/>
        </w:rPr>
        <w:t> </w:t>
      </w:r>
      <w:r>
        <w:rPr/>
        <w:t>rule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five</w:t>
      </w:r>
      <w:r>
        <w:rPr>
          <w:spacing w:val="5"/>
        </w:rPr>
        <w:t> </w:t>
      </w:r>
      <w:r>
        <w:rPr/>
        <w:t>which</w:t>
      </w:r>
      <w:r>
        <w:rPr>
          <w:spacing w:val="-3"/>
        </w:rPr>
        <w:t> </w:t>
      </w:r>
      <w:r>
        <w:rPr/>
        <w:t>states</w:t>
      </w:r>
      <w:r>
        <w:rPr>
          <w:spacing w:val="-1"/>
        </w:rPr>
        <w:t> </w:t>
      </w:r>
      <w:r>
        <w:rPr/>
        <w:t>that</w:t>
      </w:r>
      <w:r>
        <w:rPr>
          <w:spacing w:val="6"/>
        </w:rPr>
        <w:t> </w:t>
      </w:r>
      <w:r>
        <w:rPr/>
        <w:t>a</w:t>
      </w:r>
      <w:r>
        <w:rPr>
          <w:spacing w:val="1"/>
        </w:rPr>
        <w:t> </w:t>
      </w:r>
      <w:r>
        <w:rPr/>
        <w:t>compound</w:t>
      </w:r>
      <w:r>
        <w:rPr>
          <w:spacing w:val="11"/>
        </w:rPr>
        <w:t> </w:t>
      </w:r>
      <w:r>
        <w:rPr/>
        <w:t>is</w:t>
      </w:r>
      <w:r>
        <w:rPr>
          <w:spacing w:val="3"/>
        </w:rPr>
        <w:t> </w:t>
      </w:r>
      <w:r>
        <w:rPr/>
        <w:t>highly</w:t>
      </w:r>
      <w:r>
        <w:rPr>
          <w:spacing w:val="15"/>
        </w:rPr>
        <w:t> </w:t>
      </w:r>
      <w:r>
        <w:rPr/>
        <w:t>likely</w:t>
      </w:r>
      <w:r>
        <w:rPr>
          <w:spacing w:val="-4"/>
        </w:rPr>
        <w:t> </w:t>
      </w:r>
      <w:r>
        <w:rPr/>
        <w:t>(&gt;90</w:t>
      </w:r>
    </w:p>
    <w:p>
      <w:pPr>
        <w:pStyle w:val="BodyText"/>
        <w:spacing w:before="1"/>
        <w:ind w:left="312"/>
        <w:jc w:val="both"/>
      </w:pPr>
      <w:r>
        <w:rPr/>
        <w:t>%)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orally</w:t>
      </w:r>
      <w:r>
        <w:rPr>
          <w:spacing w:val="-6"/>
        </w:rPr>
        <w:t> </w:t>
      </w:r>
      <w:r>
        <w:rPr/>
        <w:t>unavailable,</w:t>
      </w:r>
      <w:r>
        <w:rPr>
          <w:spacing w:val="6"/>
        </w:rPr>
        <w:t> </w:t>
      </w:r>
      <w:r>
        <w:rPr/>
        <w:t>if</w:t>
      </w:r>
      <w:r>
        <w:rPr>
          <w:spacing w:val="-4"/>
        </w:rPr>
        <w:t> </w:t>
      </w:r>
      <w:r>
        <w:rPr/>
        <w:t>it</w:t>
      </w:r>
      <w:r>
        <w:rPr>
          <w:spacing w:val="8"/>
        </w:rPr>
        <w:t> </w:t>
      </w:r>
      <w:r>
        <w:rPr/>
        <w:t>has</w:t>
      </w:r>
      <w:r>
        <w:rPr>
          <w:spacing w:val="-3"/>
        </w:rPr>
        <w:t> </w:t>
      </w:r>
      <w:r>
        <w:rPr/>
        <w:t>two</w:t>
      </w:r>
      <w:r>
        <w:rPr>
          <w:spacing w:val="-6"/>
        </w:rPr>
        <w:t> </w:t>
      </w:r>
      <w:r>
        <w:rPr/>
        <w:t>or</w:t>
      </w:r>
      <w:r>
        <w:rPr>
          <w:spacing w:val="-4"/>
        </w:rPr>
        <w:t> </w:t>
      </w:r>
      <w:r>
        <w:rPr/>
        <w:t>more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2"/>
        </w:rPr>
        <w:t> </w:t>
      </w:r>
      <w:r>
        <w:rPr/>
        <w:t>following: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4"/>
        </w:numPr>
        <w:tabs>
          <w:tab w:pos="558" w:val="left" w:leader="none"/>
        </w:tabs>
        <w:spacing w:line="240" w:lineRule="auto" w:before="179" w:after="0"/>
        <w:ind w:left="557" w:right="0" w:hanging="246"/>
        <w:jc w:val="left"/>
        <w:rPr>
          <w:sz w:val="24"/>
        </w:rPr>
      </w:pPr>
      <w:r>
        <w:rPr>
          <w:sz w:val="24"/>
        </w:rPr>
        <w:t>Molecular</w:t>
      </w:r>
      <w:r>
        <w:rPr>
          <w:spacing w:val="-4"/>
          <w:sz w:val="24"/>
        </w:rPr>
        <w:t> </w:t>
      </w:r>
      <w:r>
        <w:rPr>
          <w:sz w:val="24"/>
        </w:rPr>
        <w:t>weight &gt;500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4"/>
        </w:numPr>
        <w:tabs>
          <w:tab w:pos="558" w:val="left" w:leader="none"/>
        </w:tabs>
        <w:spacing w:line="240" w:lineRule="auto" w:before="179" w:after="0"/>
        <w:ind w:left="557" w:right="0" w:hanging="246"/>
        <w:jc w:val="left"/>
        <w:rPr>
          <w:sz w:val="24"/>
        </w:rPr>
      </w:pPr>
      <w:r>
        <w:rPr>
          <w:sz w:val="24"/>
        </w:rPr>
        <w:t>Log</w:t>
      </w:r>
      <w:r>
        <w:rPr>
          <w:spacing w:val="-4"/>
          <w:sz w:val="24"/>
        </w:rPr>
        <w:t> </w:t>
      </w:r>
      <w:r>
        <w:rPr>
          <w:sz w:val="24"/>
        </w:rPr>
        <w:t>P</w:t>
      </w:r>
      <w:r>
        <w:rPr>
          <w:spacing w:val="-2"/>
          <w:sz w:val="24"/>
        </w:rPr>
        <w:t> </w:t>
      </w:r>
      <w:r>
        <w:rPr>
          <w:sz w:val="24"/>
        </w:rPr>
        <w:t>&gt;5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4"/>
        </w:numPr>
        <w:tabs>
          <w:tab w:pos="558" w:val="left" w:leader="none"/>
        </w:tabs>
        <w:spacing w:line="240" w:lineRule="auto" w:before="174" w:after="0"/>
        <w:ind w:left="557" w:right="0" w:hanging="246"/>
        <w:jc w:val="left"/>
        <w:rPr>
          <w:sz w:val="24"/>
        </w:rPr>
      </w:pPr>
      <w:r>
        <w:rPr>
          <w:sz w:val="24"/>
        </w:rPr>
        <w:t>More</w:t>
      </w:r>
      <w:r>
        <w:rPr>
          <w:spacing w:val="-6"/>
          <w:sz w:val="24"/>
        </w:rPr>
        <w:t> </w:t>
      </w:r>
      <w:r>
        <w:rPr>
          <w:sz w:val="24"/>
        </w:rPr>
        <w:t>than</w:t>
      </w:r>
      <w:r>
        <w:rPr>
          <w:spacing w:val="-4"/>
          <w:sz w:val="24"/>
        </w:rPr>
        <w:t> </w:t>
      </w:r>
      <w:r>
        <w:rPr>
          <w:sz w:val="24"/>
        </w:rPr>
        <w:t>5</w:t>
      </w:r>
      <w:r>
        <w:rPr>
          <w:spacing w:val="1"/>
          <w:sz w:val="24"/>
        </w:rPr>
        <w:t> </w:t>
      </w:r>
      <w:r>
        <w:rPr>
          <w:sz w:val="24"/>
        </w:rPr>
        <w:t>H-bond donors</w:t>
      </w:r>
      <w:r>
        <w:rPr>
          <w:spacing w:val="-6"/>
          <w:sz w:val="24"/>
        </w:rPr>
        <w:t> </w:t>
      </w:r>
      <w:r>
        <w:rPr>
          <w:sz w:val="24"/>
        </w:rPr>
        <w:t>(OH and NH)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4"/>
        </w:numPr>
        <w:tabs>
          <w:tab w:pos="558" w:val="left" w:leader="none"/>
        </w:tabs>
        <w:spacing w:line="240" w:lineRule="auto" w:before="179" w:after="0"/>
        <w:ind w:left="557" w:right="0" w:hanging="246"/>
        <w:jc w:val="left"/>
        <w:rPr>
          <w:sz w:val="24"/>
        </w:rPr>
      </w:pPr>
      <w:r>
        <w:rPr>
          <w:sz w:val="24"/>
        </w:rPr>
        <w:t>More</w:t>
      </w:r>
      <w:r>
        <w:rPr>
          <w:spacing w:val="-6"/>
          <w:sz w:val="24"/>
        </w:rPr>
        <w:t> </w:t>
      </w:r>
      <w:r>
        <w:rPr>
          <w:sz w:val="24"/>
        </w:rPr>
        <w:t>than</w:t>
      </w:r>
      <w:r>
        <w:rPr>
          <w:spacing w:val="-2"/>
          <w:sz w:val="24"/>
        </w:rPr>
        <w:t> </w:t>
      </w:r>
      <w:r>
        <w:rPr>
          <w:sz w:val="24"/>
        </w:rPr>
        <w:t>10H-bond acceptors</w:t>
      </w:r>
      <w:r>
        <w:rPr>
          <w:spacing w:val="-6"/>
          <w:sz w:val="24"/>
        </w:rPr>
        <w:t> </w:t>
      </w:r>
      <w:r>
        <w:rPr>
          <w:sz w:val="24"/>
        </w:rPr>
        <w:t>(O and N)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14"/>
        </w:numPr>
        <w:tabs>
          <w:tab w:pos="558" w:val="left" w:leader="none"/>
        </w:tabs>
        <w:spacing w:line="240" w:lineRule="auto" w:before="178" w:after="0"/>
        <w:ind w:left="557" w:right="0" w:hanging="246"/>
        <w:jc w:val="left"/>
        <w:rPr>
          <w:sz w:val="24"/>
        </w:rPr>
      </w:pPr>
      <w:r>
        <w:rPr>
          <w:sz w:val="24"/>
        </w:rPr>
        <w:t>Number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rotatable</w:t>
      </w:r>
      <w:r>
        <w:rPr>
          <w:spacing w:val="2"/>
          <w:sz w:val="24"/>
        </w:rPr>
        <w:t> </w:t>
      </w:r>
      <w:r>
        <w:rPr>
          <w:sz w:val="24"/>
        </w:rPr>
        <w:t>bonds≤</w:t>
      </w:r>
      <w:r>
        <w:rPr>
          <w:spacing w:val="-3"/>
          <w:sz w:val="24"/>
        </w:rPr>
        <w:t> </w:t>
      </w:r>
      <w:r>
        <w:rPr>
          <w:sz w:val="24"/>
        </w:rPr>
        <w:t>10</w:t>
      </w:r>
    </w:p>
    <w:p>
      <w:pPr>
        <w:spacing w:after="0" w:line="240" w:lineRule="auto"/>
        <w:jc w:val="left"/>
        <w:rPr>
          <w:sz w:val="24"/>
        </w:rPr>
        <w:sectPr>
          <w:headerReference w:type="default" r:id="rId178"/>
          <w:footerReference w:type="default" r:id="rId179"/>
          <w:pgSz w:w="11910" w:h="16840"/>
          <w:pgMar w:header="0" w:footer="878" w:top="1200" w:bottom="106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1"/>
        <w:spacing w:before="90"/>
        <w:ind w:left="305" w:right="691"/>
        <w:jc w:val="center"/>
      </w:pPr>
      <w:bookmarkStart w:name="_TOC_250062" w:id="31"/>
      <w:r>
        <w:rPr/>
        <w:t>CHAPTER</w:t>
      </w:r>
      <w:r>
        <w:rPr>
          <w:spacing w:val="-3"/>
        </w:rPr>
        <w:t> </w:t>
      </w:r>
      <w:bookmarkEnd w:id="31"/>
      <w:r>
        <w:rPr/>
        <w:t>THREE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15"/>
        </w:numPr>
        <w:tabs>
          <w:tab w:pos="3381" w:val="left" w:leader="none"/>
          <w:tab w:pos="3382" w:val="left" w:leader="none"/>
        </w:tabs>
        <w:spacing w:line="240" w:lineRule="auto" w:before="174" w:after="0"/>
        <w:ind w:left="3381" w:right="0" w:hanging="721"/>
        <w:jc w:val="left"/>
      </w:pPr>
      <w:bookmarkStart w:name="_TOC_250061" w:id="32"/>
      <w:r>
        <w:rPr/>
        <w:t>MATERIALS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bookmarkEnd w:id="32"/>
      <w:r>
        <w:rPr/>
        <w:t>METHODS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1"/>
          <w:numId w:val="15"/>
        </w:numPr>
        <w:tabs>
          <w:tab w:pos="4731" w:val="left" w:leader="none"/>
        </w:tabs>
        <w:spacing w:line="240" w:lineRule="auto" w:before="1" w:after="0"/>
        <w:ind w:left="4730" w:right="0" w:hanging="361"/>
        <w:jc w:val="left"/>
      </w:pPr>
      <w:bookmarkStart w:name="_TOC_250060" w:id="33"/>
      <w:bookmarkEnd w:id="33"/>
      <w:r>
        <w:rPr/>
        <w:t>Materials</w:t>
      </w:r>
    </w:p>
    <w:p>
      <w:pPr>
        <w:pStyle w:val="Heading1"/>
        <w:numPr>
          <w:ilvl w:val="2"/>
          <w:numId w:val="15"/>
        </w:numPr>
        <w:tabs>
          <w:tab w:pos="1032" w:val="left" w:leader="none"/>
          <w:tab w:pos="1033" w:val="left" w:leader="none"/>
        </w:tabs>
        <w:spacing w:line="240" w:lineRule="auto" w:before="199" w:after="0"/>
        <w:ind w:left="1033" w:right="0" w:hanging="721"/>
        <w:jc w:val="left"/>
      </w:pPr>
      <w:bookmarkStart w:name="_TOC_250059" w:id="34"/>
      <w:r>
        <w:rPr/>
        <w:t>Equipment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bookmarkEnd w:id="34"/>
      <w:r>
        <w:rPr/>
        <w:t>glassware</w:t>
      </w:r>
    </w:p>
    <w:p>
      <w:pPr>
        <w:pStyle w:val="BodyText"/>
        <w:spacing w:before="1"/>
        <w:rPr>
          <w:b/>
          <w:sz w:val="9"/>
        </w:rPr>
      </w:pPr>
    </w:p>
    <w:p>
      <w:pPr>
        <w:pStyle w:val="BodyText"/>
        <w:spacing w:line="480" w:lineRule="auto" w:before="90"/>
        <w:ind w:left="312" w:right="687"/>
        <w:jc w:val="both"/>
      </w:pPr>
      <w:r>
        <w:rPr/>
        <w:t>Pyrex</w:t>
      </w:r>
      <w:r>
        <w:rPr>
          <w:spacing w:val="1"/>
        </w:rPr>
        <w:t> </w:t>
      </w:r>
      <w:r>
        <w:rPr/>
        <w:t>made glassware were used.</w:t>
      </w:r>
      <w:r>
        <w:rPr>
          <w:spacing w:val="1"/>
        </w:rPr>
        <w:t> </w:t>
      </w:r>
      <w:r>
        <w:rPr/>
        <w:t>The glassware were properly cleaned</w:t>
      </w:r>
      <w:r>
        <w:rPr>
          <w:spacing w:val="1"/>
        </w:rPr>
        <w:t> </w:t>
      </w:r>
      <w:r>
        <w:rPr/>
        <w:t>with</w:t>
      </w:r>
      <w:r>
        <w:rPr>
          <w:spacing w:val="60"/>
        </w:rPr>
        <w:t> </w:t>
      </w:r>
      <w:r>
        <w:rPr/>
        <w:t>distilled</w:t>
      </w:r>
      <w:r>
        <w:rPr>
          <w:spacing w:val="1"/>
        </w:rPr>
        <w:t> </w:t>
      </w:r>
      <w:r>
        <w:rPr/>
        <w:t>water and dried in an oven before use. Most of the equipment were sourced from the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Pharmaceutical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Chemistry,</w:t>
      </w:r>
      <w:r>
        <w:rPr>
          <w:spacing w:val="1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(ABU),</w:t>
      </w:r>
      <w:r>
        <w:rPr>
          <w:spacing w:val="1"/>
        </w:rPr>
        <w:t> </w:t>
      </w:r>
      <w:r>
        <w:rPr/>
        <w:t>Zaria.</w:t>
      </w:r>
      <w:r>
        <w:rPr>
          <w:spacing w:val="1"/>
        </w:rPr>
        <w:t> </w:t>
      </w:r>
      <w:r>
        <w:rPr/>
        <w:t>Fourier</w:t>
      </w:r>
      <w:r>
        <w:rPr>
          <w:spacing w:val="1"/>
        </w:rPr>
        <w:t> </w:t>
      </w:r>
      <w:r>
        <w:rPr/>
        <w:t>Transform Infrared</w:t>
      </w:r>
      <w:r>
        <w:rPr>
          <w:spacing w:val="1"/>
        </w:rPr>
        <w:t> </w:t>
      </w:r>
      <w:r>
        <w:rPr/>
        <w:t>(FT-IR)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Nuclear</w:t>
      </w:r>
      <w:r>
        <w:rPr>
          <w:spacing w:val="1"/>
        </w:rPr>
        <w:t> </w:t>
      </w:r>
      <w:r>
        <w:rPr/>
        <w:t>Magnetic</w:t>
      </w:r>
      <w:r>
        <w:rPr>
          <w:spacing w:val="1"/>
        </w:rPr>
        <w:t> </w:t>
      </w:r>
      <w:r>
        <w:rPr/>
        <w:t>Resonance</w:t>
      </w:r>
      <w:r>
        <w:rPr>
          <w:spacing w:val="1"/>
        </w:rPr>
        <w:t> </w:t>
      </w:r>
      <w:r>
        <w:rPr/>
        <w:t>(NMR) experiments were performed at the Multi-User Laboratory, Chemistry Department,</w:t>
      </w:r>
      <w:r>
        <w:rPr>
          <w:spacing w:val="-57"/>
        </w:rPr>
        <w:t> </w:t>
      </w:r>
      <w:r>
        <w:rPr/>
        <w:t>ABU, and Zaria. Mass Spectrometry (MS) and some NMR experiments were performed</w:t>
      </w:r>
      <w:r>
        <w:rPr>
          <w:spacing w:val="1"/>
        </w:rPr>
        <w:t> </w:t>
      </w:r>
      <w:r>
        <w:rPr/>
        <w:t>atthe</w:t>
      </w:r>
      <w:r>
        <w:rPr>
          <w:spacing w:val="1"/>
        </w:rPr>
        <w:t> </w:t>
      </w:r>
      <w:r>
        <w:rPr/>
        <w:t>School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Physics,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KwaZulu-Natal,Durban</w:t>
      </w:r>
      <w:r>
        <w:rPr>
          <w:spacing w:val="60"/>
        </w:rPr>
        <w:t> </w:t>
      </w:r>
      <w:r>
        <w:rPr/>
        <w:t>South</w:t>
      </w:r>
      <w:r>
        <w:rPr>
          <w:spacing w:val="1"/>
        </w:rPr>
        <w:t> </w:t>
      </w:r>
      <w:r>
        <w:rPr/>
        <w:t>Africa.</w:t>
      </w:r>
    </w:p>
    <w:p>
      <w:pPr>
        <w:spacing w:after="0" w:line="480" w:lineRule="auto"/>
        <w:jc w:val="both"/>
        <w:sectPr>
          <w:headerReference w:type="default" r:id="rId180"/>
          <w:footerReference w:type="default" r:id="rId181"/>
          <w:pgSz w:w="11910" w:h="16840"/>
          <w:pgMar w:header="0" w:footer="878" w:top="1580" w:bottom="1060" w:left="1560" w:right="600"/>
        </w:sectPr>
      </w:pPr>
    </w:p>
    <w:p>
      <w:pPr>
        <w:pStyle w:val="BodyText"/>
        <w:spacing w:line="480" w:lineRule="auto" w:before="70"/>
        <w:ind w:left="312" w:right="688"/>
        <w:jc w:val="both"/>
      </w:pPr>
      <w:r>
        <w:rPr/>
        <w:t>Some of the equipment and glassware used include; conical flask, spatula, test tubes,</w:t>
      </w:r>
      <w:r>
        <w:rPr>
          <w:spacing w:val="1"/>
        </w:rPr>
        <w:t> </w:t>
      </w:r>
      <w:r>
        <w:rPr/>
        <w:t>beakers,</w:t>
      </w:r>
      <w:r>
        <w:rPr>
          <w:spacing w:val="1"/>
        </w:rPr>
        <w:t> </w:t>
      </w:r>
      <w:r>
        <w:rPr/>
        <w:t>measuring</w:t>
      </w:r>
      <w:r>
        <w:rPr>
          <w:spacing w:val="1"/>
        </w:rPr>
        <w:t> </w:t>
      </w:r>
      <w:r>
        <w:rPr/>
        <w:t>cylinder,</w:t>
      </w:r>
      <w:r>
        <w:rPr>
          <w:spacing w:val="1"/>
        </w:rPr>
        <w:t> </w:t>
      </w:r>
      <w:r>
        <w:rPr/>
        <w:t>glass</w:t>
      </w:r>
      <w:r>
        <w:rPr>
          <w:spacing w:val="1"/>
        </w:rPr>
        <w:t> </w:t>
      </w:r>
      <w:r>
        <w:rPr/>
        <w:t>rod,</w:t>
      </w:r>
      <w:r>
        <w:rPr>
          <w:spacing w:val="1"/>
        </w:rPr>
        <w:t> </w:t>
      </w:r>
      <w:r>
        <w:rPr/>
        <w:t>funnel,</w:t>
      </w:r>
      <w:r>
        <w:rPr>
          <w:spacing w:val="1"/>
        </w:rPr>
        <w:t> </w:t>
      </w:r>
      <w:r>
        <w:rPr/>
        <w:t>pipette,</w:t>
      </w:r>
      <w:r>
        <w:rPr>
          <w:spacing w:val="1"/>
        </w:rPr>
        <w:t> </w:t>
      </w:r>
      <w:r>
        <w:rPr/>
        <w:t>watch</w:t>
      </w:r>
      <w:r>
        <w:rPr>
          <w:spacing w:val="1"/>
        </w:rPr>
        <w:t> </w:t>
      </w:r>
      <w:r>
        <w:rPr/>
        <w:t>glass,</w:t>
      </w:r>
      <w:r>
        <w:rPr>
          <w:spacing w:val="1"/>
        </w:rPr>
        <w:t> </w:t>
      </w:r>
      <w:r>
        <w:rPr/>
        <w:t>sintered</w:t>
      </w:r>
      <w:r>
        <w:rPr>
          <w:spacing w:val="1"/>
        </w:rPr>
        <w:t> </w:t>
      </w:r>
      <w:r>
        <w:rPr/>
        <w:t>glass,</w:t>
      </w:r>
      <w:r>
        <w:rPr>
          <w:spacing w:val="1"/>
        </w:rPr>
        <w:t> </w:t>
      </w:r>
      <w:r>
        <w:rPr/>
        <w:t>microscopic</w:t>
      </w:r>
      <w:r>
        <w:rPr>
          <w:spacing w:val="1"/>
        </w:rPr>
        <w:t> </w:t>
      </w:r>
      <w:r>
        <w:rPr/>
        <w:t>slides,</w:t>
      </w:r>
      <w:r>
        <w:rPr>
          <w:spacing w:val="1"/>
        </w:rPr>
        <w:t> </w:t>
      </w:r>
      <w:r>
        <w:rPr/>
        <w:t>syringes,</w:t>
      </w:r>
      <w:r>
        <w:rPr>
          <w:spacing w:val="1"/>
        </w:rPr>
        <w:t> </w:t>
      </w:r>
      <w:r>
        <w:rPr/>
        <w:t>capillary tubes,</w:t>
      </w:r>
      <w:r>
        <w:rPr>
          <w:spacing w:val="1"/>
        </w:rPr>
        <w:t> </w:t>
      </w:r>
      <w:r>
        <w:rPr/>
        <w:t>TLC tank,</w:t>
      </w:r>
      <w:r>
        <w:rPr>
          <w:spacing w:val="1"/>
        </w:rPr>
        <w:t> </w:t>
      </w:r>
      <w:r>
        <w:rPr/>
        <w:t>magnetic stirrer,</w:t>
      </w:r>
      <w:r>
        <w:rPr>
          <w:spacing w:val="1"/>
        </w:rPr>
        <w:t> </w:t>
      </w:r>
      <w:r>
        <w:rPr/>
        <w:t>stirring</w:t>
      </w:r>
      <w:r>
        <w:rPr>
          <w:spacing w:val="1"/>
        </w:rPr>
        <w:t> </w:t>
      </w:r>
      <w:r>
        <w:rPr/>
        <w:t>bar,</w:t>
      </w:r>
      <w:r>
        <w:rPr>
          <w:spacing w:val="1"/>
        </w:rPr>
        <w:t> </w:t>
      </w:r>
      <w:r>
        <w:rPr/>
        <w:t>refrigerator,</w:t>
      </w:r>
      <w:r>
        <w:rPr>
          <w:spacing w:val="1"/>
        </w:rPr>
        <w:t> </w:t>
      </w:r>
      <w:r>
        <w:rPr/>
        <w:t>gallenklamp</w:t>
      </w:r>
      <w:r>
        <w:rPr>
          <w:spacing w:val="1"/>
        </w:rPr>
        <w:t> </w:t>
      </w:r>
      <w:r>
        <w:rPr/>
        <w:t>melting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apparatus,</w:t>
      </w:r>
      <w:r>
        <w:rPr>
          <w:spacing w:val="1"/>
        </w:rPr>
        <w:t> </w:t>
      </w:r>
      <w:r>
        <w:rPr/>
        <w:t>centrifuge,</w:t>
      </w:r>
      <w:r>
        <w:rPr>
          <w:spacing w:val="1"/>
        </w:rPr>
        <w:t> </w:t>
      </w:r>
      <w:r>
        <w:rPr/>
        <w:t>incubator,</w:t>
      </w:r>
      <w:r>
        <w:rPr>
          <w:spacing w:val="1"/>
        </w:rPr>
        <w:t> </w:t>
      </w:r>
      <w:r>
        <w:rPr/>
        <w:t>centrifuge,</w:t>
      </w:r>
      <w:r>
        <w:rPr>
          <w:spacing w:val="1"/>
        </w:rPr>
        <w:t> </w:t>
      </w:r>
      <w:r>
        <w:rPr/>
        <w:t>microtitre</w:t>
      </w:r>
      <w:r>
        <w:rPr>
          <w:spacing w:val="1"/>
        </w:rPr>
        <w:t> </w:t>
      </w:r>
      <w:r>
        <w:rPr/>
        <w:t>plate,</w:t>
      </w:r>
      <w:r>
        <w:rPr>
          <w:spacing w:val="1"/>
        </w:rPr>
        <w:t> </w:t>
      </w:r>
      <w:r>
        <w:rPr/>
        <w:t>eppendorf</w:t>
      </w:r>
      <w:r>
        <w:rPr>
          <w:spacing w:val="1"/>
        </w:rPr>
        <w:t> </w:t>
      </w:r>
      <w:r>
        <w:rPr/>
        <w:t>tubes,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balance,</w:t>
      </w:r>
      <w:r>
        <w:rPr>
          <w:spacing w:val="1"/>
        </w:rPr>
        <w:t> </w:t>
      </w:r>
      <w:r>
        <w:rPr/>
        <w:t>microscope,</w:t>
      </w:r>
      <w:r>
        <w:rPr>
          <w:spacing w:val="1"/>
        </w:rPr>
        <w:t> </w:t>
      </w:r>
      <w:r>
        <w:rPr/>
        <w:t>agilent</w:t>
      </w:r>
      <w:r>
        <w:rPr>
          <w:spacing w:val="1"/>
        </w:rPr>
        <w:t> </w:t>
      </w:r>
      <w:r>
        <w:rPr/>
        <w:t>FT-IR</w:t>
      </w:r>
      <w:r>
        <w:rPr>
          <w:spacing w:val="1"/>
        </w:rPr>
        <w:t> </w:t>
      </w:r>
      <w:r>
        <w:rPr/>
        <w:t>spectrometer,</w:t>
      </w:r>
      <w:r>
        <w:rPr>
          <w:spacing w:val="2"/>
        </w:rPr>
        <w:t> </w:t>
      </w:r>
      <w:r>
        <w:rPr/>
        <w:t>400MHz</w:t>
      </w:r>
      <w:r>
        <w:rPr>
          <w:spacing w:val="-1"/>
        </w:rPr>
        <w:t> </w:t>
      </w:r>
      <w:r>
        <w:rPr/>
        <w:t>Agilent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500MHz</w:t>
      </w:r>
      <w:r>
        <w:rPr>
          <w:spacing w:val="-1"/>
        </w:rPr>
        <w:t> </w:t>
      </w:r>
      <w:r>
        <w:rPr/>
        <w:t>Bruker</w:t>
      </w:r>
      <w:r>
        <w:rPr>
          <w:spacing w:val="2"/>
        </w:rPr>
        <w:t> </w:t>
      </w:r>
      <w:r>
        <w:rPr/>
        <w:t>NMR</w:t>
      </w:r>
      <w:r>
        <w:rPr>
          <w:spacing w:val="-1"/>
        </w:rPr>
        <w:t> </w:t>
      </w:r>
      <w:r>
        <w:rPr/>
        <w:t>spectrometer.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7" w:after="0"/>
        <w:ind w:left="1033" w:right="0" w:hanging="721"/>
        <w:jc w:val="both"/>
      </w:pPr>
      <w:bookmarkStart w:name="_TOC_250058" w:id="35"/>
      <w:r>
        <w:rPr/>
        <w:t>Reagents,</w:t>
      </w:r>
      <w:r>
        <w:rPr>
          <w:spacing w:val="-2"/>
        </w:rPr>
        <w:t> </w:t>
      </w:r>
      <w:r>
        <w:rPr/>
        <w:t>solvents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standard</w:t>
      </w:r>
      <w:r>
        <w:rPr>
          <w:spacing w:val="-3"/>
        </w:rPr>
        <w:t> </w:t>
      </w:r>
      <w:bookmarkEnd w:id="35"/>
      <w:r>
        <w:rPr/>
        <w:t>drugs</w:t>
      </w:r>
    </w:p>
    <w:p>
      <w:pPr>
        <w:pStyle w:val="BodyText"/>
        <w:spacing w:line="480" w:lineRule="auto" w:before="195"/>
        <w:ind w:left="312" w:right="694"/>
        <w:jc w:val="both"/>
      </w:pPr>
      <w:r>
        <w:rPr/>
        <w:t>The reagents were purchased from Sigma-Aldrich, Germany.</w:t>
      </w:r>
      <w:r>
        <w:rPr>
          <w:spacing w:val="1"/>
        </w:rPr>
        <w:t> </w:t>
      </w:r>
      <w:r>
        <w:rPr/>
        <w:t>All the starting reagents and</w:t>
      </w:r>
      <w:r>
        <w:rPr>
          <w:spacing w:val="-57"/>
        </w:rPr>
        <w:t> </w:t>
      </w:r>
      <w:r>
        <w:rPr/>
        <w:t>solvents used for the experiments were of analytical grade and were used without further</w:t>
      </w:r>
      <w:r>
        <w:rPr>
          <w:spacing w:val="1"/>
        </w:rPr>
        <w:t> </w:t>
      </w:r>
      <w:r>
        <w:rPr/>
        <w:t>purification,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include;</w:t>
      </w:r>
      <w:r>
        <w:rPr>
          <w:spacing w:val="1"/>
        </w:rPr>
        <w:t> </w:t>
      </w:r>
      <w:r>
        <w:rPr/>
        <w:t>4-methoxybenzaldehyde,</w:t>
      </w:r>
      <w:r>
        <w:rPr>
          <w:spacing w:val="1"/>
        </w:rPr>
        <w:t> </w:t>
      </w:r>
      <w:r>
        <w:rPr/>
        <w:t>2,</w:t>
      </w:r>
      <w:r>
        <w:rPr>
          <w:spacing w:val="61"/>
        </w:rPr>
        <w:t> </w:t>
      </w:r>
      <w:r>
        <w:rPr/>
        <w:t>4-dimethoxyacetophenone,</w:t>
      </w:r>
      <w:r>
        <w:rPr>
          <w:spacing w:val="1"/>
        </w:rPr>
        <w:t> </w:t>
      </w:r>
      <w:r>
        <w:rPr/>
        <w:t>Sodium hydroxide (50%), Acetophenone, haem- chloride, sodium acetate, glacial acetic</w:t>
      </w:r>
      <w:r>
        <w:rPr>
          <w:spacing w:val="1"/>
        </w:rPr>
        <w:t> </w:t>
      </w:r>
      <w:r>
        <w:rPr/>
        <w:t>acid, iodine crystals, chloroform, ethylacetate, N-hexane, ethanol, hydrochloric acid, 10%</w:t>
      </w:r>
      <w:r>
        <w:rPr>
          <w:spacing w:val="1"/>
        </w:rPr>
        <w:t> </w:t>
      </w:r>
      <w:r>
        <w:rPr/>
        <w:t>giemsa</w:t>
      </w:r>
      <w:r>
        <w:rPr>
          <w:spacing w:val="-1"/>
        </w:rPr>
        <w:t> </w:t>
      </w:r>
      <w:r>
        <w:rPr/>
        <w:t>stain,</w:t>
      </w:r>
      <w:r>
        <w:rPr>
          <w:spacing w:val="5"/>
        </w:rPr>
        <w:t> </w:t>
      </w:r>
      <w:r>
        <w:rPr/>
        <w:t>acacia,</w:t>
      </w:r>
      <w:r>
        <w:rPr>
          <w:spacing w:val="3"/>
        </w:rPr>
        <w:t> </w:t>
      </w:r>
      <w:r>
        <w:rPr/>
        <w:t>chloroquine</w:t>
      </w:r>
      <w:r>
        <w:rPr>
          <w:spacing w:val="1"/>
        </w:rPr>
        <w:t> </w:t>
      </w:r>
      <w:r>
        <w:rPr/>
        <w:t>phosphate,</w:t>
      </w:r>
      <w:r>
        <w:rPr>
          <w:spacing w:val="4"/>
        </w:rPr>
        <w:t> </w:t>
      </w:r>
      <w:r>
        <w:rPr/>
        <w:t>quinine,</w:t>
      </w:r>
      <w:r>
        <w:rPr>
          <w:spacing w:val="3"/>
        </w:rPr>
        <w:t> </w:t>
      </w:r>
      <w:r>
        <w:rPr/>
        <w:t>andarthemether.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3" w:after="0"/>
        <w:ind w:left="1033" w:right="0" w:hanging="721"/>
        <w:jc w:val="both"/>
      </w:pPr>
      <w:bookmarkStart w:name="_TOC_250057" w:id="36"/>
      <w:r>
        <w:rPr/>
        <w:t>Experimental</w:t>
      </w:r>
      <w:r>
        <w:rPr>
          <w:spacing w:val="-7"/>
        </w:rPr>
        <w:t> </w:t>
      </w:r>
      <w:bookmarkEnd w:id="36"/>
      <w:r>
        <w:rPr/>
        <w:t>Animals</w:t>
      </w:r>
    </w:p>
    <w:p>
      <w:pPr>
        <w:pStyle w:val="BodyText"/>
        <w:spacing w:line="480" w:lineRule="auto" w:before="199"/>
        <w:ind w:left="312" w:right="690"/>
        <w:jc w:val="both"/>
      </w:pPr>
      <w:r>
        <w:rPr/>
        <w:t>Adult</w:t>
      </w:r>
      <w:r>
        <w:rPr>
          <w:spacing w:val="1"/>
        </w:rPr>
        <w:t> </w:t>
      </w:r>
      <w:r>
        <w:rPr/>
        <w:t>Swiss</w:t>
      </w:r>
      <w:r>
        <w:rPr>
          <w:spacing w:val="1"/>
        </w:rPr>
        <w:t> </w:t>
      </w:r>
      <w:r>
        <w:rPr/>
        <w:t>albino</w:t>
      </w:r>
      <w:r>
        <w:rPr>
          <w:spacing w:val="1"/>
        </w:rPr>
        <w:t> </w:t>
      </w:r>
      <w:r>
        <w:rPr/>
        <w:t>mice</w:t>
      </w:r>
      <w:r>
        <w:rPr>
          <w:spacing w:val="1"/>
        </w:rPr>
        <w:t> </w:t>
      </w:r>
      <w:r>
        <w:rPr/>
        <w:t>(18-22g)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sex,</w:t>
      </w:r>
      <w:r>
        <w:rPr>
          <w:spacing w:val="1"/>
        </w:rPr>
        <w:t> </w:t>
      </w:r>
      <w:r>
        <w:rPr/>
        <w:t>locally</w:t>
      </w:r>
      <w:r>
        <w:rPr>
          <w:spacing w:val="1"/>
        </w:rPr>
        <w:t> </w:t>
      </w:r>
      <w:r>
        <w:rPr/>
        <w:t>bred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Pharmacology and Therapeutics, Ahmadu Bello University (ABU), Zaria were used</w:t>
      </w:r>
      <w:r>
        <w:rPr>
          <w:spacing w:val="60"/>
        </w:rPr>
        <w:t> </w:t>
      </w:r>
      <w:r>
        <w:rPr/>
        <w:t>for</w:t>
      </w:r>
      <w:r>
        <w:rPr>
          <w:spacing w:val="1"/>
        </w:rPr>
        <w:t> </w:t>
      </w:r>
      <w:r>
        <w:rPr/>
        <w:t>the experiment. The animals were housed in clean polypropylene cages under standard</w:t>
      </w:r>
      <w:r>
        <w:rPr>
          <w:spacing w:val="1"/>
        </w:rPr>
        <w:t> </w:t>
      </w:r>
      <w:r>
        <w:rPr/>
        <w:t>laboratory conditions (optimum temperature and humidity, and 12 hr of light/dark circle)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allowed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rodent</w:t>
      </w:r>
      <w:r>
        <w:rPr>
          <w:spacing w:val="1"/>
        </w:rPr>
        <w:t> </w:t>
      </w:r>
      <w:r>
        <w:rPr/>
        <w:t>pellet</w:t>
      </w:r>
      <w:r>
        <w:rPr>
          <w:spacing w:val="1"/>
        </w:rPr>
        <w:t> </w:t>
      </w:r>
      <w:r>
        <w:rPr/>
        <w:t>diet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ad</w:t>
      </w:r>
      <w:r>
        <w:rPr>
          <w:spacing w:val="1"/>
        </w:rPr>
        <w:t> </w:t>
      </w:r>
      <w:r>
        <w:rPr/>
        <w:t>libitum.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protocol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animals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accordance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Ahmadu</w:t>
      </w:r>
      <w:r>
        <w:rPr>
          <w:spacing w:val="1"/>
        </w:rPr>
        <w:t> </w:t>
      </w:r>
      <w:r>
        <w:rPr/>
        <w:t>Bello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Policy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guides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animals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accepted</w:t>
      </w:r>
      <w:r>
        <w:rPr>
          <w:spacing w:val="1"/>
        </w:rPr>
        <w:t> </w:t>
      </w:r>
      <w:r>
        <w:rPr/>
        <w:t>internationally. Ethical approval was sought from the ABU committee on animal use and</w:t>
      </w:r>
      <w:r>
        <w:rPr>
          <w:spacing w:val="1"/>
        </w:rPr>
        <w:t> </w:t>
      </w:r>
      <w:r>
        <w:rPr/>
        <w:t>care.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4" w:after="0"/>
        <w:ind w:left="1033" w:right="0" w:hanging="721"/>
        <w:jc w:val="both"/>
      </w:pPr>
      <w:bookmarkStart w:name="_TOC_250056" w:id="37"/>
      <w:r>
        <w:rPr/>
        <w:t>Malarial</w:t>
      </w:r>
      <w:r>
        <w:rPr>
          <w:spacing w:val="-6"/>
        </w:rPr>
        <w:t> </w:t>
      </w:r>
      <w:bookmarkEnd w:id="37"/>
      <w:r>
        <w:rPr/>
        <w:t>parasite</w:t>
      </w:r>
    </w:p>
    <w:p>
      <w:pPr>
        <w:spacing w:after="0" w:line="240" w:lineRule="auto"/>
        <w:jc w:val="both"/>
        <w:sectPr>
          <w:headerReference w:type="default" r:id="rId182"/>
          <w:footerReference w:type="default" r:id="rId183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8"/>
        <w:jc w:val="both"/>
      </w:pPr>
      <w:r>
        <w:rPr/>
        <w:t>Chloroquine-sensitive malaria parasites (Plasmodium berghei NK 65) were obtained from</w:t>
      </w:r>
      <w:r>
        <w:rPr>
          <w:spacing w:val="1"/>
        </w:rPr>
        <w:t> </w:t>
      </w:r>
      <w:r>
        <w:rPr/>
        <w:t>the Department</w:t>
      </w:r>
      <w:r>
        <w:rPr>
          <w:spacing w:val="60"/>
        </w:rPr>
        <w:t> </w:t>
      </w:r>
      <w:r>
        <w:rPr/>
        <w:t>of Microbiology- National Medical Research Institute (NMRI), Lagos.</w:t>
      </w:r>
      <w:r>
        <w:rPr>
          <w:spacing w:val="1"/>
        </w:rPr>
        <w:t> </w:t>
      </w:r>
      <w:r>
        <w:rPr/>
        <w:t>The parasites were maintained viable in new groups of mice by continuous intraperitoneal</w:t>
      </w:r>
      <w:r>
        <w:rPr>
          <w:spacing w:val="1"/>
        </w:rPr>
        <w:t> </w:t>
      </w:r>
      <w:r>
        <w:rPr/>
        <w:t>injection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0.2ml</w:t>
      </w:r>
      <w:r>
        <w:rPr>
          <w:spacing w:val="-8"/>
        </w:rPr>
        <w:t> </w:t>
      </w:r>
      <w:r>
        <w:rPr/>
        <w:t>of</w:t>
      </w:r>
      <w:r>
        <w:rPr>
          <w:spacing w:val="-1"/>
        </w:rPr>
        <w:t> </w:t>
      </w:r>
      <w:r>
        <w:rPr/>
        <w:t>infected</w:t>
      </w:r>
      <w:r>
        <w:rPr>
          <w:spacing w:val="1"/>
        </w:rPr>
        <w:t> </w:t>
      </w:r>
      <w:r>
        <w:rPr/>
        <w:t>erythrocytes every</w:t>
      </w:r>
      <w:r>
        <w:rPr>
          <w:spacing w:val="-4"/>
        </w:rPr>
        <w:t> </w:t>
      </w:r>
      <w:r>
        <w:rPr/>
        <w:t>four</w:t>
      </w:r>
      <w:r>
        <w:rPr>
          <w:spacing w:val="3"/>
        </w:rPr>
        <w:t> </w:t>
      </w:r>
      <w:r>
        <w:rPr/>
        <w:t>days</w:t>
      </w:r>
      <w:r>
        <w:rPr>
          <w:spacing w:val="-1"/>
        </w:rPr>
        <w:t> </w:t>
      </w:r>
      <w:r>
        <w:rPr/>
        <w:t>(Adzu</w:t>
      </w:r>
      <w:r>
        <w:rPr>
          <w:spacing w:val="1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5"/>
        </w:rPr>
        <w:t> </w:t>
      </w:r>
      <w:r>
        <w:rPr/>
        <w:t>2007).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7" w:after="0"/>
        <w:ind w:left="1033" w:right="0" w:hanging="721"/>
        <w:jc w:val="both"/>
      </w:pPr>
      <w:bookmarkStart w:name="_TOC_250055" w:id="38"/>
      <w:r>
        <w:rPr/>
        <w:t>Computer</w:t>
      </w:r>
      <w:r>
        <w:rPr>
          <w:spacing w:val="-8"/>
        </w:rPr>
        <w:t> </w:t>
      </w:r>
      <w:r>
        <w:rPr/>
        <w:t>hardware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bookmarkEnd w:id="38"/>
      <w:r>
        <w:rPr/>
        <w:t>software</w:t>
      </w:r>
    </w:p>
    <w:p>
      <w:pPr>
        <w:pStyle w:val="BodyText"/>
        <w:tabs>
          <w:tab w:pos="2049" w:val="left" w:leader="none"/>
          <w:tab w:pos="3245" w:val="left" w:leader="none"/>
          <w:tab w:pos="4545" w:val="left" w:leader="none"/>
          <w:tab w:pos="5620" w:val="left" w:leader="none"/>
          <w:tab w:pos="6988" w:val="left" w:leader="none"/>
          <w:tab w:pos="8346" w:val="left" w:leader="none"/>
        </w:tabs>
        <w:spacing w:line="480" w:lineRule="auto" w:before="195"/>
        <w:ind w:left="312" w:right="700"/>
        <w:jc w:val="both"/>
      </w:pPr>
      <w:r>
        <w:rPr/>
        <w:t>AutoDock</w:t>
        <w:tab/>
        <w:t>Vina</w:t>
        <w:tab/>
        <w:t>(Trott</w:t>
        <w:tab/>
        <w:t>and</w:t>
        <w:tab/>
        <w:t>Olson,</w:t>
        <w:tab/>
        <w:t>2011),</w:t>
        <w:tab/>
      </w:r>
      <w:r>
        <w:rPr>
          <w:spacing w:val="-2"/>
        </w:rPr>
        <w:t>Ligplot</w:t>
      </w:r>
      <w:r>
        <w:rPr>
          <w:spacing w:val="-58"/>
        </w:rPr>
        <w:t> </w:t>
      </w:r>
      <w:r>
        <w:rPr/>
        <w:t>(</w:t>
      </w:r>
      <w:hyperlink r:id="rId186">
        <w:r>
          <w:rPr>
            <w:color w:val="0000FF"/>
            <w:u w:val="single" w:color="0000FF"/>
          </w:rPr>
          <w:t>http://www.ebi.ac.uk/thornton</w:t>
        </w:r>
      </w:hyperlink>
      <w:r>
        <w:rPr/>
        <w:t>srv/software/LIGPLOT/),</w:t>
      </w:r>
      <w:r>
        <w:rPr>
          <w:spacing w:val="1"/>
        </w:rPr>
        <w:t> </w:t>
      </w:r>
      <w:r>
        <w:rPr/>
        <w:t>Molegro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Viewer</w:t>
      </w:r>
      <w:r>
        <w:rPr>
          <w:spacing w:val="1"/>
        </w:rPr>
        <w:t> </w:t>
      </w:r>
      <w:r>
        <w:rPr/>
        <w:t>(MMV)</w:t>
      </w:r>
      <w:r>
        <w:rPr>
          <w:spacing w:val="2"/>
        </w:rPr>
        <w:t> </w:t>
      </w:r>
      <w:r>
        <w:rPr/>
        <w:t>(www.nlcbio.com),</w:t>
      </w:r>
      <w:r>
        <w:rPr>
          <w:spacing w:val="4"/>
        </w:rPr>
        <w:t> </w:t>
      </w:r>
      <w:r>
        <w:rPr/>
        <w:t>MGL</w:t>
      </w:r>
    </w:p>
    <w:p>
      <w:pPr>
        <w:pStyle w:val="BodyText"/>
        <w:spacing w:line="480" w:lineRule="auto" w:before="197"/>
        <w:ind w:left="312" w:right="692"/>
        <w:jc w:val="both"/>
      </w:pPr>
      <w:r>
        <w:rPr/>
        <w:t>tools (Sanner, Olson, and Spehner, 1996), UCSF Chimera (Pettersen </w:t>
      </w:r>
      <w:r>
        <w:rPr>
          <w:i/>
        </w:rPr>
        <w:t>et al., </w:t>
      </w:r>
      <w:r>
        <w:rPr/>
        <w:t>2004), Amber</w:t>
      </w:r>
      <w:r>
        <w:rPr>
          <w:spacing w:val="1"/>
        </w:rPr>
        <w:t> </w:t>
      </w:r>
      <w:r>
        <w:rPr/>
        <w:t>(Case </w:t>
      </w:r>
      <w:r>
        <w:rPr>
          <w:i/>
        </w:rPr>
        <w:t>et al</w:t>
      </w:r>
      <w:r>
        <w:rPr/>
        <w:t>., 2012), ChemDraw ultra.12, Accelerys Discovery Studio, Spartan 04, Ligand</w:t>
      </w:r>
      <w:r>
        <w:rPr>
          <w:spacing w:val="1"/>
        </w:rPr>
        <w:t> </w:t>
      </w:r>
      <w:r>
        <w:rPr/>
        <w:t>Scout,</w:t>
      </w:r>
      <w:r>
        <w:rPr>
          <w:spacing w:val="1"/>
        </w:rPr>
        <w:t> </w:t>
      </w:r>
      <w:r>
        <w:rPr/>
        <w:t>Origin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analysis,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version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(</w:t>
      </w:r>
      <w:hyperlink r:id="rId187">
        <w:r>
          <w:rPr/>
          <w:t>http://www.originlab.com/),</w:t>
        </w:r>
      </w:hyperlink>
      <w:r>
        <w:rPr>
          <w:spacing w:val="1"/>
        </w:rPr>
        <w:t> </w:t>
      </w:r>
      <w:r>
        <w:rPr/>
        <w:t>Mac</w:t>
      </w:r>
      <w:r>
        <w:rPr>
          <w:spacing w:val="1"/>
        </w:rPr>
        <w:t> </w:t>
      </w:r>
      <w:r>
        <w:rPr/>
        <w:t>OSX,Windows</w:t>
      </w:r>
      <w:r>
        <w:rPr>
          <w:spacing w:val="-2"/>
        </w:rPr>
        <w:t> </w:t>
      </w:r>
      <w:r>
        <w:rPr/>
        <w:t>(Intel</w:t>
      </w:r>
      <w:r>
        <w:rPr>
          <w:spacing w:val="-7"/>
        </w:rPr>
        <w:t> </w:t>
      </w:r>
      <w:r>
        <w:rPr/>
        <w:t>processor,</w:t>
      </w:r>
      <w:r>
        <w:rPr>
          <w:spacing w:val="4"/>
        </w:rPr>
        <w:t> </w:t>
      </w:r>
      <w:r>
        <w:rPr/>
        <w:t>coi7)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7" w:after="0"/>
        <w:ind w:left="1033" w:right="0" w:hanging="721"/>
        <w:jc w:val="both"/>
      </w:pPr>
      <w:bookmarkStart w:name="_TOC_250054" w:id="39"/>
      <w:r>
        <w:rPr/>
        <w:t>Protein</w:t>
      </w:r>
      <w:r>
        <w:rPr>
          <w:spacing w:val="-2"/>
        </w:rPr>
        <w:t> </w:t>
      </w:r>
      <w:r>
        <w:rPr/>
        <w:t>crystal</w:t>
      </w:r>
      <w:r>
        <w:rPr>
          <w:spacing w:val="-7"/>
        </w:rPr>
        <w:t> </w:t>
      </w:r>
      <w:bookmarkEnd w:id="39"/>
      <w:r>
        <w:rPr/>
        <w:t>structure</w:t>
      </w:r>
    </w:p>
    <w:p>
      <w:pPr>
        <w:pStyle w:val="BodyText"/>
        <w:spacing w:line="480" w:lineRule="auto" w:before="195"/>
        <w:ind w:left="312" w:right="687"/>
        <w:jc w:val="both"/>
      </w:pPr>
      <w:r>
        <w:rPr/>
        <w:t>High resolution, non-mutant crystal structure files of the following enzymes were obtained</w:t>
      </w:r>
      <w:r>
        <w:rPr>
          <w:spacing w:val="-57"/>
        </w:rPr>
        <w:t> </w:t>
      </w:r>
      <w:r>
        <w:rPr/>
        <w:t>from</w:t>
      </w:r>
      <w:r>
        <w:rPr>
          <w:spacing w:val="1"/>
        </w:rPr>
        <w:t> </w:t>
      </w:r>
      <w:r>
        <w:rPr/>
        <w:t>RCSBProtein</w:t>
      </w:r>
      <w:r>
        <w:rPr>
          <w:spacing w:val="1"/>
        </w:rPr>
        <w:t> </w:t>
      </w:r>
      <w:r>
        <w:rPr/>
        <w:t>DataBank</w:t>
      </w:r>
      <w:r>
        <w:rPr>
          <w:spacing w:val="1"/>
        </w:rPr>
        <w:t> </w:t>
      </w:r>
      <w:r>
        <w:rPr/>
        <w:t>(</w:t>
      </w:r>
      <w:hyperlink r:id="rId188">
        <w:r>
          <w:rPr/>
          <w:t>http://www.rcsb.org/pdb);</w:t>
        </w:r>
      </w:hyperlink>
      <w:r>
        <w:rPr>
          <w:spacing w:val="1"/>
        </w:rPr>
        <w:t> </w:t>
      </w:r>
      <w:r>
        <w:rPr/>
        <w:t>Falcipain-2</w:t>
      </w:r>
      <w:r>
        <w:rPr>
          <w:spacing w:val="1"/>
        </w:rPr>
        <w:t> </w:t>
      </w:r>
      <w:r>
        <w:rPr/>
        <w:t>[FP-2;</w:t>
      </w:r>
      <w:r>
        <w:rPr>
          <w:spacing w:val="1"/>
        </w:rPr>
        <w:t> </w:t>
      </w:r>
      <w:r>
        <w:rPr/>
        <w:t>PDB</w:t>
      </w:r>
      <w:r>
        <w:rPr>
          <w:spacing w:val="1"/>
        </w:rPr>
        <w:t> </w:t>
      </w:r>
      <w:r>
        <w:rPr/>
        <w:t>ID:</w:t>
      </w:r>
      <w:r>
        <w:rPr>
          <w:spacing w:val="1"/>
        </w:rPr>
        <w:t> </w:t>
      </w:r>
      <w:r>
        <w:rPr/>
        <w:t>3BPF] (Kerr </w:t>
      </w:r>
      <w:r>
        <w:rPr>
          <w:i/>
        </w:rPr>
        <w:t>et al., </w:t>
      </w:r>
      <w:r>
        <w:rPr/>
        <w:t>2001), Falcipain-3[FP-3; PDB ID:</w:t>
      </w:r>
      <w:r>
        <w:rPr>
          <w:spacing w:val="1"/>
        </w:rPr>
        <w:t> </w:t>
      </w:r>
      <w:r>
        <w:rPr/>
        <w:t>3BWK] (Kerr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2001),</w:t>
      </w:r>
      <w:r>
        <w:rPr>
          <w:spacing w:val="1"/>
        </w:rPr>
        <w:t> </w:t>
      </w:r>
      <w:r>
        <w:rPr/>
        <w:t>Plasmepsin-II [Plm-II; PDB ID: ILF3] (Asojo </w:t>
      </w:r>
      <w:r>
        <w:rPr>
          <w:i/>
        </w:rPr>
        <w:t>et al., </w:t>
      </w:r>
      <w:r>
        <w:rPr/>
        <w:t>2003), Plasmepsin-IV [Plm-IV; PDB</w:t>
      </w:r>
      <w:r>
        <w:rPr>
          <w:spacing w:val="1"/>
        </w:rPr>
        <w:t> </w:t>
      </w:r>
      <w:r>
        <w:rPr/>
        <w:t>ID:</w:t>
      </w:r>
      <w:r>
        <w:rPr>
          <w:spacing w:val="1"/>
        </w:rPr>
        <w:t> </w:t>
      </w:r>
      <w:r>
        <w:rPr/>
        <w:t>1LS5]</w:t>
      </w:r>
      <w:r>
        <w:rPr>
          <w:spacing w:val="-1"/>
        </w:rPr>
        <w:t> </w:t>
      </w:r>
      <w:r>
        <w:rPr/>
        <w:t>(Asojo</w:t>
      </w:r>
      <w:r>
        <w:rPr>
          <w:spacing w:val="9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2003).</w:t>
      </w:r>
    </w:p>
    <w:p>
      <w:pPr>
        <w:pStyle w:val="BodyText"/>
        <w:spacing w:before="2"/>
        <w:rPr>
          <w:sz w:val="10"/>
        </w:rPr>
      </w:pPr>
    </w:p>
    <w:p>
      <w:pPr>
        <w:pStyle w:val="Heading1"/>
        <w:numPr>
          <w:ilvl w:val="1"/>
          <w:numId w:val="15"/>
        </w:numPr>
        <w:tabs>
          <w:tab w:pos="4419" w:val="left" w:leader="none"/>
        </w:tabs>
        <w:spacing w:line="240" w:lineRule="auto" w:before="90" w:after="0"/>
        <w:ind w:left="4418" w:right="0" w:hanging="361"/>
        <w:jc w:val="left"/>
      </w:pPr>
      <w:bookmarkStart w:name="_TOC_250053" w:id="40"/>
      <w:bookmarkEnd w:id="40"/>
      <w:r>
        <w:rPr/>
        <w:t>Methods</w:t>
      </w:r>
    </w:p>
    <w:p>
      <w:pPr>
        <w:pStyle w:val="Heading1"/>
        <w:numPr>
          <w:ilvl w:val="2"/>
          <w:numId w:val="15"/>
        </w:numPr>
        <w:tabs>
          <w:tab w:pos="856" w:val="left" w:leader="none"/>
        </w:tabs>
        <w:spacing w:line="240" w:lineRule="auto" w:before="200" w:after="0"/>
        <w:ind w:left="855" w:right="0" w:hanging="544"/>
        <w:jc w:val="left"/>
      </w:pPr>
      <w:bookmarkStart w:name="_TOC_250052" w:id="41"/>
      <w:r>
        <w:rPr/>
        <w:t>Design</w:t>
      </w:r>
      <w:r>
        <w:rPr>
          <w:spacing w:val="-3"/>
        </w:rPr>
        <w:t> </w:t>
      </w:r>
      <w:bookmarkEnd w:id="41"/>
      <w:r>
        <w:rPr/>
        <w:t>strategy</w:t>
      </w:r>
    </w:p>
    <w:p>
      <w:pPr>
        <w:pStyle w:val="BodyText"/>
        <w:spacing w:before="1"/>
        <w:rPr>
          <w:b/>
          <w:sz w:val="9"/>
        </w:rPr>
      </w:pPr>
    </w:p>
    <w:p>
      <w:pPr>
        <w:pStyle w:val="BodyText"/>
        <w:spacing w:line="480" w:lineRule="auto" w:before="90"/>
        <w:ind w:left="312" w:right="691"/>
        <w:jc w:val="both"/>
      </w:pPr>
      <w:r>
        <w:rPr/>
        <w:t>Spurred by the previous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on substitutions type and pattern of the</w:t>
      </w:r>
      <w:r>
        <w:rPr>
          <w:spacing w:val="1"/>
        </w:rPr>
        <w:t> </w:t>
      </w:r>
      <w:r>
        <w:rPr/>
        <w:t>two</w:t>
      </w:r>
      <w:r>
        <w:rPr>
          <w:spacing w:val="60"/>
        </w:rPr>
        <w:t> </w:t>
      </w:r>
      <w:r>
        <w:rPr/>
        <w:t>aromatic</w:t>
      </w:r>
      <w:r>
        <w:rPr>
          <w:spacing w:val="1"/>
        </w:rPr>
        <w:t> </w:t>
      </w:r>
      <w:r>
        <w:rPr/>
        <w:t>rings (ring</w:t>
      </w:r>
      <w:r>
        <w:rPr>
          <w:spacing w:val="1"/>
        </w:rPr>
        <w:t> </w:t>
      </w:r>
      <w:r>
        <w:rPr/>
        <w:t>A:</w:t>
      </w:r>
      <w:r>
        <w:rPr>
          <w:spacing w:val="1"/>
        </w:rPr>
        <w:t> </w:t>
      </w:r>
      <w:r>
        <w:rPr/>
        <w:t>from the</w:t>
      </w:r>
      <w:r>
        <w:rPr>
          <w:spacing w:val="1"/>
        </w:rPr>
        <w:t> </w:t>
      </w:r>
      <w:r>
        <w:rPr/>
        <w:t>aldehyde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B:</w:t>
      </w:r>
      <w:r>
        <w:rPr>
          <w:spacing w:val="1"/>
        </w:rPr>
        <w:t> </w:t>
      </w:r>
      <w:r>
        <w:rPr/>
        <w:t>from acetophenone)</w:t>
      </w:r>
      <w:r>
        <w:rPr>
          <w:spacing w:val="1"/>
        </w:rPr>
        <w:t> </w:t>
      </w:r>
      <w:r>
        <w:rPr/>
        <w:t>of chalcone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potent</w:t>
      </w:r>
      <w:r>
        <w:rPr>
          <w:spacing w:val="1"/>
        </w:rPr>
        <w:t> </w:t>
      </w:r>
      <w:r>
        <w:rPr/>
        <w:t>antimalarial activity (Li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1995; Liu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2001; Dominguez </w:t>
      </w:r>
      <w:r>
        <w:rPr>
          <w:i/>
        </w:rPr>
        <w:t>et al.,</w:t>
      </w:r>
      <w:r>
        <w:rPr>
          <w:i/>
          <w:spacing w:val="60"/>
        </w:rPr>
        <w:t> </w:t>
      </w:r>
      <w:r>
        <w:rPr/>
        <w:t>2001; Shikha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60"/>
        </w:rPr>
        <w:t> </w:t>
      </w:r>
      <w:r>
        <w:rPr/>
        <w:t>2009), six series of chalcones, broadly classified according to the substitution pattern</w:t>
      </w:r>
      <w:r>
        <w:rPr>
          <w:spacing w:val="1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29"/>
        </w:rPr>
        <w:t> </w:t>
      </w:r>
      <w:r>
        <w:rPr/>
        <w:t>A</w:t>
      </w:r>
      <w:r>
        <w:rPr>
          <w:spacing w:val="24"/>
        </w:rPr>
        <w:t> </w:t>
      </w:r>
      <w:r>
        <w:rPr/>
        <w:t>ring</w:t>
      </w:r>
      <w:r>
        <w:rPr>
          <w:spacing w:val="30"/>
        </w:rPr>
        <w:t> </w:t>
      </w:r>
      <w:r>
        <w:rPr/>
        <w:t>were</w:t>
      </w:r>
      <w:r>
        <w:rPr>
          <w:spacing w:val="24"/>
        </w:rPr>
        <w:t> </w:t>
      </w:r>
      <w:r>
        <w:rPr/>
        <w:t>designed.</w:t>
      </w:r>
      <w:r>
        <w:rPr>
          <w:spacing w:val="27"/>
        </w:rPr>
        <w:t> </w:t>
      </w:r>
      <w:r>
        <w:rPr/>
        <w:t>In</w:t>
      </w:r>
      <w:r>
        <w:rPr>
          <w:spacing w:val="25"/>
        </w:rPr>
        <w:t> </w:t>
      </w:r>
      <w:r>
        <w:rPr/>
        <w:t>series;</w:t>
      </w:r>
      <w:r>
        <w:rPr>
          <w:spacing w:val="21"/>
        </w:rPr>
        <w:t> </w:t>
      </w:r>
      <w:r>
        <w:rPr/>
        <w:t>one,</w:t>
      </w:r>
      <w:r>
        <w:rPr>
          <w:spacing w:val="27"/>
        </w:rPr>
        <w:t> </w:t>
      </w:r>
      <w:r>
        <w:rPr/>
        <w:t>three</w:t>
      </w:r>
      <w:r>
        <w:rPr>
          <w:spacing w:val="24"/>
        </w:rPr>
        <w:t> </w:t>
      </w:r>
      <w:r>
        <w:rPr/>
        <w:t>and</w:t>
      </w:r>
      <w:r>
        <w:rPr>
          <w:spacing w:val="29"/>
        </w:rPr>
        <w:t> </w:t>
      </w:r>
      <w:r>
        <w:rPr/>
        <w:t>four,</w:t>
      </w:r>
      <w:r>
        <w:rPr>
          <w:spacing w:val="27"/>
        </w:rPr>
        <w:t> </w:t>
      </w:r>
      <w:r>
        <w:rPr/>
        <w:t>ring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was</w:t>
      </w:r>
      <w:r>
        <w:rPr>
          <w:spacing w:val="28"/>
        </w:rPr>
        <w:t> </w:t>
      </w:r>
      <w:r>
        <w:rPr/>
        <w:t>substituted</w:t>
      </w:r>
      <w:r>
        <w:rPr>
          <w:spacing w:val="25"/>
        </w:rPr>
        <w:t> </w:t>
      </w:r>
      <w:r>
        <w:rPr/>
        <w:t>with</w:t>
      </w:r>
    </w:p>
    <w:p>
      <w:pPr>
        <w:spacing w:after="0" w:line="480" w:lineRule="auto"/>
        <w:jc w:val="both"/>
        <w:sectPr>
          <w:headerReference w:type="default" r:id="rId184"/>
          <w:footerReference w:type="default" r:id="rId18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7"/>
        <w:jc w:val="both"/>
      </w:pPr>
      <w:r>
        <w:rPr/>
        <w:t>2,3,4 trimethoxy,</w:t>
      </w:r>
      <w:r>
        <w:rPr>
          <w:spacing w:val="1"/>
        </w:rPr>
        <w:t> </w:t>
      </w:r>
      <w:r>
        <w:rPr/>
        <w:t>2,4 dimethoxy and 2-methoxy groups respectively (varying electron</w:t>
      </w:r>
      <w:r>
        <w:rPr>
          <w:spacing w:val="1"/>
        </w:rPr>
        <w:t> </w:t>
      </w:r>
      <w:r>
        <w:rPr/>
        <w:t>density), and series five have un-substituted A ring (Figure 3.1). The other aromatic ring</w:t>
      </w:r>
      <w:r>
        <w:rPr>
          <w:spacing w:val="1"/>
        </w:rPr>
        <w:t> </w:t>
      </w:r>
      <w:r>
        <w:rPr/>
        <w:t>(ring B) in the series was substituted with groups of varying electronic character. In series</w:t>
      </w:r>
      <w:r>
        <w:rPr>
          <w:spacing w:val="1"/>
        </w:rPr>
        <w:t> </w:t>
      </w:r>
      <w:r>
        <w:rPr/>
        <w:t>two,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A was replaced</w:t>
      </w:r>
      <w:r>
        <w:rPr>
          <w:spacing w:val="1"/>
        </w:rPr>
        <w:t> </w:t>
      </w:r>
      <w:r>
        <w:rPr/>
        <w:t>by 2-chloroquinoline ring with and without</w:t>
      </w:r>
      <w:r>
        <w:rPr>
          <w:spacing w:val="1"/>
        </w:rPr>
        <w:t> </w:t>
      </w:r>
      <w:r>
        <w:rPr/>
        <w:t>6-</w:t>
      </w:r>
      <w:r>
        <w:rPr>
          <w:spacing w:val="60"/>
        </w:rPr>
        <w:t> </w:t>
      </w:r>
      <w:r>
        <w:rPr/>
        <w:t>methoxy group</w:t>
      </w:r>
      <w:r>
        <w:rPr>
          <w:spacing w:val="-57"/>
        </w:rPr>
        <w:t> </w:t>
      </w:r>
      <w:r>
        <w:rPr/>
        <w:t>and ring B comprises of 2,3,4 trimethoxy and, 2,4 dimethoxy substitutions (Figure 3.2).</w:t>
      </w:r>
      <w:r>
        <w:rPr>
          <w:spacing w:val="1"/>
        </w:rPr>
        <w:t> </w:t>
      </w:r>
      <w:r>
        <w:rPr/>
        <w:t>Furthermore, series six have electron deficient ring A with ring B of varying electron</w:t>
      </w:r>
      <w:r>
        <w:rPr>
          <w:spacing w:val="1"/>
        </w:rPr>
        <w:t> </w:t>
      </w:r>
      <w:r>
        <w:rPr/>
        <w:t>densities.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group style="position:absolute;margin-left:120.849998pt;margin-top:8.206172pt;width:356.6pt;height:185.8pt;mso-position-horizontal-relative:page;mso-position-vertical-relative:paragraph;z-index:-15713280;mso-wrap-distance-left:0;mso-wrap-distance-right:0" coordorigin="2417,164" coordsize="7132,3716">
            <v:shape style="position:absolute;left:4429;top:284;width:3997;height:2506" type="#_x0000_t75" stroked="false">
              <v:imagedata r:id="rId191" o:title=""/>
            </v:shape>
            <v:shape style="position:absolute;left:3808;top:164;width:1913;height:2278" coordorigin="3808,164" coordsize="1913,2278" path="m4362,1899l4352,1889,3808,2432,3818,2442,4362,1899xm5721,204l5719,195,5711,180,5707,176,5707,204,5707,226,5704,235,5692,249,5684,252,5664,252,5656,249,5650,242,5643,235,5640,226,5640,200,5644,190,5650,184,5657,178,5665,175,5680,175,5686,177,5691,180,5697,183,5701,187,5703,193,5706,199,5707,204,5707,176,5706,175,5698,170,5691,166,5683,164,5660,164,5649,168,5631,186,5627,199,5627,223,5629,231,5632,238,5636,246,5642,252,5649,256,5656,261,5665,263,5682,263,5690,261,5705,253,5706,252,5711,247,5715,240,5719,232,5721,223,5721,204xe" filled="true" fillcolor="#000000" stroked="false">
              <v:path arrowok="t"/>
              <v:fill type="solid"/>
            </v:shape>
            <v:shape style="position:absolute;left:3722;top:2395;width:132;height:132" type="#_x0000_t75" stroked="false">
              <v:imagedata r:id="rId192" o:title=""/>
            </v:shape>
            <v:shape style="position:absolute;left:2417;top:2908;width:2290;height:972" type="#_x0000_t75" stroked="false">
              <v:imagedata r:id="rId193" o:title=""/>
            </v:shape>
            <v:shape style="position:absolute;left:3919;top:2788;width:94;height:99" coordorigin="3919,2788" coordsize="94,99" path="m3975,2788l3952,2788,3941,2793,3923,2811,3919,2823,3919,2848,3920,2855,3924,2863,3928,2870,3933,2876,3941,2881,3948,2885,3956,2887,3974,2887,3982,2885,3989,2881,3997,2877,3998,2876,3956,2876,3948,2873,3935,2860,3932,2851,3932,2825,3935,2814,3949,2802,3956,2799,3998,2799,3990,2795,3983,2790,3975,2788xm3998,2799l3972,2799,3978,2801,3983,2804,3989,2807,3995,2817,3998,2823,3999,2828,3999,2851,3996,2860,3983,2873,3975,2876,3998,2876,4003,2871,4007,2864,4011,2856,4013,2848,4013,2828,4011,2820,4007,2812,4003,2805,3998,2799xe" filled="true" fillcolor="#000000" stroked="false">
              <v:path arrowok="t"/>
              <v:fill type="solid"/>
            </v:shape>
            <v:shape style="position:absolute;left:4855;top:2200;width:2290;height:1566" type="#_x0000_t75" stroked="false">
              <v:imagedata r:id="rId194" o:title=""/>
            </v:shape>
            <v:shape style="position:absolute;left:6357;top:2805;width:94;height:98" coordorigin="6357,2805" coordsize="94,98" path="m6413,2805l6390,2805,6379,2809,6361,2827,6357,2840,6357,2864,6359,2872,6362,2879,6366,2887,6372,2893,6386,2901,6394,2903,6412,2903,6420,2902,6435,2894,6436,2893,6394,2893,6386,2889,6373,2876,6370,2867,6370,2841,6373,2831,6387,2819,6395,2816,6436,2816,6436,2815,6428,2811,6421,2807,6413,2805xm6436,2816l6410,2816,6416,2817,6421,2820,6427,2824,6431,2828,6433,2834,6436,2840,6437,2845,6437,2867,6434,2876,6428,2883,6421,2889,6413,2893,6436,2893,6441,2888,6445,2880,6449,2873,6451,2864,6451,2845,6449,2836,6441,2821,6436,2816xe" filled="true" fillcolor="#000000" stroked="false">
              <v:path arrowok="t"/>
              <v:fill type="solid"/>
            </v:shape>
            <v:shape style="position:absolute;left:7259;top:2926;width:2290;height:840" type="#_x0000_t75" stroked="false">
              <v:imagedata r:id="rId195" o:title=""/>
            </v:shape>
            <v:shape style="position:absolute;left:8762;top:2805;width:94;height:98" coordorigin="8762,2805" coordsize="94,98" path="m8818,2805l8796,2805,8784,2809,8775,2818,8767,2827,8762,2840,8762,2864,8764,2872,8768,2879,8772,2887,8777,2893,8792,2901,8800,2903,8818,2903,8826,2902,8841,2894,8842,2893,8800,2893,8792,2889,8779,2876,8776,2867,8776,2841,8779,2831,8786,2825,8792,2819,8800,2816,8842,2816,8841,2815,8827,2807,8818,2805xm8842,2816l8816,2816,8822,2817,8827,2820,8832,2824,8836,2828,8842,2840,8843,2845,8843,2867,8840,2876,8827,2889,8819,2893,8842,2893,8846,2888,8850,2880,8854,2873,8856,2864,8856,2845,8854,2836,8847,2821,8842,281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2566670</wp:posOffset>
            </wp:positionH>
            <wp:positionV relativeFrom="paragraph">
              <wp:posOffset>2558874</wp:posOffset>
            </wp:positionV>
            <wp:extent cx="2210562" cy="213740"/>
            <wp:effectExtent l="0" t="0" r="0" b="0"/>
            <wp:wrapTopAndBottom/>
            <wp:docPr id="3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6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562" cy="21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5888990</wp:posOffset>
            </wp:positionH>
            <wp:positionV relativeFrom="paragraph">
              <wp:posOffset>2558812</wp:posOffset>
            </wp:positionV>
            <wp:extent cx="498013" cy="71437"/>
            <wp:effectExtent l="0" t="0" r="0" b="0"/>
            <wp:wrapTopAndBottom/>
            <wp:docPr id="3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7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1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4.850006pt;margin-top:230.656174pt;width:89.7pt;height:48pt;mso-position-horizontal-relative:page;mso-position-vertical-relative:paragraph;z-index:-15711744;mso-wrap-distance-left:0;mso-wrap-distance-right:0" coordorigin="4697,4613" coordsize="1794,960">
            <v:shape style="position:absolute;left:4705;top:5017;width:34;height:254" coordorigin="4705,5017" coordsize="34,254" path="m4705,5017l4705,5271m4739,5037l4739,5252e" filled="false" stroked="true" strokeweight=".65488pt" strokecolor="#000000">
              <v:path arrowok="t"/>
              <v:stroke dashstyle="solid"/>
            </v:shape>
            <v:shape style="position:absolute;left:4697;top:5237;width:433;height:156" coordorigin="4697,5237" coordsize="433,156" path="m5096,5244l5092,5238,5088,5237,4907,5341,4906,5345,4909,5352,4913,5353,5095,5248,5096,5244xm5130,5265l5126,5258,5122,5257,4913,5378,4704,5257,4700,5258,4697,5265,4698,5269,4908,5390,4909,5392,4913,5393,4917,5392,4918,5390,5129,5269,5130,5265xe" filled="true" fillcolor="#000000" stroked="false">
              <v:path arrowok="t"/>
              <v:fill type="solid"/>
            </v:shape>
            <v:line style="position:absolute" from="5124,5017" to="5124,5271" stroked="true" strokeweight=".65488pt" strokecolor="#000000">
              <v:stroke dashstyle="solid"/>
            </v:line>
            <v:shape style="position:absolute;left:4697;top:4866;width:1268;height:184" coordorigin="4697,4866" coordsize="1268,184" path="m5096,5042l5095,5038,4913,4934,4909,4935,4906,4941,4907,4945,5088,5050,5092,5049,5096,5042xm5549,4984l5548,4980,5350,4866,5346,4867,5342,4873,5344,4877,5542,4992,5546,4991,5547,4987,5549,4984xm5965,5023l5964,5019,5755,4898,5754,4896,5750,4895,5746,4896,5745,4898,5541,5015,5338,4898,5337,4896,5333,4895,5329,4896,5328,4898,5123,5016,4918,4898,4917,4896,4913,4895,4909,4896,4908,4898,4698,5019,4697,5023,4700,5029,4704,5030,4913,4910,5120,5029,5120,5029,5120,5029,5122,5030,5123,5030,5124,5030,5126,5029,5126,5029,5126,5029,5333,4910,5537,5027,5538,5029,5542,5030,5546,5029,5547,5028,5750,4910,5958,5030,5962,5029,5964,5026,5965,5023xe" filled="true" fillcolor="#000000" stroked="false">
              <v:path arrowok="t"/>
              <v:fill type="solid"/>
            </v:shape>
            <v:shape style="position:absolute;left:5959;top:5017;width:34;height:254" coordorigin="5959,5017" coordsize="34,254" path="m5959,5017l5959,5271m5993,5037l5993,5252e" filled="false" stroked="true" strokeweight=".65488pt" strokecolor="#000000">
              <v:path arrowok="t"/>
              <v:stroke dashstyle="solid"/>
            </v:shape>
            <v:shape style="position:absolute;left:5951;top:5237;width:433;height:156" coordorigin="5951,5237" coordsize="433,156" path="m6272,5289l6268,5283,6264,5282,6161,5341,6160,5345,6163,5351,6167,5352,6271,5293,6272,5289xm6289,5319l6285,5313,6281,5312,6168,5377,5959,5257,5955,5258,5953,5261,5951,5265,5953,5269,6162,5390,6163,5392,6167,5393,6167,5393,6168,5393,6172,5392,6174,5389,6174,5389,6288,5323,6289,5319xm6350,5244l6346,5238,6342,5237,6317,5251,6316,5255,6318,5258,6319,5261,6323,5263,6349,5248,6350,5244xm6384,5265l6382,5261,6380,5258,6376,5257,6334,5282,6333,5286,6335,5289,6336,5292,6340,5293,6383,5269,6384,5265xe" filled="true" fillcolor="#000000" stroked="false">
              <v:path arrowok="t"/>
              <v:fill type="solid"/>
            </v:shape>
            <v:line style="position:absolute" from="6378,5017" to="6378,5271" stroked="true" strokeweight=".65488pt" strokecolor="#000000">
              <v:stroke dashstyle="solid"/>
            </v:line>
            <v:shape style="position:absolute;left:5703;top:4613;width:788;height:960" coordorigin="5703,4613" coordsize="788,960" path="m5797,4653l5795,4645,5787,4630,5783,4625,5783,4653,5783,4676,5780,4684,5768,4698,5759,4701,5740,4701,5732,4698,5726,4691,5719,4685,5716,4676,5716,4650,5719,4639,5733,4627,5741,4624,5756,4624,5762,4626,5768,4629,5773,4632,5777,4637,5782,4648,5783,4653,5783,4625,5782,4624,5774,4620,5767,4615,5759,4613,5736,4613,5725,4618,5707,4636,5703,4648,5703,4672,5705,4680,5708,4688,5712,4695,5718,4701,5732,4710,5740,4712,5758,4712,5766,4710,5781,4702,5782,4701,5787,4696,5791,4689,5795,4681,5797,4672,5797,4653xm6350,5042l6349,5038,6167,4934,6163,4935,6160,4941,6161,4945,6342,5050,6346,5048,6350,5042xm6384,5024l6383,5020,6173,4899,6172,4896,6168,4895,6168,4895,6167,4895,6163,4896,6162,4899,5953,5020,5951,5024,5955,5030,5959,5031,6168,4911,6376,5031,6380,5030,6384,5024xm6405,5451l6403,5447,6268,5213,6266,5210,6262,5209,6256,5213,6254,5217,6256,5220,6392,5454,6393,5457,6398,5458,6404,5455,6405,5451xm6491,5573l6461,5533,6453,5523,6460,5514,6488,5478,6474,5478,6454,5503,6448,5511,6446,5514,6445,5511,6442,5508,6420,5478,6405,5478,6438,5524,6400,5573,6416,5573,6442,5539,6445,5533,6447,5535,6450,5539,6475,5573,6491,5573xe" filled="true" fillcolor="#000000" stroked="false">
              <v:path arrowok="t"/>
              <v:fill type="solid"/>
            </v:shape>
            <v:shape style="position:absolute;left:5733;top:4734;width:34;height:186" coordorigin="5733,4734" coordsize="34,186" path="m5733,4734l5733,4920m5767,4734l5767,4920e" filled="false" stroked="true" strokeweight=".65488pt" strokecolor="#000000">
              <v:path arrowok="t"/>
              <v:stroke dashstyle="solid"/>
            </v:shape>
            <v:shape style="position:absolute;left:4832;top:5066;width:1392;height:138" coordorigin="4832,5066" coordsize="1392,138" path="m4879,5129l4832,5129,4832,5146,4879,5146,4879,5129xm4998,5171l4995,5171,4992,5170,4988,5166,4985,5161,4977,5144,4974,5138,4958,5102,4947,5077,4947,5138,4914,5138,4931,5102,4947,5138,4947,5077,4942,5066,4940,5066,4902,5150,4895,5164,4890,5169,4887,5170,4883,5171,4883,5174,4919,5174,4919,5171,4913,5170,4910,5170,4906,5168,4905,5165,4905,5157,4907,5154,4911,5144,4950,5144,4957,5160,4958,5162,4958,5168,4955,5170,4952,5171,4946,5171,4946,5174,4998,5174,4998,5171xm6117,5159l6070,5159,6070,5176,6117,5176,6117,5159xm6224,5168l6221,5162,6211,5154,6208,5152,6177,5153,6179,5153,6187,5156,6190,5159,6193,5163,6195,5167,6196,5171,6196,5180,6195,5184,6191,5191,6188,5194,6185,5196,6181,5198,6177,5199,6170,5199,6168,5198,6165,5195,6164,5193,6164,5153,6177,5153,6173,5152,6208,5152,6204,5151,6193,5149,6202,5146,6203,5146,6210,5143,6214,5139,6217,5135,6219,5131,6219,5121,6218,5116,6212,5108,6208,5105,6197,5100,6192,5100,6192,5121,6192,5131,6191,5134,6187,5140,6185,5142,6181,5144,6178,5146,6164,5146,6164,5105,6172,5105,6178,5106,6185,5109,6188,5111,6190,5114,6191,5117,6192,5121,6192,5100,6188,5099,6124,5099,6124,5102,6129,5102,6133,5103,6136,5104,6137,5105,6139,5108,6139,5195,6137,5198,6136,5199,6133,5201,6124,5201,6124,5204,6195,5204,6206,5201,6210,5199,6214,5195,6221,5190,6224,5183,6224,516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63.200012pt;margin-top:232.156174pt;width:108.7pt;height:48pt;mso-position-horizontal-relative:page;mso-position-vertical-relative:paragraph;z-index:-15711232;mso-wrap-distance-left:0;mso-wrap-distance-right:0" coordorigin="7264,4643" coordsize="2174,960">
            <v:shape style="position:absolute;left:7652;top:5048;width:34;height:254" coordorigin="7652,5048" coordsize="34,254" path="m7652,5048l7652,5302m7686,5067l7686,5282e" filled="false" stroked="true" strokeweight=".65488pt" strokecolor="#000000">
              <v:path arrowok="t"/>
              <v:stroke dashstyle="solid"/>
            </v:shape>
            <v:shape style="position:absolute;left:7644;top:5268;width:433;height:156" coordorigin="7644,5268" coordsize="433,156" path="m8043,5276l8039,5269,8035,5268,7854,5373,7853,5377,7856,5383,7860,5384,8042,5280,8043,5276xm8077,5295l8073,5289,8069,5288,7861,5408,7652,5288,7648,5289,7644,5295,7646,5299,7855,5421,7856,5423,7860,5424,7861,5424,7861,5424,7865,5423,7867,5420,8076,5299,8077,5295xe" filled="true" fillcolor="#000000" stroked="false">
              <v:path arrowok="t"/>
              <v:fill type="solid"/>
            </v:shape>
            <v:line style="position:absolute" from="8070,5048" to="8070,5302" stroked="true" strokeweight=".65488pt" strokecolor="#000000">
              <v:stroke dashstyle="solid"/>
            </v:line>
            <v:shape style="position:absolute;left:7644;top:4896;width:1268;height:184" coordorigin="7644,4896" coordsize="1268,184" path="m8043,5073l8042,5069,7860,4965,7856,4966,7853,4972,7854,4976,8035,5080,8039,5079,8043,5073xm8496,5014l8495,5010,8297,4896,8293,4897,8289,4903,8290,4907,8489,5021,8492,5020,8496,5014xm8912,5054l8911,5050,8702,4930,8701,4927,8697,4926,8696,4926,8696,4926,8692,4927,8691,4929,8488,5046,8283,4928,8283,4927,8281,4927,8280,4926,8280,4926,8279,4926,8278,4927,8276,4927,8275,4928,8069,5046,7867,4930,7865,4927,7861,4926,7861,4926,7860,4926,7856,4927,7855,4930,7646,5050,7644,5054,7648,5061,7652,5062,7861,4942,8065,5060,8066,5061,8068,5062,8069,5062,8070,5062,8070,5062,8071,5062,8073,5061,8074,5060,8279,4942,8485,5060,8485,5060,8489,5062,8697,4942,8905,5062,8909,5060,8910,5057,8912,5054xe" filled="true" fillcolor="#000000" stroked="false">
              <v:path arrowok="t"/>
              <v:fill type="solid"/>
            </v:shape>
            <v:shape style="position:absolute;left:8906;top:5048;width:34;height:254" coordorigin="8906,5048" coordsize="34,254" path="m8906,5048l8906,5302m8940,5067l8940,5282e" filled="false" stroked="true" strokeweight=".65488pt" strokecolor="#000000">
              <v:path arrowok="t"/>
              <v:stroke dashstyle="solid"/>
            </v:shape>
            <v:shape style="position:absolute;left:8898;top:5268;width:433;height:154" coordorigin="8898,5268" coordsize="433,154" path="m9219,5321l9217,5317,9215,5314,9211,5313,9108,5373,9107,5377,9110,5383,9114,5384,9217,5325,9219,5321xm9236,5349l9232,5343,9228,5342,9115,5407,8906,5287,8902,5288,8898,5294,8899,5298,9109,5419,9110,5421,9114,5422,9114,5422,9115,5422,9119,5421,9121,5418,9234,5353,9236,5349xm9297,5276l9295,5272,9293,5269,9289,5268,9264,5283,9263,5287,9264,5290,9266,5293,9270,5294,9296,5279,9297,5276xm9331,5294l9327,5288,9323,5287,9281,5311,9280,5315,9282,5318,9283,5322,9287,5323,9330,5298,9331,5294xe" filled="true" fillcolor="#000000" stroked="false">
              <v:path arrowok="t"/>
              <v:fill type="solid"/>
            </v:shape>
            <v:line style="position:absolute" from="9324,5048" to="9324,5302" stroked="true" strokeweight=".65488pt" strokecolor="#000000">
              <v:stroke dashstyle="solid"/>
            </v:line>
            <v:shape style="position:absolute;left:8650;top:4643;width:788;height:960" coordorigin="8650,4643" coordsize="788,960" path="m8744,4683l8742,4674,8734,4659,8730,4655,8730,4683,8730,4705,8727,4714,8721,4721,8714,4727,8706,4731,8687,4731,8679,4727,8672,4721,8666,4714,8663,4705,8663,4679,8666,4669,8680,4657,8688,4654,8703,4654,8709,4655,8714,4659,8720,4662,8724,4666,8729,4678,8730,4683,8730,4655,8729,4654,8729,4653,8721,4649,8714,4645,8706,4643,8683,4643,8672,4647,8654,4665,8650,4678,8650,4702,8652,4710,8655,4717,8659,4725,8664,4731,8679,4739,8687,4742,8705,4742,8713,4740,8728,4732,8729,4731,8734,4726,8738,4718,8742,4711,8744,4702,8744,4683xm9297,5074l9296,5070,9114,4965,9110,4966,9107,4973,9108,4977,9289,5081,9293,5080,9297,5074xm9331,5054l9330,5050,9121,4930,9119,4927,9115,4926,9115,4926,9114,4926,9110,4927,9109,4930,8899,5050,8898,5054,8902,5060,8906,5062,9115,4941,9323,5062,9327,5060,9331,5054xm9352,5480l9350,5477,9215,5243,9213,5240,9209,5239,9202,5242,9201,5246,9203,5250,9339,5484,9340,5487,9344,5488,9351,5484,9352,5480xm9438,5603l9408,5563,9400,5553,9407,5544,9435,5508,9421,5508,9401,5533,9398,5537,9395,5540,9393,5544,9391,5541,9389,5537,9367,5508,9352,5508,9385,5553,9347,5603,9363,5603,9389,5569,9392,5563,9394,5565,9397,5569,9421,5603,9438,5603xe" filled="true" fillcolor="#000000" stroked="false">
              <v:path arrowok="t"/>
              <v:fill type="solid"/>
            </v:shape>
            <v:shape style="position:absolute;left:8680;top:4765;width:34;height:185" coordorigin="8680,4765" coordsize="34,185" path="m8680,4765l8680,4950m8714,4765l8714,4950e" filled="false" stroked="true" strokeweight=".65488pt" strokecolor="#000000">
              <v:path arrowok="t"/>
              <v:stroke dashstyle="solid"/>
            </v:shape>
            <v:shape style="position:absolute;left:7264;top:5097;width:1907;height:398" coordorigin="7264,5097" coordsize="1907,398" path="m7330,5368l7264,5368,7264,5463,7277,5463,7277,5420,7323,5420,7323,5409,7277,5409,7277,5379,7330,5379,7330,5368xm7389,5468l7388,5464,7385,5461,7384,5459,7383,5458,7380,5456,7375,5455,7379,5454,7381,5452,7383,5449,7385,5447,7385,5435,7382,5430,7379,5427,7372,5423,7368,5422,7358,5422,7353,5424,7346,5430,7343,5435,7342,5441,7351,5442,7352,5438,7353,5435,7358,5431,7361,5430,7368,5430,7371,5431,7375,5435,7376,5437,7376,5445,7375,5448,7369,5452,7365,5453,7360,5453,7360,5452,7360,5453,7359,5460,7361,5460,7364,5459,7369,5459,7373,5460,7378,5466,7380,5469,7380,5477,7378,5481,7375,5484,7369,5488,7361,5488,7358,5487,7353,5482,7351,5479,7350,5474,7341,5475,7342,5481,7344,5486,7353,5493,7358,5495,7372,5495,7377,5493,7383,5488,7387,5484,7389,5479,7389,5468xm7487,5433l7474,5430,7473,5438,7469,5444,7459,5452,7453,5454,7440,5454,7434,5453,7424,5447,7420,5442,7417,5436,7415,5430,7414,5424,7414,5409,7415,5403,7419,5391,7423,5386,7433,5379,7439,5377,7453,5377,7459,5379,7467,5385,7471,5390,7473,5397,7486,5394,7483,5385,7478,5379,7477,5377,7465,5369,7457,5366,7438,5366,7430,5368,7416,5376,7410,5382,7402,5396,7400,5405,7400,5424,7402,5433,7406,5441,7409,5449,7414,5455,7421,5459,7427,5463,7436,5465,7457,5465,7466,5462,7476,5454,7480,5451,7485,5444,7487,5433xm7659,5295l7656,5289,7652,5288,7502,5374,7501,5378,7505,5384,7509,5385,7658,5299,7659,5295xm7826,5159l7779,5159,7779,5176,7826,5176,7826,5159xm7945,5201l7942,5201,7939,5200,7937,5199,7935,5197,7932,5191,7924,5174,7921,5169,7905,5132,7894,5108,7894,5169,7861,5169,7878,5132,7894,5169,7894,5108,7889,5097,7887,5097,7845,5189,7842,5194,7837,5199,7834,5201,7830,5201,7830,5204,7866,5204,7866,5201,7860,5201,7857,5200,7853,5198,7851,5196,7851,5191,7852,5188,7854,5185,7858,5174,7897,5174,7904,5191,7905,5193,7905,5199,7902,5201,7892,5201,7892,5204,7945,5204,7945,5201xm9064,5190l9017,5190,9017,5207,9064,5207,9064,5190xm9171,5197l9168,5191,9158,5183,9155,5182,9151,5181,9143,5179,9143,5201,9143,5210,9142,5214,9138,5221,9135,5224,9132,5225,9128,5227,9124,5228,9117,5228,9113,5226,9112,5225,9111,5223,9111,5182,9120,5182,9126,5183,9134,5186,9137,5189,9139,5193,9142,5196,9143,5201,9143,5179,9140,5178,9149,5176,9150,5176,9157,5173,9160,5169,9164,5165,9166,5160,9166,5150,9165,5146,9161,5142,9159,5137,9155,5135,9155,5134,9144,5130,9139,5130,9139,5150,9139,5160,9138,5164,9134,5170,9132,5172,9128,5174,9124,5175,9119,5176,9111,5176,9111,5135,9125,5135,9132,5139,9135,5141,9136,5144,9138,5147,9139,5150,9139,5130,9135,5129,9071,5129,9071,5132,9079,5132,9083,5134,9084,5135,9086,5138,9086,5225,9084,5228,9083,5229,9079,5231,9071,5231,9071,5234,9141,5234,9153,5231,9156,5228,9161,5225,9168,5219,9171,5213,9171,519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rPr>
          <w:sz w:val="7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rPr>
          <w:sz w:val="4"/>
        </w:rPr>
      </w:pPr>
    </w:p>
    <w:p>
      <w:pPr>
        <w:tabs>
          <w:tab w:pos="5492" w:val="left" w:leader="none"/>
        </w:tabs>
        <w:spacing w:line="112" w:lineRule="exact"/>
        <w:ind w:left="2098" w:right="0" w:firstLine="0"/>
        <w:rPr>
          <w:sz w:val="11"/>
        </w:rPr>
      </w:pPr>
      <w:r>
        <w:rPr>
          <w:position w:val="-1"/>
          <w:sz w:val="11"/>
        </w:rPr>
        <w:drawing>
          <wp:inline distT="0" distB="0" distL="0" distR="0">
            <wp:extent cx="482176" cy="71437"/>
            <wp:effectExtent l="0" t="0" r="0" b="0"/>
            <wp:docPr id="3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8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7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1"/>
        </w:rPr>
      </w:r>
      <w:r>
        <w:rPr>
          <w:position w:val="-1"/>
          <w:sz w:val="11"/>
        </w:rPr>
        <w:tab/>
      </w:r>
      <w:r>
        <w:rPr>
          <w:position w:val="-1"/>
          <w:sz w:val="11"/>
        </w:rPr>
        <w:drawing>
          <wp:inline distT="0" distB="0" distL="0" distR="0">
            <wp:extent cx="437776" cy="71437"/>
            <wp:effectExtent l="0" t="0" r="0" b="0"/>
            <wp:docPr id="3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9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76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1"/>
        </w:rPr>
      </w:r>
    </w:p>
    <w:p>
      <w:pPr>
        <w:pStyle w:val="BodyText"/>
        <w:spacing w:before="1"/>
        <w:rPr>
          <w:sz w:val="23"/>
        </w:rPr>
      </w:pPr>
    </w:p>
    <w:p>
      <w:pPr>
        <w:pStyle w:val="Heading1"/>
        <w:spacing w:before="0"/>
        <w:ind w:left="305" w:right="690"/>
        <w:jc w:val="center"/>
      </w:pPr>
      <w:r>
        <w:rPr/>
        <w:t>Figure</w:t>
      </w:r>
      <w:r>
        <w:rPr>
          <w:spacing w:val="-3"/>
        </w:rPr>
        <w:t> </w:t>
      </w:r>
      <w:r>
        <w:rPr/>
        <w:t>3.1:Design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methoxy</w:t>
      </w:r>
      <w:r>
        <w:rPr>
          <w:spacing w:val="-2"/>
        </w:rPr>
        <w:t> </w:t>
      </w:r>
      <w:r>
        <w:rPr/>
        <w:t>substituted</w:t>
      </w:r>
      <w:r>
        <w:rPr>
          <w:spacing w:val="-3"/>
        </w:rPr>
        <w:t> </w:t>
      </w:r>
      <w:r>
        <w:rPr/>
        <w:t>chalcones</w:t>
      </w:r>
    </w:p>
    <w:p>
      <w:pPr>
        <w:spacing w:after="0"/>
        <w:jc w:val="center"/>
        <w:sectPr>
          <w:headerReference w:type="default" r:id="rId189"/>
          <w:footerReference w:type="default" r:id="rId190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1152"/>
        <w:rPr>
          <w:sz w:val="20"/>
        </w:rPr>
      </w:pPr>
      <w:r>
        <w:rPr>
          <w:sz w:val="20"/>
        </w:rPr>
        <w:pict>
          <v:group style="width:320.8pt;height:140.3pt;mso-position-horizontal-relative:char;mso-position-vertical-relative:line" coordorigin="0,0" coordsize="6416,2806">
            <v:shape style="position:absolute;left:0;top:0;width:6387;height:2806" type="#_x0000_t75" stroked="false">
              <v:imagedata r:id="rId202" o:title=""/>
            </v:shape>
            <v:shape style="position:absolute;left:1131;top:145;width:105;height:111" type="#_x0000_t75" stroked="false">
              <v:imagedata r:id="rId203" o:title=""/>
            </v:shape>
            <v:rect style="position:absolute;left:6402;top:881;width:14;height:107" filled="true" fillcolor="#000000" stroked="false">
              <v:fill type="solid"/>
            </v:rect>
            <v:shape style="position:absolute;left:3975;top:1816;width:309;height:165" type="#_x0000_t75" stroked="false">
              <v:imagedata r:id="rId204" o:title=""/>
            </v:shape>
            <v:shape style="position:absolute;left:4388;top:1813;width:1997;height:162" type="#_x0000_t75" stroked="false">
              <v:imagedata r:id="rId205" o:title=""/>
            </v:shape>
            <v:shape style="position:absolute;left:5304;top:1400;width:1039;height:165" type="#_x0000_t75" stroked="false">
              <v:imagedata r:id="rId206" o:title="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12"/>
        </w:rPr>
      </w:pPr>
      <w:r>
        <w:rPr/>
        <w:pict>
          <v:group style="position:absolute;margin-left:191.800003pt;margin-top:8.880pt;width:162.050pt;height:59.35pt;mso-position-horizontal-relative:page;mso-position-vertical-relative:paragraph;z-index:-15710208;mso-wrap-distance-left:0;mso-wrap-distance-right:0" coordorigin="3836,178" coordsize="3241,1187">
            <v:shape style="position:absolute;left:3836;top:311;width:3241;height:925" type="#_x0000_t75" stroked="false">
              <v:imagedata r:id="rId207" o:title=""/>
            </v:shape>
            <v:shape style="position:absolute;left:5047;top:177;width:103;height:109" type="#_x0000_t75" stroked="false">
              <v:imagedata r:id="rId208" o:title=""/>
            </v:shape>
            <v:shape style="position:absolute;left:4583;top:1258;width:97;height:106" coordorigin="4583,1259" coordsize="97,106" path="m4642,1259l4583,1259,4583,1365,4598,1365,4598,1318,4643,1318,4640,1317,4651,1315,4659,1312,4665,1306,4598,1306,4598,1270,4666,1270,4664,1267,4659,1263,4649,1260,4642,1259xm4643,1318l4623,1318,4627,1320,4630,1321,4634,1325,4640,1332,4643,1337,4662,1365,4680,1365,4661,1336,4653,1326,4647,1320,4644,1319,4643,1318xm4666,1270l4641,1270,4647,1272,4654,1279,4656,1283,4656,1291,4655,1294,4651,1300,4649,1302,4641,1305,4636,1306,4665,1306,4669,1302,4671,1295,4671,1282,4670,1277,4667,1272,4666,127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2594610</wp:posOffset>
            </wp:positionH>
            <wp:positionV relativeFrom="paragraph">
              <wp:posOffset>1010666</wp:posOffset>
            </wp:positionV>
            <wp:extent cx="2080794" cy="106870"/>
            <wp:effectExtent l="0" t="0" r="0" b="0"/>
            <wp:wrapTopAndBottom/>
            <wp:docPr id="41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7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794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13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spacing w:before="90"/>
        <w:ind w:left="310" w:right="699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3.2: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Hybrid design 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quinolinyl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chalcones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1" w:after="0"/>
        <w:ind w:left="1033" w:right="0" w:hanging="721"/>
        <w:jc w:val="both"/>
      </w:pPr>
      <w:bookmarkStart w:name="_TOC_250051" w:id="42"/>
      <w:r>
        <w:rPr/>
        <w:t>Evaluation of</w:t>
      </w:r>
      <w:r>
        <w:rPr>
          <w:spacing w:val="-4"/>
        </w:rPr>
        <w:t> </w:t>
      </w:r>
      <w:r>
        <w:rPr/>
        <w:t>theoretical</w:t>
      </w:r>
      <w:r>
        <w:rPr>
          <w:spacing w:val="-6"/>
        </w:rPr>
        <w:t> </w:t>
      </w:r>
      <w:r>
        <w:rPr/>
        <w:t>oral</w:t>
      </w:r>
      <w:r>
        <w:rPr>
          <w:spacing w:val="-5"/>
        </w:rPr>
        <w:t> </w:t>
      </w:r>
      <w:bookmarkEnd w:id="42"/>
      <w:r>
        <w:rPr/>
        <w:t>bioavailability</w:t>
      </w:r>
    </w:p>
    <w:p>
      <w:pPr>
        <w:pStyle w:val="BodyText"/>
        <w:spacing w:line="480" w:lineRule="auto" w:before="194"/>
        <w:ind w:left="312" w:right="688"/>
        <w:jc w:val="both"/>
      </w:pPr>
      <w:r>
        <w:rPr/>
        <w:t>The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bioavailability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predicted</w:t>
      </w:r>
      <w:r>
        <w:rPr>
          <w:spacing w:val="1"/>
        </w:rPr>
        <w:t> </w:t>
      </w:r>
      <w:r>
        <w:rPr/>
        <w:t>theoretically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Lipinski</w:t>
      </w:r>
      <w:r>
        <w:rPr>
          <w:spacing w:val="1"/>
        </w:rPr>
        <w:t> </w:t>
      </w:r>
      <w:r>
        <w:rPr/>
        <w:t>‗s</w:t>
      </w:r>
      <w:r>
        <w:rPr>
          <w:spacing w:val="1"/>
        </w:rPr>
        <w:t> </w:t>
      </w:r>
      <w:r>
        <w:rPr/>
        <w:t>rule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five,</w:t>
      </w:r>
      <w:r>
        <w:rPr>
          <w:spacing w:val="1"/>
        </w:rPr>
        <w:t> </w:t>
      </w:r>
      <w:r>
        <w:rPr/>
        <w:t>prior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SWISS</w:t>
      </w:r>
      <w:r>
        <w:rPr>
          <w:spacing w:val="1"/>
        </w:rPr>
        <w:t> </w:t>
      </w:r>
      <w:r>
        <w:rPr/>
        <w:t>ADME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(http://www.swissadme.ch).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3" w:after="0"/>
        <w:ind w:left="1033" w:right="0" w:hanging="721"/>
        <w:jc w:val="both"/>
      </w:pPr>
      <w:bookmarkStart w:name="_TOC_250050" w:id="43"/>
      <w:r>
        <w:rPr/>
        <w:t>Synthesis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chalcones</w:t>
      </w:r>
      <w:r>
        <w:rPr>
          <w:spacing w:val="-4"/>
        </w:rPr>
        <w:t> </w:t>
      </w:r>
      <w:r>
        <w:rPr/>
        <w:t>(Claisen</w:t>
      </w:r>
      <w:r>
        <w:rPr>
          <w:spacing w:val="3"/>
        </w:rPr>
        <w:t> </w:t>
      </w:r>
      <w:r>
        <w:rPr/>
        <w:t>–Schmidt</w:t>
      </w:r>
      <w:r>
        <w:rPr>
          <w:spacing w:val="-1"/>
        </w:rPr>
        <w:t> </w:t>
      </w:r>
      <w:bookmarkEnd w:id="43"/>
      <w:r>
        <w:rPr/>
        <w:t>Condensation)</w:t>
      </w:r>
    </w:p>
    <w:p>
      <w:pPr>
        <w:pStyle w:val="BodyText"/>
        <w:spacing w:line="480" w:lineRule="auto" w:before="199"/>
        <w:ind w:left="312" w:right="685"/>
        <w:jc w:val="both"/>
      </w:pP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via</w:t>
      </w:r>
      <w:r>
        <w:rPr>
          <w:spacing w:val="1"/>
        </w:rPr>
        <w:t> </w:t>
      </w:r>
      <w:r>
        <w:rPr/>
        <w:t>base</w:t>
      </w:r>
      <w:r>
        <w:rPr>
          <w:spacing w:val="1"/>
        </w:rPr>
        <w:t> </w:t>
      </w:r>
      <w:r>
        <w:rPr/>
        <w:t>catalyzed</w:t>
      </w:r>
      <w:r>
        <w:rPr>
          <w:spacing w:val="1"/>
        </w:rPr>
        <w:t> </w:t>
      </w:r>
      <w:r>
        <w:rPr/>
        <w:t>condensation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respective</w:t>
      </w:r>
      <w:r>
        <w:rPr>
          <w:spacing w:val="1"/>
        </w:rPr>
        <w:t> </w:t>
      </w:r>
      <w:r>
        <w:rPr/>
        <w:t>equimolar amounts of substituted acetophenoneand substituted benzaldehyde using NaOH</w:t>
      </w:r>
      <w:r>
        <w:rPr>
          <w:spacing w:val="1"/>
        </w:rPr>
        <w:t> </w:t>
      </w:r>
      <w:r>
        <w:rPr/>
        <w:t>as catalyst. The chemical equations for the synthesis are as shown in Figure 3.3. Silica gel</w:t>
      </w:r>
      <w:r>
        <w:rPr>
          <w:spacing w:val="1"/>
        </w:rPr>
        <w:t> </w:t>
      </w:r>
      <w:r>
        <w:rPr/>
        <w:t>thin layer chromatography (TLC) was used to monitor the progress of the reaction with</w:t>
      </w:r>
      <w:r>
        <w:rPr>
          <w:spacing w:val="1"/>
        </w:rPr>
        <w:t> </w:t>
      </w:r>
      <w:r>
        <w:rPr/>
        <w:t>ethylacetate: n-hexane (7:3) as developing solvent (Kumar </w:t>
      </w:r>
      <w:r>
        <w:rPr>
          <w:i/>
        </w:rPr>
        <w:t>et al., </w:t>
      </w:r>
      <w:r>
        <w:rPr/>
        <w:t>2010). Appearance of a</w:t>
      </w:r>
      <w:r>
        <w:rPr>
          <w:spacing w:val="1"/>
        </w:rPr>
        <w:t> </w:t>
      </w:r>
      <w:r>
        <w:rPr/>
        <w:t>single new spot and disappearance of the reactants spot indicate the formation of the</w:t>
      </w:r>
      <w:r>
        <w:rPr>
          <w:spacing w:val="1"/>
        </w:rPr>
        <w:t> </w:t>
      </w:r>
      <w:r>
        <w:rPr/>
        <w:t>product,</w:t>
      </w:r>
      <w:r>
        <w:rPr>
          <w:spacing w:val="1"/>
        </w:rPr>
        <w:t> </w:t>
      </w:r>
      <w:r>
        <w:rPr/>
        <w:t>which</w:t>
      </w:r>
      <w:r>
        <w:rPr>
          <w:spacing w:val="-5"/>
        </w:rPr>
        <w:t> </w:t>
      </w:r>
      <w:r>
        <w:rPr/>
        <w:t>were</w:t>
      </w:r>
      <w:r>
        <w:rPr>
          <w:spacing w:val="-1"/>
        </w:rPr>
        <w:t> </w:t>
      </w:r>
      <w:r>
        <w:rPr/>
        <w:t>visualized under</w:t>
      </w:r>
      <w:r>
        <w:rPr>
          <w:spacing w:val="1"/>
        </w:rPr>
        <w:t> </w:t>
      </w:r>
      <w:r>
        <w:rPr/>
        <w:t>254nm</w:t>
      </w:r>
      <w:r>
        <w:rPr>
          <w:spacing w:val="-5"/>
        </w:rPr>
        <w:t> </w:t>
      </w:r>
      <w:r>
        <w:rPr/>
        <w:t>ultra</w:t>
      </w:r>
      <w:r>
        <w:rPr>
          <w:spacing w:val="-1"/>
        </w:rPr>
        <w:t> </w:t>
      </w:r>
      <w:r>
        <w:rPr/>
        <w:t>violet</w:t>
      </w:r>
      <w:r>
        <w:rPr>
          <w:spacing w:val="5"/>
        </w:rPr>
        <w:t> </w:t>
      </w:r>
      <w:r>
        <w:rPr/>
        <w:t>light</w:t>
      </w:r>
      <w:r>
        <w:rPr>
          <w:spacing w:val="5"/>
        </w:rPr>
        <w:t> </w:t>
      </w:r>
      <w:r>
        <w:rPr/>
        <w:t>and</w:t>
      </w:r>
      <w:r>
        <w:rPr>
          <w:spacing w:val="3"/>
        </w:rPr>
        <w:t> </w:t>
      </w:r>
      <w:r>
        <w:rPr/>
        <w:t>iodine</w:t>
      </w:r>
      <w:r>
        <w:rPr>
          <w:spacing w:val="4"/>
        </w:rPr>
        <w:t> </w:t>
      </w:r>
      <w:r>
        <w:rPr/>
        <w:t>vapor.</w:t>
      </w:r>
    </w:p>
    <w:p>
      <w:pPr>
        <w:spacing w:after="0" w:line="480" w:lineRule="auto"/>
        <w:jc w:val="both"/>
        <w:sectPr>
          <w:headerReference w:type="default" r:id="rId200"/>
          <w:footerReference w:type="default" r:id="rId201"/>
          <w:pgSz w:w="11910" w:h="16840"/>
          <w:pgMar w:header="0" w:footer="878" w:top="1340" w:bottom="1060" w:left="1560" w:right="600"/>
        </w:sectPr>
      </w:pPr>
    </w:p>
    <w:p>
      <w:pPr>
        <w:pStyle w:val="BodyText"/>
        <w:ind w:left="1004"/>
        <w:rPr>
          <w:sz w:val="20"/>
        </w:rPr>
      </w:pPr>
      <w:r>
        <w:rPr>
          <w:sz w:val="20"/>
        </w:rPr>
        <w:drawing>
          <wp:inline distT="0" distB="0" distL="0" distR="0">
            <wp:extent cx="4680185" cy="1248727"/>
            <wp:effectExtent l="0" t="0" r="0" b="0"/>
            <wp:docPr id="43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6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0185" cy="124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0"/>
        </w:rPr>
      </w:pPr>
    </w:p>
    <w:p>
      <w:pPr>
        <w:pStyle w:val="Heading1"/>
        <w:spacing w:before="90"/>
        <w:ind w:left="305" w:right="696"/>
        <w:jc w:val="center"/>
      </w:pPr>
      <w:r>
        <w:rPr/>
        <w:t>Figure</w:t>
      </w:r>
      <w:r>
        <w:rPr>
          <w:spacing w:val="-3"/>
        </w:rPr>
        <w:t> </w:t>
      </w:r>
      <w:r>
        <w:rPr/>
        <w:t>3.3: Scheme</w:t>
      </w:r>
      <w:r>
        <w:rPr>
          <w:spacing w:val="-3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synthesis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substituted</w:t>
      </w:r>
      <w:r>
        <w:rPr>
          <w:spacing w:val="-1"/>
        </w:rPr>
        <w:t> </w:t>
      </w:r>
      <w:r>
        <w:rPr/>
        <w:t>chalcones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7"/>
        </w:rPr>
      </w:pP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0" w:after="0"/>
        <w:ind w:left="1033" w:right="0" w:hanging="721"/>
        <w:jc w:val="both"/>
      </w:pPr>
      <w:bookmarkStart w:name="_TOC_250049" w:id="44"/>
      <w:r>
        <w:rPr/>
        <w:t>Procedure</w:t>
      </w:r>
      <w:r>
        <w:rPr>
          <w:spacing w:val="-3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3"/>
        </w:rPr>
        <w:t> </w:t>
      </w:r>
      <w:r>
        <w:rPr/>
        <w:t>synthesis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substituted</w:t>
      </w:r>
      <w:r>
        <w:rPr>
          <w:spacing w:val="3"/>
        </w:rPr>
        <w:t> </w:t>
      </w:r>
      <w:bookmarkEnd w:id="44"/>
      <w:r>
        <w:rPr/>
        <w:t>chalcones</w:t>
      </w:r>
    </w:p>
    <w:p>
      <w:pPr>
        <w:pStyle w:val="BodyText"/>
        <w:spacing w:line="480" w:lineRule="auto" w:before="195"/>
        <w:ind w:left="312" w:right="687"/>
        <w:jc w:val="both"/>
      </w:pPr>
      <w:r>
        <w:rPr/>
        <w:t>Equimolar</w:t>
      </w:r>
      <w:r>
        <w:rPr>
          <w:spacing w:val="1"/>
        </w:rPr>
        <w:t> </w:t>
      </w:r>
      <w:r>
        <w:rPr/>
        <w:t>amounts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acetophenone</w:t>
      </w:r>
      <w:r>
        <w:rPr>
          <w:spacing w:val="1"/>
        </w:rPr>
        <w:t> </w:t>
      </w:r>
      <w:r>
        <w:rPr/>
        <w:t>(0.01</w:t>
      </w:r>
      <w:r>
        <w:rPr>
          <w:spacing w:val="1"/>
        </w:rPr>
        <w:t> </w:t>
      </w:r>
      <w:r>
        <w:rPr/>
        <w:t>moles)</w:t>
      </w:r>
      <w:r>
        <w:rPr>
          <w:spacing w:val="1"/>
        </w:rPr>
        <w:t> </w:t>
      </w:r>
      <w:r>
        <w:rPr/>
        <w:t>and</w:t>
      </w:r>
      <w:r>
        <w:rPr>
          <w:spacing w:val="61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benzaldehyde (0.01 moles) (Table 3.1) were mixed with 20ml ethanol in round bottom</w:t>
      </w:r>
      <w:r>
        <w:rPr>
          <w:spacing w:val="1"/>
        </w:rPr>
        <w:t> </w:t>
      </w:r>
      <w:r>
        <w:rPr/>
        <w:t>flask.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10ml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40%</w:t>
      </w:r>
      <w:r>
        <w:rPr>
          <w:spacing w:val="1"/>
        </w:rPr>
        <w:t> </w:t>
      </w:r>
      <w:r>
        <w:rPr/>
        <w:t>sodium</w:t>
      </w:r>
      <w:r>
        <w:rPr>
          <w:spacing w:val="1"/>
        </w:rPr>
        <w:t> </w:t>
      </w:r>
      <w:r>
        <w:rPr/>
        <w:t>hydroxide</w:t>
      </w:r>
      <w:r>
        <w:rPr>
          <w:spacing w:val="1"/>
        </w:rPr>
        <w:t> </w:t>
      </w:r>
      <w:r>
        <w:rPr/>
        <w:t>solution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added</w:t>
      </w:r>
      <w:r>
        <w:rPr>
          <w:spacing w:val="1"/>
        </w:rPr>
        <w:t> </w:t>
      </w:r>
      <w:r>
        <w:rPr/>
        <w:t>drop</w:t>
      </w:r>
      <w:r>
        <w:rPr>
          <w:spacing w:val="1"/>
        </w:rPr>
        <w:t> </w:t>
      </w:r>
      <w:r>
        <w:rPr/>
        <w:t>wise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continuous stirring for 30 mins while, keeping the mixture cold. The mixing was then</w:t>
      </w:r>
      <w:r>
        <w:rPr>
          <w:spacing w:val="1"/>
        </w:rPr>
        <w:t> </w:t>
      </w:r>
      <w:r>
        <w:rPr/>
        <w:t>continued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hrs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room temperature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magnetic</w:t>
      </w:r>
      <w:r>
        <w:rPr>
          <w:spacing w:val="1"/>
        </w:rPr>
        <w:t> </w:t>
      </w:r>
      <w:r>
        <w:rPr/>
        <w:t>stirrer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kept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refrigerator overnight until it formed an orange solid mass. Drops of 10% HCl were added</w:t>
      </w:r>
      <w:r>
        <w:rPr>
          <w:spacing w:val="1"/>
        </w:rPr>
        <w:t> </w:t>
      </w:r>
      <w:r>
        <w:rPr/>
        <w:t>to stop the reaction. The mixture was diluted using 40ml ice-cold distilled water and then</w:t>
      </w:r>
      <w:r>
        <w:rPr>
          <w:spacing w:val="1"/>
        </w:rPr>
        <w:t> </w:t>
      </w:r>
      <w:r>
        <w:rPr/>
        <w:t>filtered; the residue was washed well with more ice-cold distilled water, and dried in air.</w:t>
      </w:r>
      <w:r>
        <w:rPr>
          <w:spacing w:val="1"/>
        </w:rPr>
        <w:t> </w:t>
      </w:r>
      <w:r>
        <w:rPr/>
        <w:t>The product was re-crystallized with ethanol, dried, final weight taken and the percentage</w:t>
      </w:r>
      <w:r>
        <w:rPr>
          <w:spacing w:val="1"/>
        </w:rPr>
        <w:t> </w:t>
      </w:r>
      <w:r>
        <w:rPr/>
        <w:t>yield was calculated. P3 and P8 werehowever purified using anti-solvent recrystallization.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final</w:t>
      </w:r>
      <w:r>
        <w:rPr>
          <w:spacing w:val="-9"/>
        </w:rPr>
        <w:t> </w:t>
      </w:r>
      <w:r>
        <w:rPr/>
        <w:t>products</w:t>
      </w:r>
      <w:r>
        <w:rPr>
          <w:spacing w:val="-1"/>
        </w:rPr>
        <w:t> </w:t>
      </w:r>
      <w:r>
        <w:rPr/>
        <w:t>have</w:t>
      </w:r>
      <w:r>
        <w:rPr>
          <w:spacing w:val="4"/>
        </w:rPr>
        <w:t> </w:t>
      </w:r>
      <w:r>
        <w:rPr/>
        <w:t>various</w:t>
      </w:r>
      <w:r>
        <w:rPr>
          <w:spacing w:val="-1"/>
        </w:rPr>
        <w:t> </w:t>
      </w:r>
      <w:r>
        <w:rPr/>
        <w:t>color</w:t>
      </w:r>
      <w:r>
        <w:rPr>
          <w:spacing w:val="4"/>
        </w:rPr>
        <w:t> </w:t>
      </w:r>
      <w:r>
        <w:rPr/>
        <w:t>and forms</w:t>
      </w:r>
      <w:r>
        <w:rPr>
          <w:spacing w:val="-1"/>
        </w:rPr>
        <w:t> </w:t>
      </w:r>
      <w:r>
        <w:rPr/>
        <w:t>and</w:t>
      </w:r>
      <w:r>
        <w:rPr>
          <w:spacing w:val="-5"/>
        </w:rPr>
        <w:t> </w:t>
      </w:r>
      <w:r>
        <w:rPr/>
        <w:t>they</w:t>
      </w:r>
      <w:r>
        <w:rPr>
          <w:spacing w:val="-9"/>
        </w:rPr>
        <w:t> </w:t>
      </w:r>
      <w:r>
        <w:rPr/>
        <w:t>were</w:t>
      </w:r>
      <w:r>
        <w:rPr>
          <w:spacing w:val="-1"/>
        </w:rPr>
        <w:t> </w:t>
      </w:r>
      <w:r>
        <w:rPr/>
        <w:t>confirmed using</w:t>
      </w:r>
      <w:r>
        <w:rPr>
          <w:spacing w:val="1"/>
        </w:rPr>
        <w:t> </w:t>
      </w:r>
      <w:r>
        <w:rPr/>
        <w:t>TLC.</w:t>
      </w:r>
    </w:p>
    <w:p>
      <w:pPr>
        <w:spacing w:after="0" w:line="480" w:lineRule="auto"/>
        <w:jc w:val="both"/>
        <w:sectPr>
          <w:headerReference w:type="default" r:id="rId210"/>
          <w:footerReference w:type="default" r:id="rId211"/>
          <w:pgSz w:w="11910" w:h="16840"/>
          <w:pgMar w:header="0" w:footer="878" w:top="1300" w:bottom="106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Heading1"/>
        <w:spacing w:before="90"/>
      </w:pPr>
      <w:r>
        <w:rPr/>
        <w:t>Table</w:t>
      </w:r>
      <w:r>
        <w:rPr>
          <w:spacing w:val="-2"/>
        </w:rPr>
        <w:t> </w:t>
      </w:r>
      <w:r>
        <w:rPr/>
        <w:t>3.1: Reagents</w:t>
      </w:r>
      <w:r>
        <w:rPr>
          <w:spacing w:val="-3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2"/>
        </w:rPr>
        <w:t> </w:t>
      </w:r>
      <w:r>
        <w:rPr/>
        <w:t>synthesis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substituted</w:t>
      </w:r>
      <w:r>
        <w:rPr>
          <w:spacing w:val="-5"/>
        </w:rPr>
        <w:t> </w:t>
      </w:r>
      <w:r>
        <w:rPr/>
        <w:t>chalcones</w:t>
      </w:r>
    </w:p>
    <w:tbl>
      <w:tblPr>
        <w:tblW w:w="0" w:type="auto"/>
        <w:jc w:val="left"/>
        <w:tblInd w:w="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7"/>
        <w:gridCol w:w="3757"/>
        <w:gridCol w:w="3926"/>
      </w:tblGrid>
      <w:tr>
        <w:trPr>
          <w:trHeight w:val="278" w:hRule="atLeast"/>
        </w:trPr>
        <w:tc>
          <w:tcPr>
            <w:tcW w:w="127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Compound</w:t>
            </w:r>
          </w:p>
        </w:tc>
        <w:tc>
          <w:tcPr>
            <w:tcW w:w="375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11"/>
              <w:rPr>
                <w:sz w:val="24"/>
              </w:rPr>
            </w:pPr>
            <w:r>
              <w:rPr>
                <w:sz w:val="24"/>
              </w:rPr>
              <w:t>Substituted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aldehyde</w:t>
            </w:r>
          </w:p>
        </w:tc>
        <w:tc>
          <w:tcPr>
            <w:tcW w:w="39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315"/>
              <w:rPr>
                <w:sz w:val="24"/>
              </w:rPr>
            </w:pPr>
            <w:r>
              <w:rPr>
                <w:sz w:val="24"/>
              </w:rPr>
              <w:t>Substituted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403" w:hRule="atLeast"/>
        </w:trPr>
        <w:tc>
          <w:tcPr>
            <w:tcW w:w="12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375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111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315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549" w:hRule="atLeast"/>
        </w:trPr>
        <w:tc>
          <w:tcPr>
            <w:tcW w:w="1277" w:type="dxa"/>
          </w:tcPr>
          <w:p>
            <w:pPr>
              <w:pStyle w:val="TableParagraph"/>
              <w:spacing w:before="130"/>
              <w:ind w:left="106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3757" w:type="dxa"/>
          </w:tcPr>
          <w:p>
            <w:pPr>
              <w:pStyle w:val="TableParagraph"/>
              <w:spacing w:before="130"/>
              <w:ind w:left="111"/>
              <w:rPr>
                <w:sz w:val="24"/>
              </w:rPr>
            </w:pPr>
            <w:r>
              <w:rPr>
                <w:sz w:val="24"/>
              </w:rPr>
              <w:t>2, 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0"/>
              <w:ind w:left="315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687" w:hRule="atLeast"/>
        </w:trPr>
        <w:tc>
          <w:tcPr>
            <w:tcW w:w="1277" w:type="dxa"/>
          </w:tcPr>
          <w:p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3757" w:type="dxa"/>
          </w:tcPr>
          <w:p>
            <w:pPr>
              <w:pStyle w:val="TableParagraph"/>
              <w:spacing w:line="270" w:lineRule="exact" w:before="127"/>
              <w:ind w:left="111"/>
              <w:rPr>
                <w:sz w:val="24"/>
              </w:rPr>
            </w:pPr>
            <w:r>
              <w:rPr>
                <w:spacing w:val="-1"/>
                <w:sz w:val="24"/>
              </w:rPr>
              <w:t>2-chloro-6-methoxy-3-quinoline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carbaldehyde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3"/>
              <w:ind w:left="315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417" w:hRule="atLeast"/>
        </w:trPr>
        <w:tc>
          <w:tcPr>
            <w:tcW w:w="1277" w:type="dxa"/>
          </w:tcPr>
          <w:p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3757" w:type="dxa"/>
          </w:tcPr>
          <w:p>
            <w:pPr>
              <w:pStyle w:val="TableParagraph"/>
              <w:spacing w:line="274" w:lineRule="exact"/>
              <w:ind w:left="111"/>
              <w:rPr>
                <w:sz w:val="24"/>
              </w:rPr>
            </w:pPr>
            <w:r>
              <w:rPr>
                <w:sz w:val="24"/>
              </w:rPr>
              <w:t>2-chloro-3-quinoline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carbaldehyde</w:t>
            </w:r>
          </w:p>
        </w:tc>
        <w:tc>
          <w:tcPr>
            <w:tcW w:w="3926" w:type="dxa"/>
          </w:tcPr>
          <w:p>
            <w:pPr>
              <w:pStyle w:val="TableParagraph"/>
              <w:spacing w:line="274" w:lineRule="exact"/>
              <w:ind w:left="315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686" w:hRule="atLeast"/>
        </w:trPr>
        <w:tc>
          <w:tcPr>
            <w:tcW w:w="1277" w:type="dxa"/>
          </w:tcPr>
          <w:p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3757" w:type="dxa"/>
          </w:tcPr>
          <w:p>
            <w:pPr>
              <w:pStyle w:val="TableParagraph"/>
              <w:spacing w:line="268" w:lineRule="exact" w:before="130"/>
              <w:ind w:left="111"/>
              <w:rPr>
                <w:sz w:val="24"/>
              </w:rPr>
            </w:pPr>
            <w:r>
              <w:rPr>
                <w:spacing w:val="-1"/>
                <w:sz w:val="24"/>
              </w:rPr>
              <w:t>2-chloro-6-methoxy-3-quinoline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carbaldehyde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3"/>
              <w:ind w:left="315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417" w:hRule="atLeast"/>
        </w:trPr>
        <w:tc>
          <w:tcPr>
            <w:tcW w:w="1277" w:type="dxa"/>
          </w:tcPr>
          <w:p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3757" w:type="dxa"/>
          </w:tcPr>
          <w:p>
            <w:pPr>
              <w:pStyle w:val="TableParagraph"/>
              <w:spacing w:line="274" w:lineRule="exact"/>
              <w:ind w:left="111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</w:tcPr>
          <w:p>
            <w:pPr>
              <w:pStyle w:val="TableParagraph"/>
              <w:spacing w:line="274" w:lineRule="exact"/>
              <w:ind w:left="315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4-dichloro acetophenone</w:t>
            </w:r>
          </w:p>
        </w:tc>
      </w:tr>
      <w:tr>
        <w:trPr>
          <w:trHeight w:val="552" w:hRule="atLeast"/>
        </w:trPr>
        <w:tc>
          <w:tcPr>
            <w:tcW w:w="1277" w:type="dxa"/>
          </w:tcPr>
          <w:p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3757" w:type="dxa"/>
          </w:tcPr>
          <w:p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2, 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3"/>
              <w:ind w:left="315"/>
              <w:rPr>
                <w:sz w:val="24"/>
              </w:rPr>
            </w:pPr>
            <w:r>
              <w:rPr>
                <w:sz w:val="24"/>
              </w:rPr>
              <w:t>Acetophenone</w:t>
            </w:r>
          </w:p>
        </w:tc>
      </w:tr>
      <w:tr>
        <w:trPr>
          <w:trHeight w:val="551" w:hRule="atLeast"/>
        </w:trPr>
        <w:tc>
          <w:tcPr>
            <w:tcW w:w="1277" w:type="dxa"/>
          </w:tcPr>
          <w:p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3757" w:type="dxa"/>
          </w:tcPr>
          <w:p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3"/>
              <w:ind w:left="315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4-dichloro acetophenone</w:t>
            </w:r>
          </w:p>
        </w:tc>
      </w:tr>
      <w:tr>
        <w:trPr>
          <w:trHeight w:val="552" w:hRule="atLeast"/>
        </w:trPr>
        <w:tc>
          <w:tcPr>
            <w:tcW w:w="1277" w:type="dxa"/>
          </w:tcPr>
          <w:p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3757" w:type="dxa"/>
          </w:tcPr>
          <w:p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4-methoxy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3"/>
              <w:ind w:left="315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552" w:hRule="atLeast"/>
        </w:trPr>
        <w:tc>
          <w:tcPr>
            <w:tcW w:w="1277" w:type="dxa"/>
          </w:tcPr>
          <w:p>
            <w:pPr>
              <w:pStyle w:val="TableParagraph"/>
              <w:spacing w:before="133"/>
              <w:ind w:left="106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3757" w:type="dxa"/>
          </w:tcPr>
          <w:p>
            <w:pPr>
              <w:pStyle w:val="TableParagraph"/>
              <w:spacing w:before="133"/>
              <w:ind w:left="111"/>
              <w:rPr>
                <w:sz w:val="24"/>
              </w:rPr>
            </w:pPr>
            <w:r>
              <w:rPr>
                <w:sz w:val="24"/>
              </w:rPr>
              <w:t>4-methoxy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</w:tcPr>
          <w:p>
            <w:pPr>
              <w:pStyle w:val="TableParagraph"/>
              <w:spacing w:before="133"/>
              <w:ind w:left="315"/>
              <w:rPr>
                <w:sz w:val="24"/>
              </w:rPr>
            </w:pPr>
            <w:r>
              <w:rPr>
                <w:sz w:val="24"/>
              </w:rPr>
              <w:t>Acetophenone</w:t>
            </w:r>
          </w:p>
        </w:tc>
      </w:tr>
      <w:tr>
        <w:trPr>
          <w:trHeight w:val="408" w:hRule="atLeast"/>
        </w:trPr>
        <w:tc>
          <w:tcPr>
            <w:tcW w:w="1277" w:type="dxa"/>
          </w:tcPr>
          <w:p>
            <w:pPr>
              <w:pStyle w:val="TableParagraph"/>
              <w:spacing w:line="256" w:lineRule="exact" w:before="133"/>
              <w:ind w:left="106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3757" w:type="dxa"/>
          </w:tcPr>
          <w:p>
            <w:pPr>
              <w:pStyle w:val="TableParagraph"/>
              <w:spacing w:line="256" w:lineRule="exact" w:before="133"/>
              <w:ind w:left="111"/>
              <w:rPr>
                <w:sz w:val="24"/>
              </w:rPr>
            </w:pPr>
            <w:r>
              <w:rPr>
                <w:sz w:val="24"/>
              </w:rPr>
              <w:t>2, 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926" w:type="dxa"/>
          </w:tcPr>
          <w:p>
            <w:pPr>
              <w:pStyle w:val="TableParagraph"/>
              <w:spacing w:line="256" w:lineRule="exact" w:before="133"/>
              <w:ind w:left="315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</w:tbl>
    <w:p>
      <w:pPr>
        <w:spacing w:after="0" w:line="256" w:lineRule="exact"/>
        <w:rPr>
          <w:sz w:val="24"/>
        </w:rPr>
        <w:sectPr>
          <w:headerReference w:type="default" r:id="rId213"/>
          <w:footerReference w:type="default" r:id="rId214"/>
          <w:pgSz w:w="11910" w:h="16840"/>
          <w:pgMar w:header="0" w:footer="878" w:top="1580" w:bottom="1060" w:left="1560" w:right="600"/>
        </w:sectPr>
      </w:pPr>
    </w:p>
    <w:tbl>
      <w:tblPr>
        <w:tblW w:w="0" w:type="auto"/>
        <w:jc w:val="left"/>
        <w:tblInd w:w="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9"/>
        <w:gridCol w:w="3995"/>
        <w:gridCol w:w="3606"/>
      </w:tblGrid>
      <w:tr>
        <w:trPr>
          <w:trHeight w:val="408" w:hRule="atLeast"/>
        </w:trPr>
        <w:tc>
          <w:tcPr>
            <w:tcW w:w="949" w:type="dxa"/>
          </w:tcPr>
          <w:p>
            <w:pPr>
              <w:pStyle w:val="TableParagraph"/>
              <w:spacing w:line="266" w:lineRule="exact"/>
              <w:ind w:left="120"/>
              <w:rPr>
                <w:sz w:val="24"/>
              </w:rPr>
            </w:pPr>
            <w:r>
              <w:rPr>
                <w:sz w:val="24"/>
              </w:rPr>
              <w:t>P19</w:t>
            </w:r>
          </w:p>
        </w:tc>
        <w:tc>
          <w:tcPr>
            <w:tcW w:w="3995" w:type="dxa"/>
          </w:tcPr>
          <w:p>
            <w:pPr>
              <w:pStyle w:val="TableParagraph"/>
              <w:spacing w:line="266" w:lineRule="exact"/>
              <w:ind w:left="453"/>
              <w:rPr>
                <w:sz w:val="24"/>
              </w:rPr>
            </w:pPr>
            <w:r>
              <w:rPr>
                <w:sz w:val="24"/>
              </w:rPr>
              <w:t>Benzaldehyde</w:t>
            </w:r>
          </w:p>
        </w:tc>
        <w:tc>
          <w:tcPr>
            <w:tcW w:w="3606" w:type="dxa"/>
          </w:tcPr>
          <w:p>
            <w:pPr>
              <w:pStyle w:val="TableParagraph"/>
              <w:spacing w:line="266" w:lineRule="exact"/>
              <w:ind w:left="419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552" w:hRule="atLeast"/>
        </w:trPr>
        <w:tc>
          <w:tcPr>
            <w:tcW w:w="949" w:type="dxa"/>
          </w:tcPr>
          <w:p>
            <w:pPr>
              <w:pStyle w:val="TableParagraph"/>
              <w:spacing w:before="133"/>
              <w:ind w:left="120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3995" w:type="dxa"/>
          </w:tcPr>
          <w:p>
            <w:pPr>
              <w:pStyle w:val="TableParagraph"/>
              <w:spacing w:before="133"/>
              <w:ind w:left="453"/>
              <w:rPr>
                <w:sz w:val="24"/>
              </w:rPr>
            </w:pPr>
            <w:r>
              <w:rPr>
                <w:sz w:val="24"/>
              </w:rPr>
              <w:t>4-triflouro-methyl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606" w:type="dxa"/>
          </w:tcPr>
          <w:p>
            <w:pPr>
              <w:pStyle w:val="TableParagraph"/>
              <w:spacing w:before="133"/>
              <w:ind w:left="419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4-dimethoxy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552" w:hRule="atLeast"/>
        </w:trPr>
        <w:tc>
          <w:tcPr>
            <w:tcW w:w="949" w:type="dxa"/>
          </w:tcPr>
          <w:p>
            <w:pPr>
              <w:pStyle w:val="TableParagraph"/>
              <w:spacing w:before="133"/>
              <w:ind w:left="120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3995" w:type="dxa"/>
          </w:tcPr>
          <w:p>
            <w:pPr>
              <w:pStyle w:val="TableParagraph"/>
              <w:spacing w:before="133"/>
              <w:ind w:left="453"/>
              <w:rPr>
                <w:sz w:val="24"/>
              </w:rPr>
            </w:pPr>
            <w:r>
              <w:rPr>
                <w:sz w:val="24"/>
              </w:rPr>
              <w:t>4-triflouro-methyl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606" w:type="dxa"/>
          </w:tcPr>
          <w:p>
            <w:pPr>
              <w:pStyle w:val="TableParagraph"/>
              <w:spacing w:before="133"/>
              <w:ind w:left="419"/>
              <w:rPr>
                <w:sz w:val="24"/>
              </w:rPr>
            </w:pPr>
            <w:r>
              <w:rPr>
                <w:sz w:val="24"/>
              </w:rPr>
              <w:t>Acetophenone</w:t>
            </w:r>
          </w:p>
        </w:tc>
      </w:tr>
      <w:tr>
        <w:trPr>
          <w:trHeight w:val="551" w:hRule="atLeast"/>
        </w:trPr>
        <w:tc>
          <w:tcPr>
            <w:tcW w:w="949" w:type="dxa"/>
          </w:tcPr>
          <w:p>
            <w:pPr>
              <w:pStyle w:val="TableParagraph"/>
              <w:spacing w:before="133"/>
              <w:ind w:left="120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3995" w:type="dxa"/>
          </w:tcPr>
          <w:p>
            <w:pPr>
              <w:pStyle w:val="TableParagraph"/>
              <w:spacing w:before="133"/>
              <w:ind w:left="453"/>
              <w:rPr>
                <w:sz w:val="24"/>
              </w:rPr>
            </w:pPr>
            <w:r>
              <w:rPr>
                <w:sz w:val="24"/>
              </w:rPr>
              <w:t>4-methoxy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606" w:type="dxa"/>
          </w:tcPr>
          <w:p>
            <w:pPr>
              <w:pStyle w:val="TableParagraph"/>
              <w:spacing w:before="133"/>
              <w:ind w:left="419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552" w:hRule="atLeast"/>
        </w:trPr>
        <w:tc>
          <w:tcPr>
            <w:tcW w:w="949" w:type="dxa"/>
          </w:tcPr>
          <w:p>
            <w:pPr>
              <w:pStyle w:val="TableParagraph"/>
              <w:spacing w:before="133"/>
              <w:ind w:left="120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3995" w:type="dxa"/>
          </w:tcPr>
          <w:p>
            <w:pPr>
              <w:pStyle w:val="TableParagraph"/>
              <w:spacing w:before="133"/>
              <w:ind w:left="453"/>
              <w:rPr>
                <w:sz w:val="24"/>
              </w:rPr>
            </w:pPr>
            <w:r>
              <w:rPr>
                <w:sz w:val="24"/>
              </w:rPr>
              <w:t>Benzaldehyde</w:t>
            </w:r>
          </w:p>
        </w:tc>
        <w:tc>
          <w:tcPr>
            <w:tcW w:w="3606" w:type="dxa"/>
          </w:tcPr>
          <w:p>
            <w:pPr>
              <w:pStyle w:val="TableParagraph"/>
              <w:spacing w:before="133"/>
              <w:ind w:left="419"/>
              <w:rPr>
                <w:sz w:val="24"/>
              </w:rPr>
            </w:pPr>
            <w:r>
              <w:rPr>
                <w:sz w:val="24"/>
              </w:rPr>
              <w:t>2,3,4-trimethoxy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acetophenone</w:t>
            </w:r>
          </w:p>
        </w:tc>
      </w:tr>
      <w:tr>
        <w:trPr>
          <w:trHeight w:val="666" w:hRule="atLeast"/>
        </w:trPr>
        <w:tc>
          <w:tcPr>
            <w:tcW w:w="949" w:type="dxa"/>
          </w:tcPr>
          <w:p>
            <w:pPr>
              <w:pStyle w:val="TableParagraph"/>
              <w:spacing w:before="133"/>
              <w:ind w:left="120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3995" w:type="dxa"/>
          </w:tcPr>
          <w:p>
            <w:pPr>
              <w:pStyle w:val="TableParagraph"/>
              <w:spacing w:before="133"/>
              <w:ind w:left="453"/>
              <w:rPr>
                <w:sz w:val="24"/>
              </w:rPr>
            </w:pPr>
            <w:r>
              <w:rPr>
                <w:sz w:val="24"/>
              </w:rPr>
              <w:t>4-methoxy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Benzaldehyde</w:t>
            </w:r>
          </w:p>
        </w:tc>
        <w:tc>
          <w:tcPr>
            <w:tcW w:w="3606" w:type="dxa"/>
          </w:tcPr>
          <w:p>
            <w:pPr>
              <w:pStyle w:val="TableParagraph"/>
              <w:spacing w:before="133"/>
              <w:ind w:left="419"/>
              <w:rPr>
                <w:sz w:val="24"/>
              </w:rPr>
            </w:pPr>
            <w:r>
              <w:rPr>
                <w:sz w:val="24"/>
              </w:rPr>
              <w:t>2,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4-dichloro acetophenone</w:t>
            </w:r>
          </w:p>
        </w:tc>
      </w:tr>
    </w:tbl>
    <w:p>
      <w:pPr>
        <w:pStyle w:val="BodyText"/>
        <w:spacing w:line="20" w:lineRule="exact"/>
        <w:ind w:left="192"/>
        <w:rPr>
          <w:sz w:val="2"/>
        </w:rPr>
      </w:pPr>
      <w:r>
        <w:rPr/>
        <w:pict>
          <v:rect style="position:absolute;margin-left:346.940002pt;margin-top:227.829987pt;width:189.43pt;height:.48pt;mso-position-horizontal-relative:page;mso-position-vertical-relative:page;z-index:15748608" filled="true" fillcolor="#000000" stroked="false">
            <v:fill type="solid"/>
            <w10:wrap type="none"/>
          </v:rect>
        </w:pict>
      </w:r>
      <w:r>
        <w:rPr>
          <w:sz w:val="2"/>
        </w:rPr>
        <w:pict>
          <v:group style="width:259.3500pt;height:.5pt;mso-position-horizontal-relative:char;mso-position-vertical-relative:line" coordorigin="0,0" coordsize="5187,10">
            <v:shape style="position:absolute;left:0;top:0;width:5187;height:10" coordorigin="0,0" coordsize="5187,10" path="m5186,0l1297,0,1292,0,1283,0,0,0,0,10,1283,10,1292,10,1297,10,5186,10,5186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</w:rPr>
      </w:pPr>
    </w:p>
    <w:p>
      <w:pPr>
        <w:pStyle w:val="Heading1"/>
        <w:numPr>
          <w:ilvl w:val="2"/>
          <w:numId w:val="15"/>
        </w:numPr>
        <w:tabs>
          <w:tab w:pos="1032" w:val="left" w:leader="none"/>
          <w:tab w:pos="1033" w:val="left" w:leader="none"/>
        </w:tabs>
        <w:spacing w:line="240" w:lineRule="auto" w:before="90" w:after="0"/>
        <w:ind w:left="1033" w:right="0" w:hanging="721"/>
        <w:jc w:val="left"/>
      </w:pPr>
      <w:bookmarkStart w:name="_TOC_250048" w:id="45"/>
      <w:bookmarkEnd w:id="45"/>
      <w:r>
        <w:rPr/>
        <w:t>Characterization</w:t>
      </w:r>
    </w:p>
    <w:p>
      <w:pPr>
        <w:spacing w:before="199"/>
        <w:ind w:left="312" w:right="0" w:firstLine="0"/>
        <w:jc w:val="left"/>
        <w:rPr>
          <w:i/>
          <w:sz w:val="24"/>
        </w:rPr>
      </w:pPr>
      <w:r>
        <w:rPr>
          <w:i/>
          <w:sz w:val="24"/>
        </w:rPr>
        <w:t>3.2.2.1 Melting point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determination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1"/>
        <w:jc w:val="both"/>
      </w:pPr>
      <w:r>
        <w:rPr/>
        <w:t>All melting point were determined using a Gallenkamp melting point apparatus and were</w:t>
      </w:r>
      <w:r>
        <w:rPr>
          <w:spacing w:val="1"/>
        </w:rPr>
        <w:t> </w:t>
      </w:r>
      <w:r>
        <w:rPr/>
        <w:t>uncorrected.</w:t>
      </w:r>
    </w:p>
    <w:p>
      <w:pPr>
        <w:spacing w:before="202"/>
        <w:ind w:left="312" w:right="0" w:firstLine="0"/>
        <w:jc w:val="left"/>
        <w:rPr>
          <w:i/>
          <w:sz w:val="24"/>
        </w:rPr>
      </w:pPr>
      <w:r>
        <w:rPr>
          <w:i/>
          <w:sz w:val="24"/>
        </w:rPr>
        <w:t>3.2.5.2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Spectroscopic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analysis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3"/>
        <w:jc w:val="both"/>
      </w:pPr>
      <w:r>
        <w:rPr/>
        <w:t>Detailed structural analysis of the synthesized compounds was performed using Fourier</w:t>
      </w:r>
      <w:r>
        <w:rPr>
          <w:spacing w:val="1"/>
        </w:rPr>
        <w:t> </w:t>
      </w:r>
      <w:r>
        <w:rPr/>
        <w:t>Transformed</w:t>
      </w:r>
      <w:r>
        <w:rPr>
          <w:spacing w:val="1"/>
        </w:rPr>
        <w:t> </w:t>
      </w:r>
      <w:r>
        <w:rPr/>
        <w:t>Infrared</w:t>
      </w:r>
      <w:r>
        <w:rPr>
          <w:spacing w:val="1"/>
        </w:rPr>
        <w:t> </w:t>
      </w:r>
      <w:r>
        <w:rPr/>
        <w:t>Spectroscopy</w:t>
      </w:r>
      <w:r>
        <w:rPr>
          <w:spacing w:val="1"/>
        </w:rPr>
        <w:t> </w:t>
      </w:r>
      <w:r>
        <w:rPr/>
        <w:t>(FT-IR),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Spectrometry</w:t>
      </w:r>
      <w:r>
        <w:rPr>
          <w:spacing w:val="1"/>
        </w:rPr>
        <w:t> </w:t>
      </w:r>
      <w:r>
        <w:rPr/>
        <w:t>(MS)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Nuclear</w:t>
      </w:r>
      <w:r>
        <w:rPr>
          <w:spacing w:val="1"/>
        </w:rPr>
        <w:t> </w:t>
      </w:r>
      <w:r>
        <w:rPr/>
        <w:t>Magnetic Resonance (NMR) which include; proton (</w:t>
      </w:r>
      <w:r>
        <w:rPr>
          <w:vertAlign w:val="superscript"/>
        </w:rPr>
        <w:t>1</w:t>
      </w:r>
      <w:r>
        <w:rPr>
          <w:vertAlign w:val="baseline"/>
        </w:rPr>
        <w:t>H) NMR, carbon-13 (</w:t>
      </w:r>
      <w:r>
        <w:rPr>
          <w:vertAlign w:val="superscript"/>
        </w:rPr>
        <w:t>13</w:t>
      </w:r>
      <w:r>
        <w:rPr>
          <w:vertAlign w:val="baseline"/>
        </w:rPr>
        <w:t>C) NMR,</w:t>
      </w:r>
      <w:r>
        <w:rPr>
          <w:spacing w:val="1"/>
          <w:vertAlign w:val="baseline"/>
        </w:rPr>
        <w:t> </w:t>
      </w:r>
      <w:r>
        <w:rPr>
          <w:vertAlign w:val="baseline"/>
        </w:rPr>
        <w:t>Correlated</w:t>
      </w:r>
      <w:r>
        <w:rPr>
          <w:spacing w:val="1"/>
          <w:vertAlign w:val="baseline"/>
        </w:rPr>
        <w:t> </w:t>
      </w:r>
      <w:r>
        <w:rPr>
          <w:vertAlign w:val="baseline"/>
        </w:rPr>
        <w:t>SpectroscopY</w:t>
      </w:r>
      <w:r>
        <w:rPr>
          <w:spacing w:val="-4"/>
          <w:vertAlign w:val="baseline"/>
        </w:rPr>
        <w:t> </w:t>
      </w:r>
      <w:r>
        <w:rPr>
          <w:vertAlign w:val="baseline"/>
        </w:rPr>
        <w:t>(COSY),</w:t>
      </w:r>
      <w:r>
        <w:rPr>
          <w:spacing w:val="-2"/>
          <w:vertAlign w:val="baseline"/>
        </w:rPr>
        <w:t> </w:t>
      </w:r>
      <w:r>
        <w:rPr>
          <w:vertAlign w:val="baseline"/>
        </w:rPr>
        <w:t>HSQC and,</w:t>
      </w:r>
      <w:r>
        <w:rPr>
          <w:spacing w:val="9"/>
          <w:vertAlign w:val="baseline"/>
        </w:rPr>
        <w:t> </w:t>
      </w:r>
      <w:r>
        <w:rPr>
          <w:vertAlign w:val="baseline"/>
        </w:rPr>
        <w:t>HMBC</w:t>
      </w:r>
    </w:p>
    <w:p>
      <w:pPr>
        <w:spacing w:after="0" w:line="480" w:lineRule="auto"/>
        <w:jc w:val="both"/>
        <w:sectPr>
          <w:headerReference w:type="default" r:id="rId215"/>
          <w:footerReference w:type="default" r:id="rId216"/>
          <w:pgSz w:w="11910" w:h="16840"/>
          <w:pgMar w:header="0" w:footer="878" w:top="1280" w:bottom="1060" w:left="1560" w:right="600"/>
        </w:sectPr>
      </w:pPr>
    </w:p>
    <w:p>
      <w:pPr>
        <w:pStyle w:val="BodyText"/>
        <w:spacing w:before="110"/>
        <w:ind w:left="312"/>
        <w:jc w:val="both"/>
      </w:pPr>
      <w:r>
        <w:rPr/>
        <w:t>FT-IR</w:t>
      </w:r>
      <w:r>
        <w:rPr>
          <w:spacing w:val="18"/>
        </w:rPr>
        <w:t> </w:t>
      </w:r>
      <w:r>
        <w:rPr/>
        <w:t>data</w:t>
      </w:r>
      <w:r>
        <w:rPr>
          <w:spacing w:val="20"/>
        </w:rPr>
        <w:t> </w:t>
      </w:r>
      <w:r>
        <w:rPr/>
        <w:t>are</w:t>
      </w:r>
      <w:r>
        <w:rPr>
          <w:spacing w:val="15"/>
        </w:rPr>
        <w:t> </w:t>
      </w:r>
      <w:r>
        <w:rPr/>
        <w:t>reported</w:t>
      </w:r>
      <w:r>
        <w:rPr>
          <w:spacing w:val="21"/>
        </w:rPr>
        <w:t> </w:t>
      </w:r>
      <w:r>
        <w:rPr/>
        <w:t>in</w:t>
      </w:r>
      <w:r>
        <w:rPr>
          <w:spacing w:val="15"/>
        </w:rPr>
        <w:t> </w:t>
      </w:r>
      <w:r>
        <w:rPr/>
        <w:t>terms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frequency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absorption</w:t>
      </w:r>
      <w:r>
        <w:rPr>
          <w:spacing w:val="15"/>
        </w:rPr>
        <w:t> </w:t>
      </w:r>
      <w:r>
        <w:rPr/>
        <w:t>cm-1.</w:t>
      </w:r>
      <w:r>
        <w:rPr>
          <w:spacing w:val="23"/>
        </w:rPr>
        <w:t> </w:t>
      </w:r>
      <w:r>
        <w:rPr/>
        <w:t>Data</w:t>
      </w:r>
      <w:r>
        <w:rPr>
          <w:spacing w:val="20"/>
        </w:rPr>
        <w:t> </w:t>
      </w:r>
      <w:r>
        <w:rPr/>
        <w:t>for</w:t>
      </w:r>
      <w:r>
        <w:rPr>
          <w:spacing w:val="24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HNMR</w:t>
      </w:r>
      <w:r>
        <w:rPr>
          <w:spacing w:val="20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312"/>
        <w:jc w:val="both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2"/>
          <w:vertAlign w:val="baseline"/>
        </w:rPr>
        <w:t> </w:t>
      </w:r>
      <w:r>
        <w:rPr>
          <w:vertAlign w:val="baseline"/>
        </w:rPr>
        <w:t>NMR</w:t>
      </w:r>
      <w:r>
        <w:rPr>
          <w:spacing w:val="2"/>
          <w:vertAlign w:val="baseline"/>
        </w:rPr>
        <w:t> </w:t>
      </w:r>
      <w:r>
        <w:rPr>
          <w:vertAlign w:val="baseline"/>
        </w:rPr>
        <w:t>are</w:t>
      </w:r>
      <w:r>
        <w:rPr>
          <w:spacing w:val="4"/>
          <w:vertAlign w:val="baseline"/>
        </w:rPr>
        <w:t> </w:t>
      </w:r>
      <w:r>
        <w:rPr>
          <w:vertAlign w:val="baseline"/>
        </w:rPr>
        <w:t>reported</w:t>
      </w:r>
      <w:r>
        <w:rPr>
          <w:spacing w:val="3"/>
          <w:vertAlign w:val="baseline"/>
        </w:rPr>
        <w:t> </w:t>
      </w:r>
      <w:r>
        <w:rPr>
          <w:vertAlign w:val="baseline"/>
        </w:rPr>
        <w:t>as:</w:t>
      </w:r>
      <w:r>
        <w:rPr>
          <w:spacing w:val="4"/>
          <w:vertAlign w:val="baseline"/>
        </w:rPr>
        <w:t> </w:t>
      </w:r>
      <w:r>
        <w:rPr>
          <w:vertAlign w:val="baseline"/>
        </w:rPr>
        <w:t>chemical shift</w:t>
      </w:r>
      <w:r>
        <w:rPr>
          <w:spacing w:val="9"/>
          <w:vertAlign w:val="baseline"/>
        </w:rPr>
        <w:t> </w:t>
      </w:r>
      <w:r>
        <w:rPr>
          <w:vertAlign w:val="baseline"/>
        </w:rPr>
        <w:t>(δ</w:t>
      </w:r>
      <w:r>
        <w:rPr>
          <w:spacing w:val="5"/>
          <w:vertAlign w:val="baseline"/>
        </w:rPr>
        <w:t> </w:t>
      </w:r>
      <w:r>
        <w:rPr>
          <w:vertAlign w:val="baseline"/>
        </w:rPr>
        <w:t>ppm),</w:t>
      </w:r>
      <w:r>
        <w:rPr>
          <w:spacing w:val="7"/>
          <w:vertAlign w:val="baseline"/>
        </w:rPr>
        <w:t> </w:t>
      </w:r>
      <w:r>
        <w:rPr>
          <w:vertAlign w:val="baseline"/>
        </w:rPr>
        <w:t>multiplicity</w:t>
      </w:r>
      <w:r>
        <w:rPr>
          <w:spacing w:val="-1"/>
          <w:vertAlign w:val="baseline"/>
        </w:rPr>
        <w:t> </w:t>
      </w:r>
      <w:r>
        <w:rPr>
          <w:vertAlign w:val="baseline"/>
        </w:rPr>
        <w:t>(s</w:t>
      </w:r>
      <w:r>
        <w:rPr>
          <w:spacing w:val="2"/>
          <w:vertAlign w:val="baseline"/>
        </w:rPr>
        <w:t> </w:t>
      </w:r>
      <w:r>
        <w:rPr>
          <w:vertAlign w:val="baseline"/>
        </w:rPr>
        <w:t>=</w:t>
      </w:r>
      <w:r>
        <w:rPr>
          <w:spacing w:val="3"/>
          <w:vertAlign w:val="baseline"/>
        </w:rPr>
        <w:t> </w:t>
      </w:r>
      <w:r>
        <w:rPr>
          <w:vertAlign w:val="baseline"/>
        </w:rPr>
        <w:t>singlet,</w:t>
      </w:r>
      <w:r>
        <w:rPr>
          <w:spacing w:val="6"/>
          <w:vertAlign w:val="baseline"/>
        </w:rPr>
        <w:t> </w:t>
      </w:r>
      <w:r>
        <w:rPr>
          <w:vertAlign w:val="baseline"/>
        </w:rPr>
        <w:t>d</w:t>
      </w:r>
      <w:r>
        <w:rPr>
          <w:spacing w:val="4"/>
          <w:vertAlign w:val="baseline"/>
        </w:rPr>
        <w:t> </w:t>
      </w:r>
      <w:r>
        <w:rPr>
          <w:vertAlign w:val="baseline"/>
        </w:rPr>
        <w:t>=</w:t>
      </w:r>
      <w:r>
        <w:rPr>
          <w:spacing w:val="3"/>
          <w:vertAlign w:val="baseline"/>
        </w:rPr>
        <w:t> </w:t>
      </w:r>
      <w:r>
        <w:rPr>
          <w:vertAlign w:val="baseline"/>
        </w:rPr>
        <w:t>doublet,</w:t>
      </w:r>
      <w:r>
        <w:rPr>
          <w:spacing w:val="6"/>
          <w:vertAlign w:val="baseline"/>
        </w:rPr>
        <w:t> </w:t>
      </w:r>
      <w:r>
        <w:rPr>
          <w:vertAlign w:val="baseline"/>
        </w:rPr>
        <w:t>dd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312" w:right="694"/>
        <w:jc w:val="both"/>
      </w:pPr>
      <w:r>
        <w:rPr/>
        <w:t>= doublet</w:t>
      </w:r>
      <w:r>
        <w:rPr>
          <w:spacing w:val="1"/>
        </w:rPr>
        <w:t> </w:t>
      </w:r>
      <w:r>
        <w:rPr/>
        <w:t>of doublet, m =</w:t>
      </w:r>
      <w:r>
        <w:rPr>
          <w:spacing w:val="1"/>
        </w:rPr>
        <w:t> </w:t>
      </w:r>
      <w:r>
        <w:rPr/>
        <w:t>multiplet),</w:t>
      </w:r>
      <w:r>
        <w:rPr>
          <w:spacing w:val="1"/>
        </w:rPr>
        <w:t> </w:t>
      </w:r>
      <w:r>
        <w:rPr/>
        <w:t>integration </w:t>
      </w:r>
      <w:r>
        <w:rPr>
          <w:i/>
        </w:rPr>
        <w:t>(J</w:t>
      </w:r>
      <w:r>
        <w:rPr/>
        <w:t>). Data for</w:t>
      </w:r>
      <w:r>
        <w:rPr>
          <w:spacing w:val="60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CNMR reported in terms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chemical</w:t>
      </w:r>
      <w:r>
        <w:rPr>
          <w:spacing w:val="-3"/>
          <w:vertAlign w:val="baseline"/>
        </w:rPr>
        <w:t> </w:t>
      </w:r>
      <w:r>
        <w:rPr>
          <w:vertAlign w:val="baseline"/>
        </w:rPr>
        <w:t>shift</w:t>
      </w:r>
      <w:r>
        <w:rPr>
          <w:spacing w:val="7"/>
          <w:vertAlign w:val="baseline"/>
        </w:rPr>
        <w:t> </w:t>
      </w:r>
      <w:r>
        <w:rPr>
          <w:vertAlign w:val="baseline"/>
        </w:rPr>
        <w:t>(δ</w:t>
      </w:r>
      <w:r>
        <w:rPr>
          <w:spacing w:val="4"/>
          <w:vertAlign w:val="baseline"/>
        </w:rPr>
        <w:t> </w:t>
      </w:r>
      <w:r>
        <w:rPr>
          <w:vertAlign w:val="baseline"/>
        </w:rPr>
        <w:t>ppm).</w:t>
      </w:r>
    </w:p>
    <w:p>
      <w:pPr>
        <w:pStyle w:val="Heading1"/>
        <w:numPr>
          <w:ilvl w:val="2"/>
          <w:numId w:val="15"/>
        </w:numPr>
        <w:tabs>
          <w:tab w:pos="1032" w:val="left" w:leader="none"/>
          <w:tab w:pos="1033" w:val="left" w:leader="none"/>
        </w:tabs>
        <w:spacing w:line="240" w:lineRule="auto" w:before="206" w:after="0"/>
        <w:ind w:left="1033" w:right="0" w:hanging="721"/>
        <w:jc w:val="left"/>
      </w:pPr>
      <w:bookmarkStart w:name="_TOC_250047" w:id="46"/>
      <w:r>
        <w:rPr/>
        <w:t>Evaluation of</w:t>
      </w:r>
      <w:r>
        <w:rPr>
          <w:spacing w:val="-2"/>
        </w:rPr>
        <w:t> </w:t>
      </w:r>
      <w:r>
        <w:rPr>
          <w:i/>
        </w:rPr>
        <w:t>in vivo</w:t>
      </w:r>
      <w:r>
        <w:rPr>
          <w:i/>
          <w:spacing w:val="1"/>
        </w:rPr>
        <w:t> </w:t>
      </w:r>
      <w:r>
        <w:rPr/>
        <w:t>antiplasmodial</w:t>
      </w:r>
      <w:r>
        <w:rPr>
          <w:spacing w:val="-6"/>
        </w:rPr>
        <w:t> </w:t>
      </w:r>
      <w:bookmarkEnd w:id="46"/>
      <w:r>
        <w:rPr/>
        <w:t>activity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195" w:after="0"/>
        <w:ind w:left="1033" w:right="0" w:hanging="721"/>
        <w:jc w:val="left"/>
        <w:rPr>
          <w:i/>
          <w:sz w:val="24"/>
        </w:rPr>
      </w:pPr>
      <w:r>
        <w:rPr>
          <w:i/>
          <w:sz w:val="24"/>
        </w:rPr>
        <w:t>Inoculation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berghei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parasite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7"/>
        <w:jc w:val="both"/>
      </w:pPr>
      <w:r>
        <w:rPr/>
        <w:t>Blood was collected into a heparinized capillary tube via the tail vein from donor mouse</w:t>
      </w:r>
      <w:r>
        <w:rPr>
          <w:spacing w:val="1"/>
        </w:rPr>
        <w:t> </w:t>
      </w:r>
      <w:r>
        <w:rPr/>
        <w:t>with </w:t>
      </w:r>
      <w:r>
        <w:rPr>
          <w:i/>
        </w:rPr>
        <w:t>P. berghi </w:t>
      </w:r>
      <w:r>
        <w:rPr/>
        <w:t>Parasitemia level of about 20-25% and then transferred into a sterile plain</w:t>
      </w:r>
      <w:r>
        <w:rPr>
          <w:spacing w:val="1"/>
        </w:rPr>
        <w:t> </w:t>
      </w:r>
      <w:r>
        <w:rPr/>
        <w:t>bottle.</w:t>
      </w:r>
      <w:r>
        <w:rPr>
          <w:spacing w:val="1"/>
        </w:rPr>
        <w:t> </w:t>
      </w:r>
      <w:r>
        <w:rPr/>
        <w:t>About 2ml of the</w:t>
      </w:r>
      <w:r>
        <w:rPr>
          <w:spacing w:val="1"/>
        </w:rPr>
        <w:t> </w:t>
      </w:r>
      <w:r>
        <w:rPr/>
        <w:t>blood was diluted with 10ml normal saline such that 0.2ml</w:t>
      </w:r>
      <w:r>
        <w:rPr>
          <w:spacing w:val="1"/>
        </w:rPr>
        <w:t> </w:t>
      </w:r>
      <w:r>
        <w:rPr/>
        <w:t>contained approximately 1x10</w:t>
      </w:r>
      <w:r>
        <w:rPr>
          <w:vertAlign w:val="superscript"/>
        </w:rPr>
        <w:t>7</w:t>
      </w:r>
      <w:r>
        <w:rPr>
          <w:vertAlign w:val="baseline"/>
        </w:rPr>
        <w:t> infected red blood cells. Each mouse was then inoculated</w:t>
      </w:r>
      <w:r>
        <w:rPr>
          <w:spacing w:val="1"/>
          <w:vertAlign w:val="baseline"/>
        </w:rPr>
        <w:t> </w:t>
      </w:r>
      <w:r>
        <w:rPr>
          <w:vertAlign w:val="baseline"/>
        </w:rPr>
        <w:t>intraperitoneally</w:t>
      </w:r>
      <w:r>
        <w:rPr>
          <w:spacing w:val="-4"/>
          <w:vertAlign w:val="baseline"/>
        </w:rPr>
        <w:t> </w:t>
      </w:r>
      <w:r>
        <w:rPr>
          <w:vertAlign w:val="baseline"/>
        </w:rPr>
        <w:t>with</w:t>
      </w:r>
      <w:r>
        <w:rPr>
          <w:spacing w:val="-3"/>
          <w:vertAlign w:val="baseline"/>
        </w:rPr>
        <w:t> </w:t>
      </w:r>
      <w:r>
        <w:rPr>
          <w:vertAlign w:val="baseline"/>
        </w:rPr>
        <w:t>0.2ml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blood</w:t>
      </w:r>
      <w:r>
        <w:rPr>
          <w:spacing w:val="2"/>
          <w:vertAlign w:val="baseline"/>
        </w:rPr>
        <w:t> </w:t>
      </w:r>
      <w:r>
        <w:rPr>
          <w:vertAlign w:val="baseline"/>
        </w:rPr>
        <w:t>suspension</w:t>
      </w:r>
      <w:r>
        <w:rPr>
          <w:spacing w:val="-3"/>
          <w:vertAlign w:val="baseline"/>
        </w:rPr>
        <w:t> </w:t>
      </w:r>
      <w:r>
        <w:rPr>
          <w:vertAlign w:val="baseline"/>
        </w:rPr>
        <w:t>(Kalra</w:t>
      </w:r>
      <w:r>
        <w:rPr>
          <w:spacing w:val="7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2"/>
          <w:vertAlign w:val="baseline"/>
        </w:rPr>
        <w:t> </w:t>
      </w:r>
      <w:r>
        <w:rPr>
          <w:i/>
          <w:vertAlign w:val="baseline"/>
        </w:rPr>
        <w:t>al</w:t>
      </w:r>
      <w:r>
        <w:rPr>
          <w:vertAlign w:val="baseline"/>
        </w:rPr>
        <w:t>.,</w:t>
      </w:r>
      <w:r>
        <w:rPr>
          <w:spacing w:val="-1"/>
          <w:vertAlign w:val="baseline"/>
        </w:rPr>
        <w:t> </w:t>
      </w:r>
      <w:r>
        <w:rPr>
          <w:vertAlign w:val="baseline"/>
        </w:rPr>
        <w:t>2006).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1"/>
        </w:rPr>
      </w:pP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0" w:after="0"/>
        <w:ind w:left="1033" w:right="0" w:hanging="721"/>
        <w:jc w:val="left"/>
        <w:rPr>
          <w:i/>
          <w:sz w:val="24"/>
        </w:rPr>
      </w:pPr>
      <w:r>
        <w:rPr>
          <w:i/>
          <w:sz w:val="24"/>
        </w:rPr>
        <w:t>Curative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test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mice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9"/>
        <w:ind w:left="312" w:right="692"/>
        <w:jc w:val="both"/>
      </w:pPr>
      <w:r>
        <w:rPr/>
        <w:t>Evaluation of the curative potential of compounds against established plasmodia infection</w:t>
      </w:r>
      <w:r>
        <w:rPr>
          <w:spacing w:val="1"/>
        </w:rPr>
        <w:t> </w:t>
      </w:r>
      <w:r>
        <w:rPr/>
        <w:t>was carried out</w:t>
      </w:r>
      <w:r>
        <w:rPr>
          <w:spacing w:val="1"/>
        </w:rPr>
        <w:t> </w:t>
      </w:r>
      <w:r>
        <w:rPr/>
        <w:t>as described</w:t>
      </w:r>
      <w:r>
        <w:rPr>
          <w:spacing w:val="1"/>
        </w:rPr>
        <w:t> </w:t>
      </w:r>
      <w:r>
        <w:rPr/>
        <w:t>by (Ryley and</w:t>
      </w:r>
      <w:r>
        <w:rPr>
          <w:spacing w:val="1"/>
        </w:rPr>
        <w:t> </w:t>
      </w:r>
      <w:r>
        <w:rPr/>
        <w:t>Peters, 1970). Briefly</w:t>
      </w:r>
      <w:r>
        <w:rPr>
          <w:spacing w:val="1"/>
        </w:rPr>
        <w:t> </w:t>
      </w:r>
      <w:r>
        <w:rPr/>
        <w:t>(using compound</w:t>
      </w:r>
      <w:r>
        <w:rPr>
          <w:spacing w:val="60"/>
        </w:rPr>
        <w:t> </w:t>
      </w:r>
      <w:r>
        <w:rPr/>
        <w:t>P1),</w:t>
      </w:r>
      <w:r>
        <w:rPr>
          <w:spacing w:val="-57"/>
        </w:rPr>
        <w:t> </w:t>
      </w:r>
      <w:r>
        <w:rPr/>
        <w:t>the mice were inoculated with parasites as described above and left untreated until the</w:t>
      </w:r>
      <w:r>
        <w:rPr>
          <w:spacing w:val="1"/>
        </w:rPr>
        <w:t> </w:t>
      </w:r>
      <w:r>
        <w:rPr/>
        <w:t>fourth</w:t>
      </w:r>
      <w:r>
        <w:rPr>
          <w:spacing w:val="1"/>
        </w:rPr>
        <w:t> </w:t>
      </w:r>
      <w:r>
        <w:rPr/>
        <w:t>day</w:t>
      </w:r>
      <w:r>
        <w:rPr>
          <w:spacing w:val="1"/>
        </w:rPr>
        <w:t> </w:t>
      </w:r>
      <w:r>
        <w:rPr/>
        <w:t>post-inoculation.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Parasitemia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established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parasitemia</w:t>
      </w:r>
      <w:r>
        <w:rPr>
          <w:spacing w:val="1"/>
        </w:rPr>
        <w:t> </w:t>
      </w:r>
      <w:r>
        <w:rPr/>
        <w:t>determination, the mice were randomly divided into five groups of five mice each. Groups</w:t>
      </w:r>
      <w:r>
        <w:rPr>
          <w:spacing w:val="1"/>
        </w:rPr>
        <w:t> </w:t>
      </w:r>
      <w:r>
        <w:rPr/>
        <w:t>1-3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intraperitoneally</w:t>
      </w:r>
      <w:r>
        <w:rPr>
          <w:spacing w:val="1"/>
        </w:rPr>
        <w:t> </w:t>
      </w:r>
      <w:r>
        <w:rPr/>
        <w:t>administered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25,</w:t>
      </w:r>
      <w:r>
        <w:rPr>
          <w:spacing w:val="1"/>
        </w:rPr>
        <w:t> </w:t>
      </w:r>
      <w:r>
        <w:rPr/>
        <w:t>50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100mg/kg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compound P1 respectively. Group 4 and 5 were administered 5mg/kg of chloroquine and</w:t>
      </w:r>
      <w:r>
        <w:rPr>
          <w:spacing w:val="1"/>
        </w:rPr>
        <w:t> </w:t>
      </w:r>
      <w:r>
        <w:rPr/>
        <w:t>0.2ml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1%w/v</w:t>
      </w:r>
      <w:r>
        <w:rPr>
          <w:spacing w:val="-6"/>
        </w:rPr>
        <w:t> </w:t>
      </w:r>
      <w:r>
        <w:rPr/>
        <w:t>acacia</w:t>
      </w:r>
      <w:r>
        <w:rPr>
          <w:spacing w:val="-2"/>
        </w:rPr>
        <w:t> </w:t>
      </w:r>
      <w:r>
        <w:rPr/>
        <w:t>suspension</w:t>
      </w:r>
      <w:r>
        <w:rPr>
          <w:spacing w:val="-1"/>
        </w:rPr>
        <w:t> </w:t>
      </w:r>
      <w:r>
        <w:rPr/>
        <w:t>intraperitoneally,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treatment</w:t>
      </w:r>
      <w:r>
        <w:rPr>
          <w:spacing w:val="4"/>
        </w:rPr>
        <w:t> </w:t>
      </w:r>
      <w:r>
        <w:rPr/>
        <w:t>was</w:t>
      </w:r>
      <w:r>
        <w:rPr>
          <w:spacing w:val="-3"/>
        </w:rPr>
        <w:t> </w:t>
      </w:r>
      <w:r>
        <w:rPr/>
        <w:t>given</w:t>
      </w:r>
    </w:p>
    <w:p>
      <w:pPr>
        <w:spacing w:after="0" w:line="480" w:lineRule="auto"/>
        <w:jc w:val="both"/>
        <w:sectPr>
          <w:headerReference w:type="default" r:id="rId217"/>
          <w:footerReference w:type="default" r:id="rId218"/>
          <w:pgSz w:w="11910" w:h="16840"/>
          <w:pgMar w:header="0" w:footer="878" w:top="1160" w:bottom="1060" w:left="1560" w:right="600"/>
        </w:sectPr>
      </w:pPr>
    </w:p>
    <w:p>
      <w:pPr>
        <w:pStyle w:val="BodyText"/>
        <w:spacing w:line="480" w:lineRule="auto" w:before="70"/>
        <w:ind w:left="312" w:right="696"/>
        <w:jc w:val="both"/>
      </w:pPr>
      <w:r>
        <w:rPr/>
        <w:t>for four consecutive days. On the fifth day, blood was collected from the tail vein of each</w:t>
      </w:r>
      <w:r>
        <w:rPr>
          <w:spacing w:val="1"/>
        </w:rPr>
        <w:t> </w:t>
      </w:r>
      <w:r>
        <w:rPr/>
        <w:t>mouse and smeared on slide to make a thin film (Saidu </w:t>
      </w:r>
      <w:r>
        <w:rPr>
          <w:i/>
        </w:rPr>
        <w:t>et al., </w:t>
      </w:r>
      <w:r>
        <w:rPr/>
        <w:t>2000) for parasitemia</w:t>
      </w:r>
      <w:r>
        <w:rPr>
          <w:spacing w:val="1"/>
        </w:rPr>
        <w:t> </w:t>
      </w:r>
      <w:r>
        <w:rPr/>
        <w:t>determination.</w:t>
      </w:r>
    </w:p>
    <w:p>
      <w:pPr>
        <w:pStyle w:val="BodyText"/>
        <w:spacing w:line="480" w:lineRule="auto" w:before="202"/>
        <w:ind w:left="312" w:right="690"/>
        <w:jc w:val="both"/>
      </w:pPr>
      <w:r>
        <w:rPr/>
        <w:t>The same procedure was repeated</w:t>
      </w:r>
      <w:r>
        <w:rPr>
          <w:spacing w:val="60"/>
        </w:rPr>
        <w:t> </w:t>
      </w:r>
      <w:r>
        <w:rPr/>
        <w:t>for the rest</w:t>
      </w:r>
      <w:r>
        <w:rPr>
          <w:spacing w:val="60"/>
        </w:rPr>
        <w:t> </w:t>
      </w:r>
      <w:r>
        <w:rPr/>
        <w:t>of the compounds (P2 – P25) each with</w:t>
      </w:r>
      <w:r>
        <w:rPr>
          <w:spacing w:val="1"/>
        </w:rPr>
        <w:t> </w:t>
      </w:r>
      <w:r>
        <w:rPr/>
        <w:t>three graded doses. The study was conducted at three different times with different set of</w:t>
      </w:r>
      <w:r>
        <w:rPr>
          <w:spacing w:val="1"/>
        </w:rPr>
        <w:t> </w:t>
      </w:r>
      <w:r>
        <w:rPr/>
        <w:t>compounds.At each experiment different dose of the positive controls was used to improve</w:t>
      </w:r>
      <w:r>
        <w:rPr>
          <w:spacing w:val="-57"/>
        </w:rPr>
        <w:t> </w:t>
      </w:r>
      <w:r>
        <w:rPr/>
        <w:t>response.</w:t>
      </w:r>
      <w:r>
        <w:rPr>
          <w:spacing w:val="23"/>
        </w:rPr>
        <w:t> </w:t>
      </w:r>
      <w:r>
        <w:rPr/>
        <w:t>Thus,</w:t>
      </w:r>
      <w:r>
        <w:rPr>
          <w:spacing w:val="27"/>
        </w:rPr>
        <w:t> </w:t>
      </w:r>
      <w:r>
        <w:rPr/>
        <w:t>for</w:t>
      </w:r>
      <w:r>
        <w:rPr>
          <w:spacing w:val="23"/>
        </w:rPr>
        <w:t> </w:t>
      </w:r>
      <w:r>
        <w:rPr/>
        <w:t>chloroquine</w:t>
      </w:r>
      <w:r>
        <w:rPr>
          <w:spacing w:val="20"/>
        </w:rPr>
        <w:t> </w:t>
      </w:r>
      <w:r>
        <w:rPr/>
        <w:t>5,</w:t>
      </w:r>
      <w:r>
        <w:rPr>
          <w:spacing w:val="23"/>
        </w:rPr>
        <w:t> </w:t>
      </w:r>
      <w:r>
        <w:rPr/>
        <w:t>10</w:t>
      </w:r>
      <w:r>
        <w:rPr>
          <w:spacing w:val="26"/>
        </w:rPr>
        <w:t> </w:t>
      </w:r>
      <w:r>
        <w:rPr/>
        <w:t>and</w:t>
      </w:r>
      <w:r>
        <w:rPr>
          <w:spacing w:val="21"/>
        </w:rPr>
        <w:t> </w:t>
      </w:r>
      <w:r>
        <w:rPr/>
        <w:t>25mg/kg</w:t>
      </w:r>
      <w:r>
        <w:rPr>
          <w:spacing w:val="21"/>
        </w:rPr>
        <w:t> </w:t>
      </w:r>
      <w:r>
        <w:rPr/>
        <w:t>were</w:t>
      </w:r>
      <w:r>
        <w:rPr>
          <w:spacing w:val="20"/>
        </w:rPr>
        <w:t> </w:t>
      </w:r>
      <w:r>
        <w:rPr/>
        <w:t>used</w:t>
      </w:r>
      <w:r>
        <w:rPr>
          <w:spacing w:val="22"/>
        </w:rPr>
        <w:t> </w:t>
      </w:r>
      <w:r>
        <w:rPr/>
        <w:t>and</w:t>
      </w:r>
      <w:r>
        <w:rPr>
          <w:spacing w:val="25"/>
        </w:rPr>
        <w:t> </w:t>
      </w:r>
      <w:r>
        <w:rPr/>
        <w:t>for</w:t>
      </w:r>
      <w:r>
        <w:rPr>
          <w:spacing w:val="22"/>
        </w:rPr>
        <w:t> </w:t>
      </w:r>
      <w:r>
        <w:rPr/>
        <w:t>arthemether</w:t>
      </w:r>
      <w:r>
        <w:rPr>
          <w:spacing w:val="22"/>
        </w:rPr>
        <w:t> </w:t>
      </w:r>
      <w:r>
        <w:rPr/>
        <w:t>1.65,</w:t>
      </w:r>
    </w:p>
    <w:p>
      <w:pPr>
        <w:pStyle w:val="BodyText"/>
        <w:spacing w:before="1"/>
        <w:ind w:left="312"/>
        <w:jc w:val="both"/>
      </w:pPr>
      <w:r>
        <w:rPr/>
        <w:t>2.3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5 mg/kg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used.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174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Parasitemia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determination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9"/>
        <w:ind w:left="312" w:right="693"/>
        <w:jc w:val="both"/>
      </w:pPr>
      <w:r>
        <w:rPr/>
        <w:t>The thin blood film on microscope slide was fixed with absolute methanol for 10 secs and</w:t>
      </w:r>
      <w:r>
        <w:rPr>
          <w:spacing w:val="1"/>
        </w:rPr>
        <w:t> </w:t>
      </w:r>
      <w:r>
        <w:rPr/>
        <w:t>stained with 3% geimsa</w:t>
      </w:r>
      <w:r>
        <w:rPr>
          <w:spacing w:val="1"/>
        </w:rPr>
        <w:t> </w:t>
      </w:r>
      <w:r>
        <w:rPr/>
        <w:t>stain at</w:t>
      </w:r>
      <w:r>
        <w:rPr>
          <w:spacing w:val="1"/>
        </w:rPr>
        <w:t> </w:t>
      </w:r>
      <w:r>
        <w:rPr/>
        <w:t>pH 7.2</w:t>
      </w:r>
      <w:r>
        <w:rPr>
          <w:spacing w:val="1"/>
        </w:rPr>
        <w:t> </w:t>
      </w:r>
      <w:r>
        <w:rPr/>
        <w:t>for 45 mins. The remaining</w:t>
      </w:r>
      <w:r>
        <w:rPr>
          <w:spacing w:val="60"/>
        </w:rPr>
        <w:t> </w:t>
      </w:r>
      <w:r>
        <w:rPr/>
        <w:t>stain was gently</w:t>
      </w:r>
      <w:r>
        <w:rPr>
          <w:spacing w:val="1"/>
        </w:rPr>
        <w:t> </w:t>
      </w:r>
      <w:r>
        <w:rPr/>
        <w:t>poured off and the slides were rinsed with distilled water and carefully dried on a rack.</w:t>
      </w:r>
      <w:r>
        <w:rPr>
          <w:spacing w:val="1"/>
        </w:rPr>
        <w:t> </w:t>
      </w:r>
      <w:r>
        <w:rPr/>
        <w:t>Each slide was placed on a</w:t>
      </w:r>
      <w:r>
        <w:rPr>
          <w:spacing w:val="60"/>
        </w:rPr>
        <w:t> </w:t>
      </w:r>
      <w:r>
        <w:rPr/>
        <w:t>microscope stage, with one to two drops of inmersion oil</w:t>
      </w:r>
      <w:r>
        <w:rPr>
          <w:spacing w:val="1"/>
        </w:rPr>
        <w:t> </w:t>
      </w:r>
      <w:r>
        <w:rPr/>
        <w:t>placed on the slide. Using X100 objective lens, four immersion fields were viewed and the</w:t>
      </w:r>
      <w:r>
        <w:rPr>
          <w:spacing w:val="-57"/>
        </w:rPr>
        <w:t> </w:t>
      </w:r>
      <w:r>
        <w:rPr/>
        <w:t>number</w:t>
      </w:r>
      <w:r>
        <w:rPr>
          <w:spacing w:val="1"/>
        </w:rPr>
        <w:t> </w:t>
      </w:r>
      <w:r>
        <w:rPr/>
        <w:t>of parasites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counted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tally counter.</w:t>
      </w:r>
      <w:r>
        <w:rPr>
          <w:spacing w:val="1"/>
        </w:rPr>
        <w:t> </w:t>
      </w:r>
      <w:r>
        <w:rPr/>
        <w:t>Average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parasite suppression relative to the control was calculated for each treatment group using</w:t>
      </w:r>
      <w:r>
        <w:rPr>
          <w:spacing w:val="1"/>
        </w:rPr>
        <w:t> </w:t>
      </w:r>
      <w:r>
        <w:rPr/>
        <w:t>the formula</w:t>
      </w:r>
      <w:r>
        <w:rPr>
          <w:spacing w:val="1"/>
        </w:rPr>
        <w:t> </w:t>
      </w:r>
      <w:r>
        <w:rPr/>
        <w:t>below</w:t>
      </w:r>
      <w:r>
        <w:rPr>
          <w:spacing w:val="1"/>
        </w:rPr>
        <w:t> </w:t>
      </w:r>
      <w:r>
        <w:rPr/>
        <w:t>(Iwalewa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2008):</w:t>
      </w:r>
    </w:p>
    <w:p>
      <w:pPr>
        <w:pStyle w:val="BodyText"/>
        <w:spacing w:before="7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219"/>
          <w:footerReference w:type="default" r:id="rId220"/>
          <w:pgSz w:w="11910" w:h="16840"/>
          <w:pgMar w:header="0" w:footer="878" w:top="1200" w:bottom="1060" w:left="1560" w:right="600"/>
        </w:sectPr>
      </w:pPr>
    </w:p>
    <w:p>
      <w:pPr>
        <w:spacing w:line="172" w:lineRule="auto" w:before="98"/>
        <w:ind w:left="312" w:right="0" w:firstLine="0"/>
        <w:jc w:val="left"/>
        <w:rPr>
          <w:rFonts w:ascii="Cambria Math" w:hAnsi="Cambria Math" w:eastAsia="Cambria Math"/>
          <w:sz w:val="17"/>
        </w:rPr>
      </w:pPr>
      <w:r>
        <w:rPr/>
        <w:pict>
          <v:rect style="position:absolute;margin-left:175.509995pt;margin-top:14.919815pt;width:287.160pt;height:.71997pt;mso-position-horizontal-relative:page;mso-position-vertical-relative:paragraph;z-index:-22204416" filled="true" fillcolor="#000000" stroked="false">
            <v:fill type="solid"/>
            <w10:wrap type="none"/>
          </v:rect>
        </w:pict>
      </w:r>
      <w:r>
        <w:rPr>
          <w:position w:val="-13"/>
          <w:sz w:val="24"/>
        </w:rPr>
        <w:t>%</w:t>
      </w:r>
      <w:r>
        <w:rPr>
          <w:spacing w:val="-1"/>
          <w:position w:val="-13"/>
          <w:sz w:val="24"/>
        </w:rPr>
        <w:t> </w:t>
      </w:r>
      <w:r>
        <w:rPr>
          <w:position w:val="-13"/>
          <w:sz w:val="24"/>
        </w:rPr>
        <w:t>Parasitemia</w:t>
      </w:r>
      <w:r>
        <w:rPr>
          <w:spacing w:val="-2"/>
          <w:position w:val="-13"/>
          <w:sz w:val="24"/>
        </w:rPr>
        <w:t> </w:t>
      </w:r>
      <w:r>
        <w:rPr>
          <w:position w:val="-13"/>
          <w:sz w:val="24"/>
        </w:rPr>
        <w:t>=</w:t>
      </w:r>
      <w:r>
        <w:rPr>
          <w:spacing w:val="3"/>
          <w:position w:val="-13"/>
          <w:sz w:val="24"/>
        </w:rPr>
        <w:t> </w:t>
      </w:r>
      <w:r>
        <w:rPr>
          <w:rFonts w:ascii="Cambria Math" w:hAnsi="Cambria Math" w:eastAsia="Cambria Math"/>
          <w:sz w:val="17"/>
        </w:rPr>
        <w:t>𝑚𝑒𝑎𝑛</w:t>
      </w:r>
      <w:r>
        <w:rPr>
          <w:rFonts w:ascii="Cambria Math" w:hAnsi="Cambria Math" w:eastAsia="Cambria Math"/>
          <w:spacing w:val="50"/>
          <w:sz w:val="17"/>
        </w:rPr>
        <w:t> </w:t>
      </w:r>
      <w:r>
        <w:rPr>
          <w:rFonts w:ascii="Cambria Math" w:hAnsi="Cambria Math" w:eastAsia="Cambria Math"/>
          <w:sz w:val="17"/>
        </w:rPr>
        <w:t>𝑝𝑎𝑟𝑎𝑠𝑖𝑡𝑒𝑚𝑖𝑎</w:t>
      </w:r>
      <w:r>
        <w:rPr>
          <w:rFonts w:ascii="Cambria Math" w:hAnsi="Cambria Math" w:eastAsia="Cambria Math"/>
          <w:spacing w:val="64"/>
          <w:sz w:val="17"/>
        </w:rPr>
        <w:t> </w:t>
      </w:r>
      <w:r>
        <w:rPr>
          <w:rFonts w:ascii="Cambria Math" w:hAnsi="Cambria Math" w:eastAsia="Cambria Math"/>
          <w:sz w:val="17"/>
        </w:rPr>
        <w:t>(−𝑣𝑒</w:t>
      </w:r>
      <w:r>
        <w:rPr>
          <w:rFonts w:ascii="Cambria Math" w:hAnsi="Cambria Math" w:eastAsia="Cambria Math"/>
          <w:spacing w:val="14"/>
          <w:sz w:val="17"/>
        </w:rPr>
        <w:t> </w:t>
      </w:r>
      <w:r>
        <w:rPr>
          <w:rFonts w:ascii="Cambria Math" w:hAnsi="Cambria Math" w:eastAsia="Cambria Math"/>
          <w:sz w:val="17"/>
        </w:rPr>
        <w:t>𝑐𝑜𝑛𝑡𝑟𝑜𝑙</w:t>
      </w:r>
      <w:r>
        <w:rPr>
          <w:rFonts w:ascii="Cambria Math" w:hAnsi="Cambria Math" w:eastAsia="Cambria Math"/>
          <w:spacing w:val="62"/>
          <w:sz w:val="17"/>
        </w:rPr>
        <w:t> </w:t>
      </w:r>
      <w:r>
        <w:rPr>
          <w:rFonts w:ascii="Cambria Math" w:hAnsi="Cambria Math" w:eastAsia="Cambria Math"/>
          <w:sz w:val="17"/>
        </w:rPr>
        <w:t>)</w:t>
      </w:r>
      <w:r>
        <w:rPr>
          <w:rFonts w:ascii="Cambria Math" w:hAnsi="Cambria Math" w:eastAsia="Cambria Math"/>
          <w:spacing w:val="37"/>
          <w:sz w:val="17"/>
        </w:rPr>
        <w:t> </w:t>
      </w:r>
      <w:r>
        <w:rPr>
          <w:rFonts w:ascii="Cambria Math" w:hAnsi="Cambria Math" w:eastAsia="Cambria Math"/>
          <w:sz w:val="17"/>
        </w:rPr>
        <w:t>−</w:t>
      </w:r>
      <w:r>
        <w:rPr>
          <w:rFonts w:ascii="Cambria Math" w:hAnsi="Cambria Math" w:eastAsia="Cambria Math"/>
          <w:spacing w:val="29"/>
          <w:sz w:val="17"/>
        </w:rPr>
        <w:t> </w:t>
      </w:r>
      <w:r>
        <w:rPr>
          <w:rFonts w:ascii="Cambria Math" w:hAnsi="Cambria Math" w:eastAsia="Cambria Math"/>
          <w:sz w:val="17"/>
        </w:rPr>
        <w:t>𝑚𝑒𝑎𝑛</w:t>
      </w:r>
      <w:r>
        <w:rPr>
          <w:rFonts w:ascii="Cambria Math" w:hAnsi="Cambria Math" w:eastAsia="Cambria Math"/>
          <w:spacing w:val="46"/>
          <w:sz w:val="17"/>
        </w:rPr>
        <w:t> </w:t>
      </w:r>
      <w:r>
        <w:rPr>
          <w:rFonts w:ascii="Cambria Math" w:hAnsi="Cambria Math" w:eastAsia="Cambria Math"/>
          <w:sz w:val="17"/>
        </w:rPr>
        <w:t>𝑝𝑎𝑟𝑎𝑠𝑖𝑡𝑒𝑚𝑖𝑎  </w:t>
      </w:r>
      <w:r>
        <w:rPr>
          <w:rFonts w:ascii="Cambria Math" w:hAnsi="Cambria Math" w:eastAsia="Cambria Math"/>
          <w:spacing w:val="26"/>
          <w:sz w:val="17"/>
        </w:rPr>
        <w:t> </w:t>
      </w:r>
      <w:r>
        <w:rPr>
          <w:rFonts w:ascii="Cambria Math" w:hAnsi="Cambria Math" w:eastAsia="Cambria Math"/>
          <w:sz w:val="17"/>
        </w:rPr>
        <w:t>(+𝑣𝑒</w:t>
      </w:r>
      <w:r>
        <w:rPr>
          <w:rFonts w:ascii="Cambria Math" w:hAnsi="Cambria Math" w:eastAsia="Cambria Math"/>
          <w:spacing w:val="19"/>
          <w:sz w:val="17"/>
        </w:rPr>
        <w:t> </w:t>
      </w:r>
      <w:r>
        <w:rPr>
          <w:rFonts w:ascii="Cambria Math" w:hAnsi="Cambria Math" w:eastAsia="Cambria Math"/>
          <w:sz w:val="17"/>
        </w:rPr>
        <w:t>𝑐𝑜𝑛𝑡𝑟𝑜𝑙</w:t>
      </w:r>
      <w:r>
        <w:rPr>
          <w:rFonts w:ascii="Cambria Math" w:hAnsi="Cambria Math" w:eastAsia="Cambria Math"/>
          <w:spacing w:val="21"/>
          <w:sz w:val="17"/>
        </w:rPr>
        <w:t> </w:t>
      </w:r>
      <w:r>
        <w:rPr>
          <w:rFonts w:ascii="Cambria Math" w:hAnsi="Cambria Math" w:eastAsia="Cambria Math"/>
          <w:sz w:val="17"/>
        </w:rPr>
        <w:t>)</w:t>
      </w:r>
    </w:p>
    <w:p>
      <w:pPr>
        <w:spacing w:line="159" w:lineRule="exact" w:before="0"/>
        <w:ind w:left="3462" w:right="0" w:firstLine="0"/>
        <w:jc w:val="left"/>
        <w:rPr>
          <w:rFonts w:ascii="Cambria Math" w:hAnsi="Cambria Math" w:eastAsia="Cambria Math"/>
          <w:sz w:val="17"/>
        </w:rPr>
      </w:pPr>
      <w:r>
        <w:rPr>
          <w:rFonts w:ascii="Cambria Math" w:hAnsi="Cambria Math" w:eastAsia="Cambria Math"/>
          <w:sz w:val="17"/>
        </w:rPr>
        <w:t>𝑚𝑒𝑎𝑛</w:t>
      </w:r>
      <w:r>
        <w:rPr>
          <w:rFonts w:ascii="Cambria Math" w:hAnsi="Cambria Math" w:eastAsia="Cambria Math"/>
          <w:spacing w:val="50"/>
          <w:sz w:val="17"/>
        </w:rPr>
        <w:t> </w:t>
      </w:r>
      <w:r>
        <w:rPr>
          <w:rFonts w:ascii="Cambria Math" w:hAnsi="Cambria Math" w:eastAsia="Cambria Math"/>
          <w:sz w:val="17"/>
        </w:rPr>
        <w:t>𝑝𝑎𝑟𝑎𝑠𝑖𝑡𝑒𝑚𝑖𝑎</w:t>
      </w:r>
      <w:r>
        <w:rPr>
          <w:rFonts w:ascii="Cambria Math" w:hAnsi="Cambria Math" w:eastAsia="Cambria Math"/>
          <w:spacing w:val="64"/>
          <w:sz w:val="17"/>
        </w:rPr>
        <w:t> </w:t>
      </w:r>
      <w:r>
        <w:rPr>
          <w:rFonts w:ascii="Cambria Math" w:hAnsi="Cambria Math" w:eastAsia="Cambria Math"/>
          <w:sz w:val="17"/>
        </w:rPr>
        <w:t>(−𝑣𝑒</w:t>
      </w:r>
      <w:r>
        <w:rPr>
          <w:rFonts w:ascii="Cambria Math" w:hAnsi="Cambria Math" w:eastAsia="Cambria Math"/>
          <w:spacing w:val="14"/>
          <w:sz w:val="17"/>
        </w:rPr>
        <w:t> </w:t>
      </w:r>
      <w:r>
        <w:rPr>
          <w:rFonts w:ascii="Cambria Math" w:hAnsi="Cambria Math" w:eastAsia="Cambria Math"/>
          <w:sz w:val="17"/>
        </w:rPr>
        <w:t>𝑐𝑜𝑛𝑡𝑟𝑜𝑙</w:t>
      </w:r>
      <w:r>
        <w:rPr>
          <w:rFonts w:ascii="Cambria Math" w:hAnsi="Cambria Math" w:eastAsia="Cambria Math"/>
          <w:spacing w:val="25"/>
          <w:sz w:val="17"/>
        </w:rPr>
        <w:t> </w:t>
      </w:r>
      <w:r>
        <w:rPr>
          <w:rFonts w:ascii="Cambria Math" w:hAnsi="Cambria Math" w:eastAsia="Cambria Math"/>
          <w:sz w:val="17"/>
        </w:rPr>
        <w:t>)</w:t>
      </w:r>
    </w:p>
    <w:p>
      <w:pPr>
        <w:pStyle w:val="BodyText"/>
        <w:spacing w:before="147"/>
        <w:ind w:left="120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100</w:t>
      </w:r>
    </w:p>
    <w:p>
      <w:pPr>
        <w:spacing w:after="0"/>
        <w:rPr>
          <w:rFonts w:ascii="Cambria Math" w:hAnsi="Cambria Math"/>
        </w:rPr>
        <w:sectPr>
          <w:type w:val="continuous"/>
          <w:pgSz w:w="11910" w:h="16840"/>
          <w:pgMar w:top="2020" w:bottom="280" w:left="1560" w:right="600"/>
          <w:cols w:num="2" w:equalWidth="0">
            <w:col w:w="7692" w:space="40"/>
            <w:col w:w="2018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2"/>
        <w:rPr>
          <w:rFonts w:ascii="Cambria Math"/>
          <w:sz w:val="21"/>
        </w:rPr>
      </w:pPr>
    </w:p>
    <w:p>
      <w:pPr>
        <w:pStyle w:val="Heading1"/>
        <w:numPr>
          <w:ilvl w:val="2"/>
          <w:numId w:val="15"/>
        </w:numPr>
        <w:tabs>
          <w:tab w:pos="856" w:val="left" w:leader="none"/>
        </w:tabs>
        <w:spacing w:line="240" w:lineRule="auto" w:before="0" w:after="0"/>
        <w:ind w:left="855" w:right="0" w:hanging="544"/>
        <w:jc w:val="both"/>
      </w:pPr>
      <w:bookmarkStart w:name="_TOC_250046" w:id="47"/>
      <w:r>
        <w:rPr>
          <w:i/>
        </w:rPr>
        <w:t>In</w:t>
      </w:r>
      <w:r>
        <w:rPr>
          <w:i/>
          <w:spacing w:val="-2"/>
        </w:rPr>
        <w:t> </w:t>
      </w:r>
      <w:r>
        <w:rPr>
          <w:i/>
        </w:rPr>
        <w:t>vit</w:t>
      </w:r>
      <w:r>
        <w:rPr/>
        <w:t>ro</w:t>
      </w:r>
      <w:r>
        <w:rPr>
          <w:spacing w:val="-2"/>
        </w:rPr>
        <w:t> </w:t>
      </w:r>
      <w:r>
        <w:rPr/>
        <w:t>determination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hematin</w:t>
      </w:r>
      <w:r>
        <w:rPr>
          <w:spacing w:val="-6"/>
        </w:rPr>
        <w:t> </w:t>
      </w:r>
      <w:r>
        <w:rPr/>
        <w:t>polymerization</w:t>
      </w:r>
      <w:r>
        <w:rPr>
          <w:spacing w:val="-1"/>
        </w:rPr>
        <w:t> </w:t>
      </w:r>
      <w:r>
        <w:rPr/>
        <w:t>inhibitory</w:t>
      </w:r>
      <w:r>
        <w:rPr>
          <w:spacing w:val="5"/>
        </w:rPr>
        <w:t> </w:t>
      </w:r>
      <w:bookmarkEnd w:id="47"/>
      <w:r>
        <w:rPr/>
        <w:t>activity</w:t>
      </w:r>
    </w:p>
    <w:p>
      <w:pPr>
        <w:pStyle w:val="BodyText"/>
        <w:spacing w:line="480" w:lineRule="auto" w:before="194"/>
        <w:ind w:left="312" w:right="687"/>
        <w:jc w:val="both"/>
      </w:pPr>
      <w:r>
        <w:rPr/>
        <w:t>Hematin polymerization inhibition test was investigated by the method of Baelmans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(2000). A solution of hemin chloride in 10% dimethyl sulfoxide (50µL, 5.2 mg/ml) was</w:t>
      </w:r>
      <w:r>
        <w:rPr>
          <w:spacing w:val="1"/>
        </w:rPr>
        <w:t> </w:t>
      </w:r>
      <w:r>
        <w:rPr/>
        <w:t>distributed in 96-well microplates. 50µL solution of different concentration of each of the</w:t>
      </w:r>
      <w:r>
        <w:rPr>
          <w:spacing w:val="1"/>
        </w:rPr>
        <w:t> </w:t>
      </w:r>
      <w:r>
        <w:rPr/>
        <w:t>test compounds (50, 100 and 200µg/ml) in DMSO were added in triplicate into the test</w:t>
      </w:r>
      <w:r>
        <w:rPr>
          <w:spacing w:val="1"/>
        </w:rPr>
        <w:t> </w:t>
      </w:r>
      <w:r>
        <w:rPr/>
        <w:t>wells.</w:t>
      </w:r>
      <w:r>
        <w:rPr>
          <w:spacing w:val="14"/>
        </w:rPr>
        <w:t> </w:t>
      </w:r>
      <w:r>
        <w:rPr/>
        <w:t>Controls</w:t>
      </w:r>
      <w:r>
        <w:rPr>
          <w:spacing w:val="14"/>
        </w:rPr>
        <w:t> </w:t>
      </w:r>
      <w:r>
        <w:rPr/>
        <w:t>were</w:t>
      </w:r>
      <w:r>
        <w:rPr>
          <w:spacing w:val="11"/>
        </w:rPr>
        <w:t> </w:t>
      </w:r>
      <w:r>
        <w:rPr/>
        <w:t>DMSO</w:t>
      </w:r>
      <w:r>
        <w:rPr>
          <w:spacing w:val="11"/>
        </w:rPr>
        <w:t> </w:t>
      </w:r>
      <w:r>
        <w:rPr/>
        <w:t>(50µL)</w:t>
      </w:r>
      <w:r>
        <w:rPr>
          <w:spacing w:val="13"/>
        </w:rPr>
        <w:t> </w:t>
      </w:r>
      <w:r>
        <w:rPr/>
        <w:t>and</w:t>
      </w:r>
      <w:r>
        <w:rPr>
          <w:spacing w:val="12"/>
        </w:rPr>
        <w:t> </w:t>
      </w:r>
      <w:r>
        <w:rPr/>
        <w:t>chloroquine</w:t>
      </w:r>
      <w:r>
        <w:rPr>
          <w:spacing w:val="11"/>
        </w:rPr>
        <w:t> </w:t>
      </w:r>
      <w:r>
        <w:rPr/>
        <w:t>(50µL,</w:t>
      </w:r>
      <w:r>
        <w:rPr>
          <w:spacing w:val="14"/>
        </w:rPr>
        <w:t> </w:t>
      </w:r>
      <w:r>
        <w:rPr/>
        <w:t>2.5mM).</w:t>
      </w:r>
      <w:r>
        <w:rPr>
          <w:spacing w:val="14"/>
        </w:rPr>
        <w:t> </w:t>
      </w:r>
      <w:r>
        <w:rPr/>
        <w:t>Beta-hematin</w:t>
      </w:r>
    </w:p>
    <w:p>
      <w:pPr>
        <w:spacing w:after="0" w:line="480" w:lineRule="auto"/>
        <w:jc w:val="both"/>
        <w:sectPr>
          <w:type w:val="continuous"/>
          <w:pgSz w:w="11910" w:h="16840"/>
          <w:pgMar w:top="2020" w:bottom="280" w:left="1560" w:right="600"/>
        </w:sectPr>
      </w:pPr>
    </w:p>
    <w:p>
      <w:pPr>
        <w:pStyle w:val="BodyText"/>
        <w:spacing w:line="480" w:lineRule="auto" w:before="70"/>
        <w:ind w:left="312" w:right="691"/>
        <w:jc w:val="both"/>
      </w:pPr>
      <w:r>
        <w:rPr/>
        <w:t>synthesis was initiated by the addition of sodium acetate (100µL, 0.2M, pH 4.4). Plates</w:t>
      </w:r>
      <w:r>
        <w:rPr>
          <w:spacing w:val="1"/>
        </w:rPr>
        <w:t> </w:t>
      </w:r>
      <w:r>
        <w:rPr/>
        <w:t>were incubated at 37</w:t>
      </w:r>
      <w:r>
        <w:rPr>
          <w:vertAlign w:val="superscript"/>
        </w:rPr>
        <w:t>0</w:t>
      </w:r>
      <w:r>
        <w:rPr>
          <w:vertAlign w:val="baseline"/>
        </w:rPr>
        <w:t>C for 48 hrs to allow completion of the reaction and the resultant</w:t>
      </w:r>
      <w:r>
        <w:rPr>
          <w:spacing w:val="1"/>
          <w:vertAlign w:val="baseline"/>
        </w:rPr>
        <w:t> </w:t>
      </w:r>
      <w:r>
        <w:rPr>
          <w:vertAlign w:val="baseline"/>
        </w:rPr>
        <w:t>mixture centrifuged (4,000 rpm for 15 mins). The supernatant was discarded and the pellet</w:t>
      </w:r>
      <w:r>
        <w:rPr>
          <w:spacing w:val="-57"/>
          <w:vertAlign w:val="baseline"/>
        </w:rPr>
        <w:t> </w:t>
      </w:r>
      <w:r>
        <w:rPr>
          <w:vertAlign w:val="baseline"/>
        </w:rPr>
        <w:t>was washed</w:t>
      </w:r>
      <w:r>
        <w:rPr>
          <w:spacing w:val="1"/>
          <w:vertAlign w:val="baseline"/>
        </w:rPr>
        <w:t> </w:t>
      </w:r>
      <w:r>
        <w:rPr>
          <w:vertAlign w:val="baseline"/>
        </w:rPr>
        <w:t>three times with 200µL DMSO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finally dissolved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NaOH solution</w:t>
      </w:r>
      <w:r>
        <w:rPr>
          <w:spacing w:val="1"/>
          <w:vertAlign w:val="baseline"/>
        </w:rPr>
        <w:t> </w:t>
      </w:r>
      <w:r>
        <w:rPr>
          <w:vertAlign w:val="baseline"/>
        </w:rPr>
        <w:t>(200µL, 0.2N). The solubilized aggregates were further diluted 1:2 with NaOH solution</w:t>
      </w:r>
      <w:r>
        <w:rPr>
          <w:spacing w:val="1"/>
          <w:vertAlign w:val="baseline"/>
        </w:rPr>
        <w:t> </w:t>
      </w:r>
      <w:r>
        <w:rPr>
          <w:vertAlign w:val="baseline"/>
        </w:rPr>
        <w:t>(0.1N) and absorbance recorded at 405nm using a spectrophotometer. The results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expressed as percentage inhibition of beta-hematin synthesis compared to control using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equation</w:t>
      </w:r>
      <w:r>
        <w:rPr>
          <w:spacing w:val="1"/>
          <w:vertAlign w:val="baseline"/>
        </w:rPr>
        <w:t> </w:t>
      </w:r>
      <w:r>
        <w:rPr>
          <w:vertAlign w:val="baseline"/>
        </w:rPr>
        <w:t>below:</w:t>
      </w:r>
    </w:p>
    <w:p>
      <w:pPr>
        <w:pStyle w:val="BodyText"/>
        <w:spacing w:before="9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221"/>
          <w:footerReference w:type="default" r:id="rId222"/>
          <w:pgSz w:w="11910" w:h="16840"/>
          <w:pgMar w:header="0" w:footer="878" w:top="1200" w:bottom="1060" w:left="1560" w:right="600"/>
        </w:sectPr>
      </w:pPr>
    </w:p>
    <w:p>
      <w:pPr>
        <w:spacing w:line="172" w:lineRule="auto" w:before="93"/>
        <w:ind w:left="312" w:right="0" w:firstLine="0"/>
        <w:jc w:val="left"/>
        <w:rPr>
          <w:rFonts w:ascii="Cambria Math" w:hAnsi="Cambria Math" w:eastAsia="Cambria Math"/>
          <w:sz w:val="17"/>
        </w:rPr>
      </w:pPr>
      <w:r>
        <w:rPr/>
        <w:pict>
          <v:rect style="position:absolute;margin-left:166.869995pt;margin-top:14.669787pt;width:271.540pt;height:.72pt;mso-position-horizontal-relative:page;mso-position-vertical-relative:paragraph;z-index:-22203904" filled="true" fillcolor="#000000" stroked="false">
            <v:fill type="solid"/>
            <w10:wrap type="none"/>
          </v:rect>
        </w:pict>
      </w:r>
      <w:r>
        <w:rPr>
          <w:position w:val="-13"/>
          <w:sz w:val="24"/>
        </w:rPr>
        <w:t>%</w:t>
      </w:r>
      <w:r>
        <w:rPr>
          <w:spacing w:val="1"/>
          <w:position w:val="-13"/>
          <w:sz w:val="24"/>
        </w:rPr>
        <w:t> </w:t>
      </w:r>
      <w:r>
        <w:rPr>
          <w:position w:val="-13"/>
          <w:sz w:val="24"/>
        </w:rPr>
        <w:t>Inhibition</w:t>
      </w:r>
      <w:r>
        <w:rPr>
          <w:spacing w:val="-5"/>
          <w:position w:val="-13"/>
          <w:sz w:val="24"/>
        </w:rPr>
        <w:t> </w:t>
      </w:r>
      <w:r>
        <w:rPr>
          <w:position w:val="-13"/>
          <w:sz w:val="24"/>
        </w:rPr>
        <w:t>=</w:t>
      </w:r>
      <w:r>
        <w:rPr>
          <w:spacing w:val="6"/>
          <w:position w:val="-13"/>
          <w:sz w:val="24"/>
        </w:rPr>
        <w:t> </w:t>
      </w:r>
      <w:r>
        <w:rPr>
          <w:rFonts w:ascii="Cambria Math" w:hAnsi="Cambria Math" w:eastAsia="Cambria Math"/>
          <w:sz w:val="17"/>
        </w:rPr>
        <w:t>𝑎𝑏𝑠𝑜𝑟𝑏𝑎𝑛𝑐𝑒</w:t>
      </w:r>
      <w:r>
        <w:rPr>
          <w:rFonts w:ascii="Cambria Math" w:hAnsi="Cambria Math" w:eastAsia="Cambria Math"/>
          <w:spacing w:val="51"/>
          <w:sz w:val="17"/>
        </w:rPr>
        <w:t> </w:t>
      </w:r>
      <w:r>
        <w:rPr>
          <w:rFonts w:ascii="Cambria Math" w:hAnsi="Cambria Math" w:eastAsia="Cambria Math"/>
          <w:sz w:val="17"/>
        </w:rPr>
        <w:t>𝑜𝑓</w:t>
      </w:r>
      <w:r>
        <w:rPr>
          <w:rFonts w:ascii="Cambria Math" w:hAnsi="Cambria Math" w:eastAsia="Cambria Math"/>
          <w:spacing w:val="21"/>
          <w:sz w:val="17"/>
        </w:rPr>
        <w:t> </w:t>
      </w:r>
      <w:r>
        <w:rPr>
          <w:rFonts w:ascii="Cambria Math" w:hAnsi="Cambria Math" w:eastAsia="Cambria Math"/>
          <w:sz w:val="17"/>
        </w:rPr>
        <w:t>𝑛𝑒𝑔𝑎𝑡𝑖𝑣𝑒</w:t>
      </w:r>
      <w:r>
        <w:rPr>
          <w:rFonts w:ascii="Cambria Math" w:hAnsi="Cambria Math" w:eastAsia="Cambria Math"/>
          <w:spacing w:val="73"/>
          <w:sz w:val="17"/>
        </w:rPr>
        <w:t> </w:t>
      </w:r>
      <w:r>
        <w:rPr>
          <w:rFonts w:ascii="Cambria Math" w:hAnsi="Cambria Math" w:eastAsia="Cambria Math"/>
          <w:sz w:val="17"/>
        </w:rPr>
        <w:t>𝑐𝑜𝑛𝑡𝑟𝑜𝑙  </w:t>
      </w:r>
      <w:r>
        <w:rPr>
          <w:rFonts w:ascii="Cambria Math" w:hAnsi="Cambria Math" w:eastAsia="Cambria Math"/>
          <w:spacing w:val="22"/>
          <w:sz w:val="17"/>
        </w:rPr>
        <w:t> </w:t>
      </w:r>
      <w:r>
        <w:rPr>
          <w:rFonts w:ascii="Cambria Math" w:hAnsi="Cambria Math" w:eastAsia="Cambria Math"/>
          <w:sz w:val="17"/>
        </w:rPr>
        <w:t>−</w:t>
      </w:r>
      <w:r>
        <w:rPr>
          <w:rFonts w:ascii="Cambria Math" w:hAnsi="Cambria Math" w:eastAsia="Cambria Math"/>
          <w:spacing w:val="-1"/>
          <w:sz w:val="17"/>
        </w:rPr>
        <w:t> </w:t>
      </w:r>
      <w:r>
        <w:rPr>
          <w:rFonts w:ascii="Cambria Math" w:hAnsi="Cambria Math" w:eastAsia="Cambria Math"/>
          <w:sz w:val="17"/>
        </w:rPr>
        <w:t>𝑎𝑏𝑠𝑜𝑟𝑏𝑎𝑛𝑐𝑒  </w:t>
      </w:r>
      <w:r>
        <w:rPr>
          <w:rFonts w:ascii="Cambria Math" w:hAnsi="Cambria Math" w:eastAsia="Cambria Math"/>
          <w:spacing w:val="11"/>
          <w:sz w:val="17"/>
        </w:rPr>
        <w:t> </w:t>
      </w:r>
      <w:r>
        <w:rPr>
          <w:rFonts w:ascii="Cambria Math" w:hAnsi="Cambria Math" w:eastAsia="Cambria Math"/>
          <w:sz w:val="17"/>
        </w:rPr>
        <w:t>𝑜𝑓</w:t>
      </w:r>
      <w:r>
        <w:rPr>
          <w:rFonts w:ascii="Cambria Math" w:hAnsi="Cambria Math" w:eastAsia="Cambria Math"/>
          <w:spacing w:val="21"/>
          <w:sz w:val="17"/>
        </w:rPr>
        <w:t> </w:t>
      </w:r>
      <w:r>
        <w:rPr>
          <w:rFonts w:ascii="Cambria Math" w:hAnsi="Cambria Math" w:eastAsia="Cambria Math"/>
          <w:sz w:val="17"/>
        </w:rPr>
        <w:t>𝑡𝑒𝑠𝑡</w:t>
      </w:r>
      <w:r>
        <w:rPr>
          <w:rFonts w:ascii="Cambria Math" w:hAnsi="Cambria Math" w:eastAsia="Cambria Math"/>
          <w:spacing w:val="32"/>
          <w:sz w:val="17"/>
        </w:rPr>
        <w:t> </w:t>
      </w:r>
      <w:r>
        <w:rPr>
          <w:rFonts w:ascii="Cambria Math" w:hAnsi="Cambria Math" w:eastAsia="Cambria Math"/>
          <w:sz w:val="17"/>
        </w:rPr>
        <w:t>𝑐𝑜𝑚𝑝𝑜𝑢𝑛𝑑</w:t>
      </w:r>
    </w:p>
    <w:p>
      <w:pPr>
        <w:spacing w:line="159" w:lineRule="exact" w:before="0"/>
        <w:ind w:left="3150" w:right="0" w:firstLine="0"/>
        <w:jc w:val="left"/>
        <w:rPr>
          <w:rFonts w:ascii="Cambria Math" w:eastAsia="Cambria Math"/>
          <w:sz w:val="17"/>
        </w:rPr>
      </w:pPr>
      <w:r>
        <w:rPr>
          <w:rFonts w:ascii="Cambria Math" w:eastAsia="Cambria Math"/>
          <w:sz w:val="17"/>
        </w:rPr>
        <w:t>𝑎𝑏𝑠𝑜𝑟𝑏𝑎𝑛𝑐𝑒</w:t>
      </w:r>
      <w:r>
        <w:rPr>
          <w:rFonts w:ascii="Cambria Math" w:eastAsia="Cambria Math"/>
          <w:spacing w:val="57"/>
          <w:sz w:val="17"/>
        </w:rPr>
        <w:t> </w:t>
      </w:r>
      <w:r>
        <w:rPr>
          <w:rFonts w:ascii="Cambria Math" w:eastAsia="Cambria Math"/>
          <w:sz w:val="17"/>
        </w:rPr>
        <w:t>𝑜𝑓</w:t>
      </w:r>
      <w:r>
        <w:rPr>
          <w:rFonts w:ascii="Cambria Math" w:eastAsia="Cambria Math"/>
          <w:spacing w:val="21"/>
          <w:sz w:val="17"/>
        </w:rPr>
        <w:t> </w:t>
      </w:r>
      <w:r>
        <w:rPr>
          <w:rFonts w:ascii="Cambria Math" w:eastAsia="Cambria Math"/>
          <w:sz w:val="17"/>
        </w:rPr>
        <w:t>𝑛𝑒𝑔𝑎𝑡𝑖𝑣𝑒</w:t>
      </w:r>
      <w:r>
        <w:rPr>
          <w:rFonts w:ascii="Cambria Math" w:eastAsia="Cambria Math"/>
          <w:spacing w:val="74"/>
          <w:sz w:val="17"/>
        </w:rPr>
        <w:t> </w:t>
      </w:r>
      <w:r>
        <w:rPr>
          <w:rFonts w:ascii="Cambria Math" w:eastAsia="Cambria Math"/>
          <w:sz w:val="17"/>
        </w:rPr>
        <w:t>𝑐𝑜𝑛𝑡𝑟𝑜𝑙</w:t>
      </w:r>
    </w:p>
    <w:p>
      <w:pPr>
        <w:pStyle w:val="BodyText"/>
        <w:spacing w:before="142"/>
        <w:ind w:left="215"/>
        <w:rPr>
          <w:rFonts w:ascii="Cambria Math" w:hAnsi="Cambria Math"/>
        </w:rPr>
      </w:pPr>
      <w:r>
        <w:rPr/>
        <w:br w:type="column"/>
      </w:r>
      <w:r>
        <w:rPr>
          <w:rFonts w:ascii="Cambria Math" w:hAnsi="Cambria Math"/>
        </w:rPr>
        <w:t>×</w:t>
      </w:r>
      <w:r>
        <w:rPr>
          <w:rFonts w:ascii="Cambria Math" w:hAnsi="Cambria Math"/>
          <w:spacing w:val="3"/>
        </w:rPr>
        <w:t> </w:t>
      </w:r>
      <w:r>
        <w:rPr>
          <w:rFonts w:ascii="Cambria Math" w:hAnsi="Cambria Math"/>
        </w:rPr>
        <w:t>100</w:t>
      </w:r>
    </w:p>
    <w:p>
      <w:pPr>
        <w:spacing w:after="0"/>
        <w:rPr>
          <w:rFonts w:ascii="Cambria Math" w:hAnsi="Cambria Math"/>
        </w:rPr>
        <w:sectPr>
          <w:type w:val="continuous"/>
          <w:pgSz w:w="11910" w:h="16840"/>
          <w:pgMar w:top="2020" w:bottom="280" w:left="1560" w:right="600"/>
          <w:cols w:num="2" w:equalWidth="0">
            <w:col w:w="7112" w:space="40"/>
            <w:col w:w="2598"/>
          </w:cols>
        </w:sectPr>
      </w:pPr>
    </w:p>
    <w:p>
      <w:pPr>
        <w:pStyle w:val="BodyText"/>
        <w:rPr>
          <w:rFonts w:ascii="Cambria Math"/>
          <w:sz w:val="20"/>
        </w:rPr>
      </w:pPr>
    </w:p>
    <w:p>
      <w:pPr>
        <w:pStyle w:val="BodyText"/>
        <w:spacing w:before="2"/>
        <w:rPr>
          <w:rFonts w:ascii="Cambria Math"/>
          <w:sz w:val="21"/>
        </w:rPr>
      </w:pPr>
    </w:p>
    <w:p>
      <w:pPr>
        <w:pStyle w:val="Heading1"/>
        <w:numPr>
          <w:ilvl w:val="2"/>
          <w:numId w:val="15"/>
        </w:numPr>
        <w:tabs>
          <w:tab w:pos="856" w:val="left" w:leader="none"/>
        </w:tabs>
        <w:spacing w:line="240" w:lineRule="auto" w:before="0" w:after="0"/>
        <w:ind w:left="855" w:right="0" w:hanging="544"/>
        <w:jc w:val="both"/>
      </w:pPr>
      <w:bookmarkStart w:name="_TOC_250045" w:id="48"/>
      <w:r>
        <w:rPr/>
        <w:t>Data</w:t>
      </w:r>
      <w:r>
        <w:rPr>
          <w:spacing w:val="-2"/>
        </w:rPr>
        <w:t> </w:t>
      </w:r>
      <w:bookmarkEnd w:id="48"/>
      <w:r>
        <w:rPr/>
        <w:t>analysis</w:t>
      </w:r>
    </w:p>
    <w:p>
      <w:pPr>
        <w:pStyle w:val="BodyText"/>
        <w:spacing w:line="480" w:lineRule="auto" w:before="195"/>
        <w:ind w:left="312" w:right="697"/>
        <w:jc w:val="both"/>
      </w:pPr>
      <w:r>
        <w:rPr/>
        <w:t>Statistical software (SPSS) was used to determine the mean parasitemia level and standard</w:t>
      </w:r>
      <w:r>
        <w:rPr>
          <w:spacing w:val="-57"/>
        </w:rPr>
        <w:t> </w:t>
      </w:r>
      <w:r>
        <w:rPr/>
        <w:t>error of mean. The mean values of the control group were compared with the mean values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one-way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variance</w:t>
      </w:r>
      <w:r>
        <w:rPr>
          <w:spacing w:val="1"/>
        </w:rPr>
        <w:t> </w:t>
      </w:r>
      <w:r>
        <w:rPr/>
        <w:t>(ANOVA) test, followed by Benferroni post-hoc test for statistical significance and P</w:t>
      </w:r>
      <w:r>
        <w:rPr>
          <w:spacing w:val="1"/>
        </w:rPr>
        <w:t> </w:t>
      </w:r>
      <w:r>
        <w:rPr/>
        <w:t>values &lt;0.05 were considered significant. % parasitemia suppression for each group was</w:t>
      </w:r>
      <w:r>
        <w:rPr>
          <w:spacing w:val="1"/>
        </w:rPr>
        <w:t> </w:t>
      </w:r>
      <w:r>
        <w:rPr/>
        <w:t>computed.</w:t>
      </w:r>
    </w:p>
    <w:p>
      <w:pPr>
        <w:pStyle w:val="Heading1"/>
        <w:numPr>
          <w:ilvl w:val="2"/>
          <w:numId w:val="15"/>
        </w:numPr>
        <w:tabs>
          <w:tab w:pos="1033" w:val="left" w:leader="none"/>
        </w:tabs>
        <w:spacing w:line="240" w:lineRule="auto" w:before="207" w:after="0"/>
        <w:ind w:left="1033" w:right="0" w:hanging="721"/>
        <w:jc w:val="both"/>
      </w:pPr>
      <w:bookmarkStart w:name="_TOC_250044" w:id="49"/>
      <w:r>
        <w:rPr/>
        <w:t>Computational</w:t>
      </w:r>
      <w:r>
        <w:rPr>
          <w:spacing w:val="-5"/>
        </w:rPr>
        <w:t> </w:t>
      </w:r>
      <w:bookmarkEnd w:id="49"/>
      <w:r>
        <w:rPr/>
        <w:t>studies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195" w:after="0"/>
        <w:ind w:left="1033" w:right="0" w:hanging="721"/>
        <w:jc w:val="left"/>
        <w:rPr>
          <w:i/>
          <w:sz w:val="24"/>
        </w:rPr>
      </w:pPr>
      <w:r>
        <w:rPr>
          <w:i/>
          <w:sz w:val="24"/>
        </w:rPr>
        <w:t>Protein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preparation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8"/>
        <w:ind w:left="312" w:right="690"/>
        <w:jc w:val="both"/>
      </w:pPr>
      <w:r>
        <w:rPr/>
        <w:t>The crystal structures were obtained from protein data bank as mentioned earlier. Only</w:t>
      </w:r>
      <w:r>
        <w:rPr>
          <w:spacing w:val="1"/>
        </w:rPr>
        <w:t> </w:t>
      </w:r>
      <w:r>
        <w:rPr/>
        <w:t>protein crystallized from </w:t>
      </w:r>
      <w:r>
        <w:rPr>
          <w:i/>
        </w:rPr>
        <w:t>P. falciparum </w:t>
      </w:r>
      <w:r>
        <w:rPr/>
        <w:t>with available published data were selected. Other</w:t>
      </w:r>
      <w:r>
        <w:rPr>
          <w:spacing w:val="1"/>
        </w:rPr>
        <w:t> </w:t>
      </w:r>
      <w:r>
        <w:rPr/>
        <w:t>filters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proteins</w:t>
      </w:r>
      <w:r>
        <w:rPr>
          <w:spacing w:val="1"/>
        </w:rPr>
        <w:t> </w:t>
      </w:r>
      <w:r>
        <w:rPr/>
        <w:t>co-crystallized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molecule</w:t>
      </w:r>
      <w:r>
        <w:rPr>
          <w:spacing w:val="1"/>
        </w:rPr>
        <w:t> </w:t>
      </w:r>
      <w:r>
        <w:rPr/>
        <w:t>inhibitors</w:t>
      </w:r>
      <w:r>
        <w:rPr>
          <w:spacing w:val="1"/>
        </w:rPr>
        <w:t> </w:t>
      </w:r>
      <w:r>
        <w:rPr/>
        <w:t>(Plm-IV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exception).</w:t>
      </w:r>
    </w:p>
    <w:p>
      <w:pPr>
        <w:pStyle w:val="BodyText"/>
        <w:spacing w:line="480" w:lineRule="auto" w:before="198"/>
        <w:ind w:left="312" w:right="701"/>
        <w:jc w:val="both"/>
      </w:pPr>
      <w:r>
        <w:rPr/>
        <w:t>Prior to docking, residues surrounding the ligands at distance of ˂5.0Å were noted and, all</w:t>
      </w:r>
      <w:r>
        <w:rPr>
          <w:spacing w:val="-57"/>
        </w:rPr>
        <w:t> </w:t>
      </w:r>
      <w:r>
        <w:rPr/>
        <w:t>crystallographic</w:t>
      </w:r>
      <w:r>
        <w:rPr>
          <w:spacing w:val="13"/>
        </w:rPr>
        <w:t> </w:t>
      </w:r>
      <w:r>
        <w:rPr/>
        <w:t>water</w:t>
      </w:r>
      <w:r>
        <w:rPr>
          <w:spacing w:val="15"/>
        </w:rPr>
        <w:t> </w:t>
      </w:r>
      <w:r>
        <w:rPr/>
        <w:t>molecules,</w:t>
      </w:r>
      <w:r>
        <w:rPr>
          <w:spacing w:val="20"/>
        </w:rPr>
        <w:t> </w:t>
      </w:r>
      <w:r>
        <w:rPr/>
        <w:t>ions</w:t>
      </w:r>
      <w:r>
        <w:rPr>
          <w:spacing w:val="11"/>
        </w:rPr>
        <w:t> </w:t>
      </w:r>
      <w:r>
        <w:rPr/>
        <w:t>and</w:t>
      </w:r>
      <w:r>
        <w:rPr>
          <w:spacing w:val="18"/>
        </w:rPr>
        <w:t> </w:t>
      </w:r>
      <w:r>
        <w:rPr/>
        <w:t>bound</w:t>
      </w:r>
      <w:r>
        <w:rPr>
          <w:spacing w:val="18"/>
        </w:rPr>
        <w:t> </w:t>
      </w:r>
      <w:r>
        <w:rPr/>
        <w:t>ligands</w:t>
      </w:r>
      <w:r>
        <w:rPr>
          <w:spacing w:val="11"/>
        </w:rPr>
        <w:t> </w:t>
      </w:r>
      <w:r>
        <w:rPr/>
        <w:t>were</w:t>
      </w:r>
      <w:r>
        <w:rPr>
          <w:spacing w:val="13"/>
        </w:rPr>
        <w:t> </w:t>
      </w:r>
      <w:r>
        <w:rPr/>
        <w:t>removed</w:t>
      </w:r>
      <w:r>
        <w:rPr>
          <w:spacing w:val="13"/>
        </w:rPr>
        <w:t> </w:t>
      </w:r>
      <w:r>
        <w:rPr/>
        <w:t>on</w:t>
      </w:r>
      <w:r>
        <w:rPr>
          <w:spacing w:val="10"/>
        </w:rPr>
        <w:t> </w:t>
      </w:r>
      <w:r>
        <w:rPr/>
        <w:t>all</w:t>
      </w:r>
      <w:r>
        <w:rPr>
          <w:spacing w:val="10"/>
        </w:rPr>
        <w:t> </w:t>
      </w:r>
      <w:r>
        <w:rPr/>
        <w:t>3D</w:t>
      </w:r>
    </w:p>
    <w:p>
      <w:pPr>
        <w:spacing w:after="0" w:line="480" w:lineRule="auto"/>
        <w:jc w:val="both"/>
        <w:sectPr>
          <w:type w:val="continuous"/>
          <w:pgSz w:w="11910" w:h="16840"/>
          <w:pgMar w:top="2020" w:bottom="28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structures obtained from PDB using Chimera UCSF (Pettersen </w:t>
      </w:r>
      <w:r>
        <w:rPr>
          <w:i/>
        </w:rPr>
        <w:t>et al., </w:t>
      </w:r>
      <w:r>
        <w:rPr/>
        <w:t>2004). The separated</w:t>
      </w:r>
      <w:r>
        <w:rPr>
          <w:spacing w:val="-57"/>
        </w:rPr>
        <w:t> </w:t>
      </w:r>
      <w:r>
        <w:rPr/>
        <w:t>co-crystallized ligands were prepared on Chimera and saved as Lig.mol, and the isolated</w:t>
      </w:r>
      <w:r>
        <w:rPr>
          <w:spacing w:val="1"/>
        </w:rPr>
        <w:t> </w:t>
      </w:r>
      <w:r>
        <w:rPr/>
        <w:t>receptors prepared too</w:t>
      </w:r>
      <w:r>
        <w:rPr>
          <w:spacing w:val="1"/>
        </w:rPr>
        <w:t> </w:t>
      </w:r>
      <w:r>
        <w:rPr/>
        <w:t>and saved as rec.pdb. The output</w:t>
      </w:r>
      <w:r>
        <w:rPr>
          <w:spacing w:val="1"/>
        </w:rPr>
        <w:t> </w:t>
      </w:r>
      <w:r>
        <w:rPr/>
        <w:t>files of Chimera was input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ADT (Sanner, Olson, &amp; Spehner, 1996), were Lig.mol and rec.pdb were edited by adding</w:t>
      </w:r>
      <w:r>
        <w:rPr>
          <w:spacing w:val="1"/>
        </w:rPr>
        <w:t> </w:t>
      </w:r>
      <w:r>
        <w:rPr/>
        <w:t>polar</w:t>
      </w:r>
      <w:r>
        <w:rPr>
          <w:spacing w:val="3"/>
        </w:rPr>
        <w:t> </w:t>
      </w:r>
      <w:r>
        <w:rPr/>
        <w:t>hydrogen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Gastier</w:t>
      </w:r>
      <w:r>
        <w:rPr>
          <w:spacing w:val="2"/>
        </w:rPr>
        <w:t> </w:t>
      </w:r>
      <w:r>
        <w:rPr/>
        <w:t>charges</w:t>
      </w:r>
      <w:r>
        <w:rPr>
          <w:spacing w:val="-1"/>
        </w:rPr>
        <w:t> </w:t>
      </w:r>
      <w:r>
        <w:rPr/>
        <w:t>then</w:t>
      </w:r>
      <w:r>
        <w:rPr>
          <w:spacing w:val="-3"/>
        </w:rPr>
        <w:t> </w:t>
      </w:r>
      <w:r>
        <w:rPr/>
        <w:t>saved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pdbqt</w:t>
      </w:r>
      <w:r>
        <w:rPr>
          <w:spacing w:val="7"/>
        </w:rPr>
        <w:t> </w:t>
      </w:r>
      <w:r>
        <w:rPr/>
        <w:t>files.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202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Ligand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structure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preparation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2"/>
        <w:jc w:val="both"/>
      </w:pP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ligands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(17chalcones)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in-house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mentioned earlier. The 2D structures were generated using Chem Draw. And, Spartan was</w:t>
      </w:r>
      <w:r>
        <w:rPr>
          <w:spacing w:val="1"/>
        </w:rPr>
        <w:t> </w:t>
      </w:r>
      <w:r>
        <w:rPr/>
        <w:t>used to convert the 2D structures to 3D. Geometrical optimization using the AMI semi-</w:t>
      </w:r>
      <w:r>
        <w:rPr>
          <w:spacing w:val="1"/>
        </w:rPr>
        <w:t> </w:t>
      </w:r>
      <w:r>
        <w:rPr/>
        <w:t>empirical method was performed on all the compounds using the Spartan software and</w:t>
      </w:r>
      <w:r>
        <w:rPr>
          <w:spacing w:val="1"/>
        </w:rPr>
        <w:t> </w:t>
      </w:r>
      <w:r>
        <w:rPr/>
        <w:t>saved as mol2 file. Hydrogen and Gasteir charges were added on ADT and mlo2 file</w:t>
      </w:r>
      <w:r>
        <w:rPr>
          <w:spacing w:val="1"/>
        </w:rPr>
        <w:t> </w:t>
      </w:r>
      <w:r>
        <w:rPr/>
        <w:t>converted</w:t>
      </w:r>
      <w:r>
        <w:rPr>
          <w:spacing w:val="-4"/>
        </w:rPr>
        <w:t> </w:t>
      </w:r>
      <w:r>
        <w:rPr/>
        <w:t>to</w:t>
      </w:r>
      <w:r>
        <w:rPr>
          <w:spacing w:val="7"/>
        </w:rPr>
        <w:t> </w:t>
      </w:r>
      <w:r>
        <w:rPr/>
        <w:t>pdbqt.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0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Evaluation of docking methodologies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6"/>
        <w:jc w:val="both"/>
      </w:pPr>
      <w:r>
        <w:rPr/>
        <w:t>Docking procedure for each enzyme was validated prior to docking the test compounds by</w:t>
      </w:r>
      <w:r>
        <w:rPr>
          <w:spacing w:val="-57"/>
        </w:rPr>
        <w:t> </w:t>
      </w:r>
      <w:r>
        <w:rPr/>
        <w:t>separating the co-crystallized ligand from the enzyme crystal structure and re-docking it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set-up</w:t>
      </w:r>
      <w:r>
        <w:rPr>
          <w:spacing w:val="1"/>
        </w:rPr>
        <w:t> </w:t>
      </w:r>
      <w:r>
        <w:rPr/>
        <w:t>parameters.</w:t>
      </w:r>
      <w:r>
        <w:rPr>
          <w:spacing w:val="1"/>
        </w:rPr>
        <w:t> </w:t>
      </w:r>
      <w:r>
        <w:rPr/>
        <w:t>Procedure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conformation</w:t>
      </w:r>
      <w:r>
        <w:rPr>
          <w:spacing w:val="1"/>
        </w:rPr>
        <w:t> </w:t>
      </w:r>
      <w:r>
        <w:rPr/>
        <w:t>superimposable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geometrical conformation of the co-crystallized ligand in the active site was chosen (de</w:t>
      </w:r>
      <w:r>
        <w:rPr>
          <w:spacing w:val="1"/>
        </w:rPr>
        <w:t> </w:t>
      </w:r>
      <w:r>
        <w:rPr/>
        <w:t>Oliveira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2013).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202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Molecular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docking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89"/>
        <w:jc w:val="both"/>
      </w:pPr>
      <w:r>
        <w:rPr/>
        <w:t>Molecular</w:t>
      </w:r>
      <w:r>
        <w:rPr>
          <w:spacing w:val="1"/>
        </w:rPr>
        <w:t> </w:t>
      </w:r>
      <w:r>
        <w:rPr/>
        <w:t>docking was performed considering a</w:t>
      </w:r>
      <w:r>
        <w:rPr>
          <w:spacing w:val="1"/>
        </w:rPr>
        <w:t> </w:t>
      </w:r>
      <w:r>
        <w:rPr/>
        <w:t>flexible</w:t>
      </w:r>
      <w:r>
        <w:rPr>
          <w:spacing w:val="60"/>
        </w:rPr>
        <w:t> </w:t>
      </w:r>
      <w:r>
        <w:rPr/>
        <w:t>ligand and rigid receptor (Eder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Oliveira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2013; Syahri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2017). Docking</w:t>
      </w:r>
      <w:r>
        <w:rPr>
          <w:spacing w:val="1"/>
        </w:rPr>
        <w:t> </w:t>
      </w:r>
      <w:r>
        <w:rPr/>
        <w:t>was carried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virtual</w:t>
      </w:r>
      <w:r>
        <w:rPr>
          <w:spacing w:val="1"/>
        </w:rPr>
        <w:t> </w:t>
      </w:r>
      <w:r>
        <w:rPr/>
        <w:t>screening</w:t>
      </w:r>
      <w:r>
        <w:rPr>
          <w:spacing w:val="37"/>
        </w:rPr>
        <w:t> </w:t>
      </w:r>
      <w:r>
        <w:rPr/>
        <w:t>software</w:t>
      </w:r>
      <w:r>
        <w:rPr>
          <w:spacing w:val="37"/>
        </w:rPr>
        <w:t> </w:t>
      </w:r>
      <w:r>
        <w:rPr/>
        <w:t>AutoDock</w:t>
      </w:r>
      <w:r>
        <w:rPr>
          <w:spacing w:val="38"/>
        </w:rPr>
        <w:t> </w:t>
      </w:r>
      <w:r>
        <w:rPr/>
        <w:t>vina</w:t>
      </w:r>
      <w:r>
        <w:rPr>
          <w:spacing w:val="37"/>
        </w:rPr>
        <w:t> </w:t>
      </w:r>
      <w:r>
        <w:rPr/>
        <w:t>(Trott</w:t>
      </w:r>
      <w:r>
        <w:rPr>
          <w:spacing w:val="39"/>
        </w:rPr>
        <w:t> </w:t>
      </w:r>
      <w:r>
        <w:rPr/>
        <w:t>and</w:t>
      </w:r>
      <w:r>
        <w:rPr>
          <w:spacing w:val="38"/>
        </w:rPr>
        <w:t> </w:t>
      </w:r>
      <w:r>
        <w:rPr/>
        <w:t>Olson,</w:t>
      </w:r>
      <w:r>
        <w:rPr>
          <w:spacing w:val="40"/>
        </w:rPr>
        <w:t> </w:t>
      </w:r>
      <w:r>
        <w:rPr/>
        <w:t>2010).</w:t>
      </w:r>
      <w:r>
        <w:rPr>
          <w:spacing w:val="35"/>
        </w:rPr>
        <w:t> </w:t>
      </w:r>
      <w:r>
        <w:rPr/>
        <w:t>Seventeen</w:t>
      </w:r>
      <w:r>
        <w:rPr>
          <w:spacing w:val="33"/>
        </w:rPr>
        <w:t> </w:t>
      </w:r>
      <w:r>
        <w:rPr/>
        <w:t>(17)</w:t>
      </w:r>
      <w:r>
        <w:rPr>
          <w:spacing w:val="40"/>
        </w:rPr>
        <w:t> </w:t>
      </w:r>
      <w:r>
        <w:rPr/>
        <w:t>substituted</w:t>
      </w:r>
    </w:p>
    <w:p>
      <w:pPr>
        <w:spacing w:after="0" w:line="480" w:lineRule="auto"/>
        <w:jc w:val="both"/>
        <w:sectPr>
          <w:headerReference w:type="default" r:id="rId223"/>
          <w:footerReference w:type="default" r:id="rId224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3"/>
        <w:jc w:val="both"/>
      </w:pPr>
      <w:r>
        <w:rPr/>
        <w:t>chalcones were docked on the active site of each enzyme. The grid box parameter for each</w:t>
      </w:r>
      <w:r>
        <w:rPr>
          <w:spacing w:val="-57"/>
        </w:rPr>
        <w:t> </w:t>
      </w:r>
      <w:r>
        <w:rPr/>
        <w:t>enzyme</w:t>
      </w:r>
      <w:r>
        <w:rPr>
          <w:spacing w:val="5"/>
        </w:rPr>
        <w:t> </w:t>
      </w:r>
      <w:r>
        <w:rPr/>
        <w:t>is as shown</w:t>
      </w:r>
      <w:r>
        <w:rPr>
          <w:spacing w:val="-5"/>
        </w:rPr>
        <w:t> </w:t>
      </w:r>
      <w:r>
        <w:rPr/>
        <w:t>on theTable</w:t>
      </w:r>
      <w:r>
        <w:rPr>
          <w:spacing w:val="6"/>
        </w:rPr>
        <w:t> </w:t>
      </w:r>
      <w:r>
        <w:rPr/>
        <w:t>below:</w:t>
      </w:r>
    </w:p>
    <w:p>
      <w:pPr>
        <w:pStyle w:val="Heading1"/>
        <w:spacing w:before="207"/>
        <w:jc w:val="both"/>
      </w:pPr>
      <w:r>
        <w:rPr/>
        <w:t>Table</w:t>
      </w:r>
      <w:r>
        <w:rPr>
          <w:spacing w:val="-3"/>
        </w:rPr>
        <w:t> </w:t>
      </w:r>
      <w:r>
        <w:rPr/>
        <w:t>3.2: Grid-box</w:t>
      </w:r>
      <w:r>
        <w:rPr>
          <w:spacing w:val="-6"/>
        </w:rPr>
        <w:t> </w:t>
      </w:r>
      <w:r>
        <w:rPr/>
        <w:t>parameters for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/>
        <w:t>enzymes</w:t>
      </w:r>
    </w:p>
    <w:tbl>
      <w:tblPr>
        <w:tblW w:w="0" w:type="auto"/>
        <w:jc w:val="left"/>
        <w:tblInd w:w="3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0"/>
        <w:gridCol w:w="1514"/>
        <w:gridCol w:w="595"/>
        <w:gridCol w:w="1008"/>
        <w:gridCol w:w="1510"/>
        <w:gridCol w:w="1335"/>
        <w:gridCol w:w="1820"/>
      </w:tblGrid>
      <w:tr>
        <w:trPr>
          <w:trHeight w:val="516" w:hRule="atLeast"/>
        </w:trPr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Enzyme</w:t>
            </w:r>
          </w:p>
        </w:tc>
        <w:tc>
          <w:tcPr>
            <w:tcW w:w="15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Gridbox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size</w:t>
            </w:r>
          </w:p>
        </w:tc>
        <w:tc>
          <w:tcPr>
            <w:tcW w:w="59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Center</w:t>
            </w:r>
          </w:p>
        </w:tc>
        <w:tc>
          <w:tcPr>
            <w:tcW w:w="133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82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90" w:hRule="atLeast"/>
        </w:trPr>
        <w:tc>
          <w:tcPr>
            <w:tcW w:w="96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3"/>
              <w:ind w:left="139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X</w:t>
            </w:r>
          </w:p>
        </w:tc>
        <w:tc>
          <w:tcPr>
            <w:tcW w:w="59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3"/>
              <w:ind w:left="80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  <w:tc>
          <w:tcPr>
            <w:tcW w:w="10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3"/>
              <w:ind w:left="277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  <w:tc>
          <w:tcPr>
            <w:tcW w:w="15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3"/>
              <w:ind w:left="494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X</w:t>
            </w:r>
          </w:p>
        </w:tc>
        <w:tc>
          <w:tcPr>
            <w:tcW w:w="13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3"/>
              <w:ind w:left="396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Y</w:t>
            </w:r>
          </w:p>
        </w:tc>
        <w:tc>
          <w:tcPr>
            <w:tcW w:w="18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33"/>
              <w:ind w:left="319"/>
              <w:rPr>
                <w:b/>
                <w:sz w:val="24"/>
              </w:rPr>
            </w:pPr>
            <w:r>
              <w:rPr>
                <w:b/>
                <w:sz w:val="24"/>
              </w:rPr>
              <w:t>Z</w:t>
            </w:r>
          </w:p>
        </w:tc>
      </w:tr>
      <w:tr>
        <w:trPr>
          <w:trHeight w:val="514" w:hRule="atLeast"/>
        </w:trPr>
        <w:tc>
          <w:tcPr>
            <w:tcW w:w="9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FP-2</w:t>
            </w:r>
          </w:p>
        </w:tc>
        <w:tc>
          <w:tcPr>
            <w:tcW w:w="15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5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80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00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277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5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-36.75</w:t>
            </w:r>
          </w:p>
        </w:tc>
        <w:tc>
          <w:tcPr>
            <w:tcW w:w="133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396"/>
              <w:rPr>
                <w:b/>
                <w:sz w:val="24"/>
              </w:rPr>
            </w:pPr>
            <w:r>
              <w:rPr>
                <w:b/>
                <w:sz w:val="24"/>
              </w:rPr>
              <w:t>31.05</w:t>
            </w:r>
          </w:p>
        </w:tc>
        <w:tc>
          <w:tcPr>
            <w:tcW w:w="18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319"/>
              <w:rPr>
                <w:b/>
                <w:sz w:val="24"/>
              </w:rPr>
            </w:pPr>
            <w:r>
              <w:rPr>
                <w:b/>
                <w:sz w:val="24"/>
              </w:rPr>
              <w:t>-47.07</w:t>
            </w:r>
          </w:p>
        </w:tc>
      </w:tr>
      <w:tr>
        <w:trPr>
          <w:trHeight w:val="751" w:hRule="atLeast"/>
        </w:trPr>
        <w:tc>
          <w:tcPr>
            <w:tcW w:w="960" w:type="dxa"/>
          </w:tcPr>
          <w:p>
            <w:pPr>
              <w:pStyle w:val="TableParagraph"/>
              <w:spacing w:before="231"/>
              <w:rPr>
                <w:b/>
                <w:sz w:val="24"/>
              </w:rPr>
            </w:pPr>
            <w:r>
              <w:rPr>
                <w:b/>
                <w:sz w:val="24"/>
              </w:rPr>
              <w:t>FP-3</w:t>
            </w:r>
          </w:p>
        </w:tc>
        <w:tc>
          <w:tcPr>
            <w:tcW w:w="1514" w:type="dxa"/>
          </w:tcPr>
          <w:p>
            <w:pPr>
              <w:pStyle w:val="TableParagraph"/>
              <w:spacing w:before="231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595" w:type="dxa"/>
          </w:tcPr>
          <w:p>
            <w:pPr>
              <w:pStyle w:val="TableParagraph"/>
              <w:spacing w:before="231"/>
              <w:ind w:left="80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008" w:type="dxa"/>
          </w:tcPr>
          <w:p>
            <w:pPr>
              <w:pStyle w:val="TableParagraph"/>
              <w:spacing w:before="231"/>
              <w:ind w:left="277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510" w:type="dxa"/>
          </w:tcPr>
          <w:p>
            <w:pPr>
              <w:pStyle w:val="TableParagraph"/>
              <w:spacing w:before="231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5.96</w:t>
            </w:r>
          </w:p>
        </w:tc>
        <w:tc>
          <w:tcPr>
            <w:tcW w:w="1335" w:type="dxa"/>
          </w:tcPr>
          <w:p>
            <w:pPr>
              <w:pStyle w:val="TableParagraph"/>
              <w:spacing w:before="231"/>
              <w:ind w:left="396"/>
              <w:rPr>
                <w:b/>
                <w:sz w:val="24"/>
              </w:rPr>
            </w:pPr>
            <w:r>
              <w:rPr>
                <w:b/>
                <w:sz w:val="24"/>
              </w:rPr>
              <w:t>-22.35</w:t>
            </w:r>
          </w:p>
        </w:tc>
        <w:tc>
          <w:tcPr>
            <w:tcW w:w="1820" w:type="dxa"/>
          </w:tcPr>
          <w:p>
            <w:pPr>
              <w:pStyle w:val="TableParagraph"/>
              <w:spacing w:before="231"/>
              <w:ind w:left="319"/>
              <w:rPr>
                <w:b/>
                <w:sz w:val="24"/>
              </w:rPr>
            </w:pPr>
            <w:r>
              <w:rPr>
                <w:b/>
                <w:sz w:val="24"/>
              </w:rPr>
              <w:t>50.07</w:t>
            </w:r>
          </w:p>
        </w:tc>
      </w:tr>
      <w:tr>
        <w:trPr>
          <w:trHeight w:val="753" w:hRule="atLeast"/>
        </w:trPr>
        <w:tc>
          <w:tcPr>
            <w:tcW w:w="96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Plm-II</w:t>
            </w:r>
          </w:p>
        </w:tc>
        <w:tc>
          <w:tcPr>
            <w:tcW w:w="1514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595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80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1008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277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151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16.22</w:t>
            </w:r>
          </w:p>
        </w:tc>
        <w:tc>
          <w:tcPr>
            <w:tcW w:w="1335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396"/>
              <w:rPr>
                <w:b/>
                <w:sz w:val="24"/>
              </w:rPr>
            </w:pPr>
            <w:r>
              <w:rPr>
                <w:b/>
                <w:sz w:val="24"/>
              </w:rPr>
              <w:t>6.85</w:t>
            </w:r>
          </w:p>
        </w:tc>
        <w:tc>
          <w:tcPr>
            <w:tcW w:w="1820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ind w:left="319"/>
              <w:rPr>
                <w:b/>
                <w:sz w:val="24"/>
              </w:rPr>
            </w:pPr>
            <w:r>
              <w:rPr>
                <w:b/>
                <w:sz w:val="24"/>
              </w:rPr>
              <w:t>27.61</w:t>
            </w:r>
          </w:p>
        </w:tc>
      </w:tr>
      <w:tr>
        <w:trPr>
          <w:trHeight w:val="509" w:hRule="atLeast"/>
        </w:trPr>
        <w:tc>
          <w:tcPr>
            <w:tcW w:w="960" w:type="dxa"/>
          </w:tcPr>
          <w:p>
            <w:pPr>
              <w:pStyle w:val="TableParagraph"/>
              <w:spacing w:line="256" w:lineRule="exact" w:before="233"/>
              <w:rPr>
                <w:b/>
                <w:sz w:val="24"/>
              </w:rPr>
            </w:pPr>
            <w:r>
              <w:rPr>
                <w:b/>
                <w:sz w:val="24"/>
              </w:rPr>
              <w:t>Plm-IV</w:t>
            </w:r>
          </w:p>
        </w:tc>
        <w:tc>
          <w:tcPr>
            <w:tcW w:w="1514" w:type="dxa"/>
          </w:tcPr>
          <w:p>
            <w:pPr>
              <w:pStyle w:val="TableParagraph"/>
              <w:spacing w:line="256" w:lineRule="exact" w:before="233"/>
              <w:ind w:left="139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595" w:type="dxa"/>
          </w:tcPr>
          <w:p>
            <w:pPr>
              <w:pStyle w:val="TableParagraph"/>
              <w:spacing w:line="256" w:lineRule="exact" w:before="233"/>
              <w:ind w:left="80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1008" w:type="dxa"/>
          </w:tcPr>
          <w:p>
            <w:pPr>
              <w:pStyle w:val="TableParagraph"/>
              <w:spacing w:line="256" w:lineRule="exact" w:before="233"/>
              <w:ind w:left="277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510" w:type="dxa"/>
          </w:tcPr>
          <w:p>
            <w:pPr>
              <w:pStyle w:val="TableParagraph"/>
              <w:spacing w:line="256" w:lineRule="exact" w:before="233"/>
              <w:ind w:left="494"/>
              <w:rPr>
                <w:b/>
                <w:sz w:val="24"/>
              </w:rPr>
            </w:pPr>
            <w:r>
              <w:rPr>
                <w:b/>
                <w:sz w:val="24"/>
              </w:rPr>
              <w:t>-24.49</w:t>
            </w:r>
          </w:p>
        </w:tc>
        <w:tc>
          <w:tcPr>
            <w:tcW w:w="1335" w:type="dxa"/>
          </w:tcPr>
          <w:p>
            <w:pPr>
              <w:pStyle w:val="TableParagraph"/>
              <w:spacing w:line="256" w:lineRule="exact" w:before="233"/>
              <w:ind w:left="396"/>
              <w:rPr>
                <w:b/>
                <w:sz w:val="24"/>
              </w:rPr>
            </w:pPr>
            <w:r>
              <w:rPr>
                <w:b/>
                <w:sz w:val="24"/>
              </w:rPr>
              <w:t>37.80</w:t>
            </w:r>
          </w:p>
        </w:tc>
        <w:tc>
          <w:tcPr>
            <w:tcW w:w="1820" w:type="dxa"/>
          </w:tcPr>
          <w:p>
            <w:pPr>
              <w:pStyle w:val="TableParagraph"/>
              <w:spacing w:line="256" w:lineRule="exact" w:before="233"/>
              <w:ind w:left="319"/>
              <w:rPr>
                <w:b/>
                <w:sz w:val="24"/>
              </w:rPr>
            </w:pPr>
            <w:r>
              <w:rPr>
                <w:b/>
                <w:sz w:val="24"/>
              </w:rPr>
              <w:t>41.2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8"/>
        </w:rPr>
      </w:pPr>
      <w:r>
        <w:rPr/>
        <w:pict>
          <v:rect style="position:absolute;margin-left:92.928001pt;margin-top:12.306251pt;width:437.926021pt;height:.479pt;mso-position-horizontal-relative:page;mso-position-vertical-relative:paragraph;z-index:-157071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4"/>
        <w:rPr>
          <w:b/>
          <w:sz w:val="36"/>
        </w:rPr>
      </w:pPr>
    </w:p>
    <w:p>
      <w:pPr>
        <w:pStyle w:val="BodyText"/>
        <w:spacing w:line="480" w:lineRule="auto"/>
        <w:ind w:left="312" w:right="692"/>
        <w:jc w:val="both"/>
      </w:pPr>
      <w:r>
        <w:rPr/>
        <w:t>The gridbox parameter was used to write configuration file (config.txt). AutoDock Vina</w:t>
      </w:r>
      <w:r>
        <w:rPr>
          <w:spacing w:val="1"/>
        </w:rPr>
        <w:t> </w:t>
      </w:r>
      <w:r>
        <w:rPr/>
        <w:t>generated results in the pdbqt pdbqt format. Compounds having the best binding energy,</w:t>
      </w:r>
      <w:r>
        <w:rPr>
          <w:spacing w:val="1"/>
        </w:rPr>
        <w:t> </w:t>
      </w:r>
      <w:r>
        <w:rPr/>
        <w:t>optimal geometric conformation and, broad inhibition across all the enzymes studied were</w:t>
      </w:r>
      <w:r>
        <w:rPr>
          <w:spacing w:val="1"/>
        </w:rPr>
        <w:t> </w:t>
      </w:r>
      <w:r>
        <w:rPr/>
        <w:t>selected from the ViewDock feature of Chimera and saved in complex with the reference</w:t>
      </w:r>
      <w:r>
        <w:rPr>
          <w:spacing w:val="1"/>
        </w:rPr>
        <w:t> </w:t>
      </w:r>
      <w:r>
        <w:rPr/>
        <w:t>enzyme. The enzyme and ligand for each system was prepared using Chimera (Pettersen </w:t>
      </w:r>
      <w:r>
        <w:rPr>
          <w:i/>
        </w:rPr>
        <w:t>et</w:t>
      </w:r>
      <w:r>
        <w:rPr>
          <w:i/>
          <w:spacing w:val="-57"/>
        </w:rPr>
        <w:t> </w:t>
      </w:r>
      <w:r>
        <w:rPr>
          <w:i/>
        </w:rPr>
        <w:t>al., </w:t>
      </w:r>
      <w:r>
        <w:rPr/>
        <w:t>2004), and MMV molecular modeling suites and subsequently subjected to molecular</w:t>
      </w:r>
      <w:r>
        <w:rPr>
          <w:spacing w:val="1"/>
        </w:rPr>
        <w:t> </w:t>
      </w:r>
      <w:r>
        <w:rPr/>
        <w:t>dynamic simulations and</w:t>
      </w:r>
      <w:r>
        <w:rPr>
          <w:spacing w:val="1"/>
        </w:rPr>
        <w:t> </w:t>
      </w:r>
      <w:r>
        <w:rPr/>
        <w:t>BFE</w:t>
      </w:r>
      <w:r>
        <w:rPr>
          <w:spacing w:val="4"/>
        </w:rPr>
        <w:t> </w:t>
      </w:r>
      <w:r>
        <w:rPr/>
        <w:t>calculations.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203" w:after="0"/>
        <w:ind w:left="1033" w:right="0" w:hanging="721"/>
        <w:jc w:val="both"/>
        <w:rPr>
          <w:i/>
          <w:sz w:val="24"/>
        </w:rPr>
      </w:pPr>
      <w:r>
        <w:rPr>
          <w:i/>
          <w:sz w:val="24"/>
        </w:rPr>
        <w:t>Molecular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dynamics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simulation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2"/>
        <w:jc w:val="both"/>
      </w:pPr>
      <w:r>
        <w:rPr/>
        <w:t>To determine stability and map intermolecular interactions between the hit compounds (P3</w:t>
      </w:r>
      <w:r>
        <w:rPr>
          <w:spacing w:val="-57"/>
        </w:rPr>
        <w:t> </w:t>
      </w:r>
      <w:r>
        <w:rPr/>
        <w:t>and P4) and the enzymes MD simulation was performed using the GPU version of the</w:t>
      </w:r>
      <w:r>
        <w:rPr>
          <w:spacing w:val="1"/>
        </w:rPr>
        <w:t> </w:t>
      </w:r>
      <w:r>
        <w:rPr/>
        <w:t>PMEMD engine provided with the Amber 14 package. The FF14SB force field of the</w:t>
      </w:r>
      <w:r>
        <w:rPr>
          <w:spacing w:val="1"/>
        </w:rPr>
        <w:t> </w:t>
      </w:r>
      <w:r>
        <w:rPr/>
        <w:t>Amber software package (Nair</w:t>
      </w:r>
      <w:r>
        <w:rPr>
          <w:spacing w:val="1"/>
        </w:rPr>
        <w:t> </w:t>
      </w:r>
      <w:r>
        <w:rPr/>
        <w:t>and Miners, 2014) was used to describe the complex.</w:t>
      </w:r>
      <w:r>
        <w:rPr>
          <w:spacing w:val="1"/>
        </w:rPr>
        <w:t> </w:t>
      </w:r>
      <w:r>
        <w:rPr/>
        <w:t>ANTECHAMBER</w:t>
      </w:r>
      <w:r>
        <w:rPr>
          <w:spacing w:val="10"/>
        </w:rPr>
        <w:t> </w:t>
      </w:r>
      <w:r>
        <w:rPr/>
        <w:t>module</w:t>
      </w:r>
      <w:r>
        <w:rPr>
          <w:spacing w:val="6"/>
        </w:rPr>
        <w:t> </w:t>
      </w:r>
      <w:r>
        <w:rPr/>
        <w:t>(Wang</w:t>
      </w:r>
      <w:r>
        <w:rPr>
          <w:spacing w:val="16"/>
        </w:rPr>
        <w:t> </w:t>
      </w:r>
      <w:r>
        <w:rPr>
          <w:i/>
        </w:rPr>
        <w:t>et</w:t>
      </w:r>
      <w:r>
        <w:rPr>
          <w:i/>
          <w:spacing w:val="7"/>
        </w:rPr>
        <w:t> </w:t>
      </w:r>
      <w:r>
        <w:rPr>
          <w:i/>
        </w:rPr>
        <w:t>al.,</w:t>
      </w:r>
      <w:r>
        <w:rPr>
          <w:i/>
          <w:spacing w:val="10"/>
        </w:rPr>
        <w:t> </w:t>
      </w:r>
      <w:r>
        <w:rPr/>
        <w:t>2006)</w:t>
      </w:r>
      <w:r>
        <w:rPr>
          <w:spacing w:val="4"/>
        </w:rPr>
        <w:t> </w:t>
      </w:r>
      <w:r>
        <w:rPr/>
        <w:t>was</w:t>
      </w:r>
      <w:r>
        <w:rPr>
          <w:spacing w:val="5"/>
        </w:rPr>
        <w:t> </w:t>
      </w:r>
      <w:r>
        <w:rPr/>
        <w:t>used</w:t>
      </w:r>
      <w:r>
        <w:rPr>
          <w:spacing w:val="7"/>
        </w:rPr>
        <w:t> </w:t>
      </w:r>
      <w:r>
        <w:rPr/>
        <w:t>to</w:t>
      </w:r>
      <w:r>
        <w:rPr>
          <w:spacing w:val="11"/>
        </w:rPr>
        <w:t> </w:t>
      </w:r>
      <w:r>
        <w:rPr/>
        <w:t>generate</w:t>
      </w:r>
      <w:r>
        <w:rPr>
          <w:spacing w:val="6"/>
        </w:rPr>
        <w:t> </w:t>
      </w:r>
      <w:r>
        <w:rPr/>
        <w:t>atomic</w:t>
      </w:r>
      <w:r>
        <w:rPr>
          <w:spacing w:val="6"/>
        </w:rPr>
        <w:t> </w:t>
      </w:r>
      <w:r>
        <w:rPr/>
        <w:t>partial</w:t>
      </w:r>
    </w:p>
    <w:p>
      <w:pPr>
        <w:spacing w:after="0" w:line="480" w:lineRule="auto"/>
        <w:jc w:val="both"/>
        <w:sectPr>
          <w:headerReference w:type="default" r:id="rId225"/>
          <w:footerReference w:type="default" r:id="rId226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3"/>
        <w:jc w:val="both"/>
      </w:pPr>
      <w:r>
        <w:rPr/>
        <w:t>charges for the ligands by employing the Restrained Electrostatic Potential (RESP) and the</w:t>
      </w:r>
      <w:r>
        <w:rPr>
          <w:spacing w:val="-57"/>
        </w:rPr>
        <w:t> </w:t>
      </w:r>
      <w:r>
        <w:rPr/>
        <w:t>General Amber Force Field (GAFF) procedures. The Leap module of Amber 14 was used</w:t>
      </w:r>
      <w:r>
        <w:rPr>
          <w:spacing w:val="1"/>
        </w:rPr>
        <w:t> </w:t>
      </w:r>
      <w:r>
        <w:rPr/>
        <w:t>to add missing hydrogen atoms to the systems as well as Na</w:t>
      </w:r>
      <w:r>
        <w:rPr>
          <w:vertAlign w:val="superscript"/>
        </w:rPr>
        <w:t>+</w:t>
      </w:r>
      <w:r>
        <w:rPr>
          <w:vertAlign w:val="baseline"/>
        </w:rPr>
        <w:t> and Cl</w:t>
      </w:r>
      <w:r>
        <w:rPr>
          <w:vertAlign w:val="superscript"/>
        </w:rPr>
        <w:t>-</w:t>
      </w:r>
      <w:r>
        <w:rPr>
          <w:vertAlign w:val="baseline"/>
        </w:rPr>
        <w:t> counter ions for</w:t>
      </w:r>
      <w:r>
        <w:rPr>
          <w:spacing w:val="1"/>
          <w:vertAlign w:val="baseline"/>
        </w:rPr>
        <w:t> </w:t>
      </w:r>
      <w:r>
        <w:rPr>
          <w:vertAlign w:val="baseline"/>
        </w:rPr>
        <w:t>neutralization. The system was suspended implicitly within an orthorhombic box of TIP3P</w:t>
      </w:r>
      <w:r>
        <w:rPr>
          <w:spacing w:val="-57"/>
          <w:vertAlign w:val="baseline"/>
        </w:rPr>
        <w:t> </w:t>
      </w:r>
      <w:r>
        <w:rPr>
          <w:vertAlign w:val="baseline"/>
        </w:rPr>
        <w:t>water molecules such that any solute atoms were within 10 Å of any box edge during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simulation.</w:t>
      </w:r>
      <w:r>
        <w:rPr>
          <w:spacing w:val="1"/>
          <w:vertAlign w:val="baseline"/>
        </w:rPr>
        <w:t> </w:t>
      </w:r>
      <w:r>
        <w:rPr>
          <w:vertAlign w:val="baseline"/>
        </w:rPr>
        <w:t>Particle</w:t>
      </w:r>
      <w:r>
        <w:rPr>
          <w:spacing w:val="1"/>
          <w:vertAlign w:val="baseline"/>
        </w:rPr>
        <w:t> </w:t>
      </w:r>
      <w:r>
        <w:rPr>
          <w:vertAlign w:val="baseline"/>
        </w:rPr>
        <w:t>mesh</w:t>
      </w:r>
      <w:r>
        <w:rPr>
          <w:spacing w:val="1"/>
          <w:vertAlign w:val="baseline"/>
        </w:rPr>
        <w:t> </w:t>
      </w:r>
      <w:r>
        <w:rPr>
          <w:vertAlign w:val="baseline"/>
        </w:rPr>
        <w:t>Ewald</w:t>
      </w:r>
      <w:r>
        <w:rPr>
          <w:spacing w:val="1"/>
          <w:vertAlign w:val="baseline"/>
        </w:rPr>
        <w:t> </w:t>
      </w:r>
      <w:r>
        <w:rPr>
          <w:vertAlign w:val="baseline"/>
        </w:rPr>
        <w:t>method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used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treat</w:t>
      </w:r>
      <w:r>
        <w:rPr>
          <w:spacing w:val="1"/>
          <w:vertAlign w:val="baseline"/>
        </w:rPr>
        <w:t> </w:t>
      </w:r>
      <w:r>
        <w:rPr>
          <w:vertAlign w:val="baseline"/>
        </w:rPr>
        <w:t>long-range</w:t>
      </w:r>
      <w:r>
        <w:rPr>
          <w:spacing w:val="1"/>
          <w:vertAlign w:val="baseline"/>
        </w:rPr>
        <w:t> </w:t>
      </w:r>
      <w:r>
        <w:rPr>
          <w:vertAlign w:val="baseline"/>
        </w:rPr>
        <w:t>electrostatic</w:t>
      </w:r>
      <w:r>
        <w:rPr>
          <w:spacing w:val="1"/>
          <w:vertAlign w:val="baseline"/>
        </w:rPr>
        <w:t> </w:t>
      </w:r>
      <w:r>
        <w:rPr>
          <w:vertAlign w:val="baseline"/>
        </w:rPr>
        <w:t>interactions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direct</w:t>
      </w:r>
      <w:r>
        <w:rPr>
          <w:spacing w:val="6"/>
          <w:vertAlign w:val="baseline"/>
        </w:rPr>
        <w:t> </w:t>
      </w:r>
      <w:r>
        <w:rPr>
          <w:vertAlign w:val="baseline"/>
        </w:rPr>
        <w:t>space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van</w:t>
      </w:r>
      <w:r>
        <w:rPr>
          <w:spacing w:val="-3"/>
          <w:vertAlign w:val="baseline"/>
        </w:rPr>
        <w:t> </w:t>
      </w:r>
      <w:r>
        <w:rPr>
          <w:vertAlign w:val="baseline"/>
        </w:rPr>
        <w:t>der</w:t>
      </w:r>
      <w:r>
        <w:rPr>
          <w:spacing w:val="2"/>
          <w:vertAlign w:val="baseline"/>
        </w:rPr>
        <w:t> </w:t>
      </w:r>
      <w:r>
        <w:rPr>
          <w:vertAlign w:val="baseline"/>
        </w:rPr>
        <w:t>Waals</w:t>
      </w:r>
      <w:r>
        <w:rPr>
          <w:spacing w:val="4"/>
          <w:vertAlign w:val="baseline"/>
        </w:rPr>
        <w:t> </w:t>
      </w:r>
      <w:r>
        <w:rPr>
          <w:vertAlign w:val="baseline"/>
        </w:rPr>
        <w:t>cutoff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12</w:t>
      </w:r>
      <w:r>
        <w:rPr>
          <w:spacing w:val="1"/>
          <w:vertAlign w:val="baseline"/>
        </w:rPr>
        <w:t> </w:t>
      </w:r>
      <w:r>
        <w:rPr>
          <w:vertAlign w:val="baseline"/>
        </w:rPr>
        <w:t>Å.</w:t>
      </w:r>
    </w:p>
    <w:p>
      <w:pPr>
        <w:pStyle w:val="BodyText"/>
        <w:spacing w:line="480" w:lineRule="auto" w:before="203"/>
        <w:ind w:left="312" w:right="688"/>
        <w:jc w:val="both"/>
      </w:pPr>
      <w:r>
        <w:rPr/>
        <w:t>An initial minimization of 2000 steps of steepest descent were carried out with an applied</w:t>
      </w:r>
      <w:r>
        <w:rPr>
          <w:spacing w:val="1"/>
        </w:rPr>
        <w:t> </w:t>
      </w:r>
      <w:r>
        <w:rPr/>
        <w:t>restraint potential of 500 Kcal/mol for both complexes. An additional full minimization of</w:t>
      </w:r>
      <w:r>
        <w:rPr>
          <w:spacing w:val="1"/>
        </w:rPr>
        <w:t> </w:t>
      </w:r>
      <w:r>
        <w:rPr/>
        <w:t>1000 steps were further carried out by conjugate gradients algorithm without restrain. A</w:t>
      </w:r>
      <w:r>
        <w:rPr>
          <w:spacing w:val="1"/>
        </w:rPr>
        <w:t> </w:t>
      </w:r>
      <w:r>
        <w:rPr/>
        <w:t>gradual heating of the systems from 0 K to 300 K with a 5Kcal/mol Å harmonic restrain</w:t>
      </w:r>
      <w:r>
        <w:rPr>
          <w:spacing w:val="1"/>
        </w:rPr>
        <w:t> </w:t>
      </w:r>
      <w:r>
        <w:rPr/>
        <w:t>potential 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Langevin thermostat of collision frequency of 1/ps 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canonical</w:t>
      </w:r>
      <w:r>
        <w:rPr>
          <w:spacing w:val="1"/>
        </w:rPr>
        <w:t> </w:t>
      </w:r>
      <w:r>
        <w:rPr/>
        <w:t>ensemble constant volume and temperature (NVT). MD simulation was then carried out.</w:t>
      </w:r>
      <w:r>
        <w:rPr>
          <w:spacing w:val="1"/>
        </w:rPr>
        <w:t> </w:t>
      </w:r>
      <w:r>
        <w:rPr/>
        <w:t>All the systems were then equilibrated at 300 K in a constant pressure and temperature</w:t>
      </w:r>
      <w:r>
        <w:rPr>
          <w:spacing w:val="1"/>
        </w:rPr>
        <w:t> </w:t>
      </w:r>
      <w:r>
        <w:rPr/>
        <w:t>(NPT)</w:t>
      </w:r>
      <w:r>
        <w:rPr>
          <w:spacing w:val="1"/>
        </w:rPr>
        <w:t> </w:t>
      </w:r>
      <w:r>
        <w:rPr/>
        <w:t>ensemble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500</w:t>
      </w:r>
      <w:r>
        <w:rPr>
          <w:spacing w:val="1"/>
        </w:rPr>
        <w:t> </w:t>
      </w:r>
      <w:r>
        <w:rPr/>
        <w:t>ps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restrain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60"/>
        </w:rPr>
        <w:t> </w:t>
      </w:r>
      <w:r>
        <w:rPr/>
        <w:t>were</w:t>
      </w:r>
      <w:r>
        <w:rPr>
          <w:spacing w:val="1"/>
        </w:rPr>
        <w:t> </w:t>
      </w:r>
      <w:r>
        <w:rPr/>
        <w:t>maintained at 1 bar pressure using Berendsen barostat. All hydrogen bonds (HBs) were</w:t>
      </w:r>
      <w:r>
        <w:rPr>
          <w:spacing w:val="1"/>
        </w:rPr>
        <w:t> </w:t>
      </w:r>
      <w:r>
        <w:rPr/>
        <w:t>constrained using the SHAKE algorithm in a time step of 2 fs and all MD runs were done</w:t>
      </w:r>
      <w:r>
        <w:rPr>
          <w:spacing w:val="1"/>
        </w:rPr>
        <w:t> </w:t>
      </w:r>
      <w:r>
        <w:rPr/>
        <w:t>using SPFP precision model.</w:t>
      </w:r>
      <w:r>
        <w:rPr>
          <w:spacing w:val="1"/>
        </w:rPr>
        <w:t> </w:t>
      </w:r>
      <w:r>
        <w:rPr/>
        <w:t>A 30ns production run was</w:t>
      </w:r>
      <w:r>
        <w:rPr>
          <w:spacing w:val="60"/>
        </w:rPr>
        <w:t> </w:t>
      </w:r>
      <w:r>
        <w:rPr/>
        <w:t>performed without any restrain</w:t>
      </w:r>
      <w:r>
        <w:rPr>
          <w:spacing w:val="1"/>
        </w:rPr>
        <w:t> </w:t>
      </w:r>
      <w:r>
        <w:rPr/>
        <w:t>on the systems in an NPT ensemble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 temperature of 300 K with target</w:t>
      </w:r>
      <w:r>
        <w:rPr>
          <w:spacing w:val="60"/>
        </w:rPr>
        <w:t> </w:t>
      </w:r>
      <w:r>
        <w:rPr/>
        <w:t>coupling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2</w:t>
      </w:r>
      <w:r>
        <w:rPr>
          <w:spacing w:val="2"/>
        </w:rPr>
        <w:t> </w:t>
      </w:r>
      <w:r>
        <w:rPr/>
        <w:t>ps and</w:t>
      </w:r>
      <w:r>
        <w:rPr>
          <w:spacing w:val="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at</w:t>
      </w:r>
      <w:r>
        <w:rPr>
          <w:spacing w:val="7"/>
        </w:rPr>
        <w:t> </w:t>
      </w:r>
      <w:r>
        <w:rPr/>
        <w:t>1</w:t>
      </w:r>
      <w:r>
        <w:rPr>
          <w:spacing w:val="2"/>
        </w:rPr>
        <w:t> </w:t>
      </w:r>
      <w:r>
        <w:rPr/>
        <w:t>bar</w:t>
      </w:r>
    </w:p>
    <w:p>
      <w:pPr>
        <w:pStyle w:val="BodyText"/>
        <w:spacing w:line="480" w:lineRule="auto" w:before="199"/>
        <w:ind w:left="312" w:right="684"/>
        <w:jc w:val="both"/>
      </w:pPr>
      <w:r>
        <w:rPr/>
        <w:t>Trajectories from all system simulations were saved and analyzed in every 1 ps. Post-MD</w:t>
      </w:r>
      <w:r>
        <w:rPr>
          <w:spacing w:val="1"/>
        </w:rPr>
        <w:t> </w:t>
      </w:r>
      <w:r>
        <w:rPr/>
        <w:t>analyses, such as root mean square deviation (RMSD), radius of gyration (Rg), and root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square</w:t>
      </w:r>
      <w:r>
        <w:rPr>
          <w:spacing w:val="1"/>
        </w:rPr>
        <w:t> </w:t>
      </w:r>
      <w:r>
        <w:rPr/>
        <w:t>fluctuation</w:t>
      </w:r>
      <w:r>
        <w:rPr>
          <w:spacing w:val="1"/>
        </w:rPr>
        <w:t> </w:t>
      </w:r>
      <w:r>
        <w:rPr/>
        <w:t>(RMSF),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CPPTRAJ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PTRAJ</w:t>
      </w:r>
      <w:r>
        <w:rPr>
          <w:spacing w:val="1"/>
        </w:rPr>
        <w:t> </w:t>
      </w:r>
      <w:r>
        <w:rPr/>
        <w:t>modules</w:t>
      </w:r>
      <w:r>
        <w:rPr>
          <w:spacing w:val="26"/>
        </w:rPr>
        <w:t> </w:t>
      </w:r>
      <w:r>
        <w:rPr/>
        <w:t>(Roe</w:t>
      </w:r>
      <w:r>
        <w:rPr>
          <w:spacing w:val="28"/>
        </w:rPr>
        <w:t> </w:t>
      </w:r>
      <w:r>
        <w:rPr/>
        <w:t>and</w:t>
      </w:r>
      <w:r>
        <w:rPr>
          <w:spacing w:val="28"/>
        </w:rPr>
        <w:t> </w:t>
      </w:r>
      <w:r>
        <w:rPr/>
        <w:t>Cheatham,</w:t>
      </w:r>
      <w:r>
        <w:rPr>
          <w:spacing w:val="32"/>
        </w:rPr>
        <w:t> </w:t>
      </w:r>
      <w:r>
        <w:rPr/>
        <w:t>2013)</w:t>
      </w:r>
      <w:r>
        <w:rPr>
          <w:spacing w:val="30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32"/>
        </w:rPr>
        <w:t> </w:t>
      </w:r>
      <w:r>
        <w:rPr/>
        <w:t>Amber</w:t>
      </w:r>
      <w:r>
        <w:rPr>
          <w:spacing w:val="31"/>
        </w:rPr>
        <w:t> </w:t>
      </w:r>
      <w:r>
        <w:rPr/>
        <w:t>14</w:t>
      </w:r>
      <w:r>
        <w:rPr>
          <w:spacing w:val="28"/>
        </w:rPr>
        <w:t> </w:t>
      </w:r>
      <w:r>
        <w:rPr/>
        <w:t>suites.</w:t>
      </w:r>
      <w:r>
        <w:rPr>
          <w:spacing w:val="31"/>
        </w:rPr>
        <w:t> </w:t>
      </w:r>
      <w:r>
        <w:rPr/>
        <w:t>All</w:t>
      </w:r>
      <w:r>
        <w:rPr>
          <w:spacing w:val="24"/>
        </w:rPr>
        <w:t> </w:t>
      </w:r>
      <w:r>
        <w:rPr/>
        <w:t>plots</w:t>
      </w:r>
      <w:r>
        <w:rPr>
          <w:spacing w:val="27"/>
        </w:rPr>
        <w:t> </w:t>
      </w:r>
      <w:r>
        <w:rPr/>
        <w:t>were</w:t>
      </w:r>
      <w:r>
        <w:rPr>
          <w:spacing w:val="28"/>
        </w:rPr>
        <w:t> </w:t>
      </w:r>
      <w:r>
        <w:rPr/>
        <w:t>constructed</w:t>
      </w:r>
    </w:p>
    <w:p>
      <w:pPr>
        <w:spacing w:after="0" w:line="480" w:lineRule="auto"/>
        <w:jc w:val="both"/>
        <w:sectPr>
          <w:headerReference w:type="default" r:id="rId227"/>
          <w:footerReference w:type="default" r:id="rId228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8"/>
        <w:jc w:val="both"/>
      </w:pPr>
      <w:r>
        <w:rPr/>
        <w:t>using</w:t>
      </w:r>
      <w:r>
        <w:rPr>
          <w:spacing w:val="1"/>
        </w:rPr>
        <w:t> </w:t>
      </w:r>
      <w:r>
        <w:rPr/>
        <w:t>Origin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(http:/www.originlab.com).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modeling</w:t>
      </w:r>
      <w:r>
        <w:rPr>
          <w:spacing w:val="1"/>
        </w:rPr>
        <w:t> </w:t>
      </w:r>
      <w:r>
        <w:rPr/>
        <w:t>suite</w:t>
      </w:r>
      <w:r>
        <w:rPr>
          <w:spacing w:val="1"/>
        </w:rPr>
        <w:t> </w:t>
      </w:r>
      <w:r>
        <w:rPr/>
        <w:t>Chimera</w:t>
      </w:r>
      <w:r>
        <w:rPr>
          <w:spacing w:val="-3"/>
        </w:rPr>
        <w:t> </w:t>
      </w:r>
      <w:r>
        <w:rPr/>
        <w:t>(Petersen</w:t>
      </w:r>
      <w:r>
        <w:rPr>
          <w:spacing w:val="-4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>
          <w:i/>
          <w:spacing w:val="-2"/>
        </w:rPr>
        <w:t> </w:t>
      </w:r>
      <w:r>
        <w:rPr/>
        <w:t>2004)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Discovery</w:t>
      </w:r>
      <w:r>
        <w:rPr>
          <w:spacing w:val="-10"/>
        </w:rPr>
        <w:t> </w:t>
      </w:r>
      <w:r>
        <w:rPr/>
        <w:t>studio</w:t>
      </w:r>
      <w:r>
        <w:rPr>
          <w:spacing w:val="2"/>
        </w:rPr>
        <w:t> </w:t>
      </w:r>
      <w:r>
        <w:rPr/>
        <w:t>suite</w:t>
      </w:r>
      <w:r>
        <w:rPr>
          <w:spacing w:val="-2"/>
        </w:rPr>
        <w:t> </w:t>
      </w:r>
      <w:r>
        <w:rPr/>
        <w:t>were</w:t>
      </w:r>
      <w:r>
        <w:rPr>
          <w:spacing w:val="-2"/>
        </w:rPr>
        <w:t> </w:t>
      </w:r>
      <w:r>
        <w:rPr/>
        <w:t>used</w:t>
      </w:r>
      <w:r>
        <w:rPr>
          <w:spacing w:val="2"/>
        </w:rPr>
        <w:t> </w:t>
      </w:r>
      <w:r>
        <w:rPr/>
        <w:t>for all</w:t>
      </w:r>
      <w:r>
        <w:rPr>
          <w:spacing w:val="-6"/>
        </w:rPr>
        <w:t> </w:t>
      </w:r>
      <w:r>
        <w:rPr/>
        <w:t>visualizations.</w:t>
      </w:r>
    </w:p>
    <w:p>
      <w:pPr>
        <w:pStyle w:val="ListParagraph"/>
        <w:numPr>
          <w:ilvl w:val="3"/>
          <w:numId w:val="15"/>
        </w:numPr>
        <w:tabs>
          <w:tab w:pos="1033" w:val="left" w:leader="none"/>
        </w:tabs>
        <w:spacing w:line="240" w:lineRule="auto" w:before="202" w:after="0"/>
        <w:ind w:left="1033" w:right="0" w:hanging="721"/>
        <w:jc w:val="left"/>
        <w:rPr>
          <w:i/>
          <w:sz w:val="24"/>
        </w:rPr>
      </w:pPr>
      <w:r>
        <w:rPr>
          <w:i/>
          <w:sz w:val="24"/>
        </w:rPr>
        <w:t>Binding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free energy calculations</w:t>
      </w:r>
    </w:p>
    <w:p>
      <w:pPr>
        <w:pStyle w:val="BodyText"/>
        <w:rPr>
          <w:i/>
          <w:sz w:val="26"/>
        </w:rPr>
      </w:pPr>
    </w:p>
    <w:p>
      <w:pPr>
        <w:pStyle w:val="BodyText"/>
        <w:spacing w:line="480" w:lineRule="auto" w:before="174"/>
        <w:ind w:left="312" w:right="691"/>
        <w:jc w:val="both"/>
      </w:pPr>
      <w:r>
        <w:rPr/>
        <w:t>To estimate the binding affinities of each system, the binding free energies were calculated</w:t>
      </w:r>
      <w:r>
        <w:rPr>
          <w:spacing w:val="-57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Mechanics/Generalized-Born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(MM/GBSA)</w:t>
      </w:r>
      <w:r>
        <w:rPr>
          <w:spacing w:val="1"/>
        </w:rPr>
        <w:t> </w:t>
      </w:r>
      <w:r>
        <w:rPr/>
        <w:t>(Genheden and Ryde, 2015). Binding free energies were averaged over 30000 snapshots</w:t>
      </w:r>
      <w:r>
        <w:rPr>
          <w:spacing w:val="1"/>
        </w:rPr>
        <w:t> </w:t>
      </w:r>
      <w:r>
        <w:rPr/>
        <w:t>extracted from the 30</w:t>
      </w:r>
      <w:r>
        <w:rPr>
          <w:spacing w:val="1"/>
        </w:rPr>
        <w:t> </w:t>
      </w:r>
      <w:r>
        <w:rPr/>
        <w:t>ns trajectory. The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binding energy (ΔG) computed</w:t>
      </w:r>
      <w:r>
        <w:rPr>
          <w:spacing w:val="60"/>
        </w:rPr>
        <w:t> </w:t>
      </w:r>
      <w:r>
        <w:rPr/>
        <w:t>by this</w:t>
      </w:r>
      <w:r>
        <w:rPr>
          <w:spacing w:val="1"/>
        </w:rPr>
        <w:t> </w:t>
      </w:r>
      <w:r>
        <w:rPr/>
        <w:t>method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each</w:t>
      </w:r>
      <w:r>
        <w:rPr>
          <w:spacing w:val="-1"/>
        </w:rPr>
        <w:t> </w:t>
      </w:r>
      <w:r>
        <w:rPr/>
        <w:t>molecular</w:t>
      </w:r>
      <w:r>
        <w:rPr>
          <w:spacing w:val="-1"/>
        </w:rPr>
        <w:t> </w:t>
      </w:r>
      <w:r>
        <w:rPr/>
        <w:t>species</w:t>
      </w:r>
      <w:r>
        <w:rPr>
          <w:spacing w:val="-3"/>
        </w:rPr>
        <w:t> </w:t>
      </w:r>
      <w:r>
        <w:rPr/>
        <w:t>(complex,</w:t>
      </w:r>
      <w:r>
        <w:rPr>
          <w:spacing w:val="5"/>
        </w:rPr>
        <w:t> </w:t>
      </w:r>
      <w:r>
        <w:rPr/>
        <w:t>ligand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receptor)</w:t>
      </w:r>
      <w:r>
        <w:rPr>
          <w:spacing w:val="-5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2"/>
        </w:rPr>
        <w:t> </w:t>
      </w:r>
      <w:r>
        <w:rPr/>
        <w:t>represented</w:t>
      </w:r>
      <w:r>
        <w:rPr>
          <w:spacing w:val="-2"/>
        </w:rPr>
        <w:t> </w:t>
      </w:r>
      <w:r>
        <w:rPr/>
        <w:t>as:</w:t>
      </w:r>
    </w:p>
    <w:p>
      <w:pPr>
        <w:tabs>
          <w:tab w:pos="4159" w:val="left" w:leader="none"/>
        </w:tabs>
        <w:spacing w:line="645" w:lineRule="auto" w:before="201"/>
        <w:ind w:left="312" w:right="5311" w:firstLine="0"/>
        <w:jc w:val="both"/>
        <w:rPr>
          <w:sz w:val="24"/>
        </w:rPr>
      </w:pPr>
      <w:r>
        <w:rPr>
          <w:position w:val="3"/>
          <w:sz w:val="24"/>
        </w:rPr>
        <w:t>ΔG</w:t>
      </w:r>
      <w:r>
        <w:rPr>
          <w:sz w:val="16"/>
        </w:rPr>
        <w:t>bind </w:t>
      </w:r>
      <w:r>
        <w:rPr>
          <w:position w:val="3"/>
          <w:sz w:val="24"/>
        </w:rPr>
        <w:t>= G</w:t>
      </w:r>
      <w:r>
        <w:rPr>
          <w:sz w:val="16"/>
        </w:rPr>
        <w:t>complex </w:t>
      </w:r>
      <w:r>
        <w:rPr>
          <w:position w:val="3"/>
          <w:sz w:val="24"/>
        </w:rPr>
        <w:t>– G</w:t>
      </w:r>
      <w:r>
        <w:rPr>
          <w:sz w:val="16"/>
        </w:rPr>
        <w:t>receptor</w:t>
      </w:r>
      <w:r>
        <w:rPr>
          <w:spacing w:val="1"/>
          <w:sz w:val="16"/>
        </w:rPr>
        <w:t> </w:t>
      </w:r>
      <w:r>
        <w:rPr>
          <w:position w:val="3"/>
          <w:sz w:val="24"/>
        </w:rPr>
        <w:t>- G</w:t>
      </w:r>
      <w:r>
        <w:rPr>
          <w:sz w:val="16"/>
        </w:rPr>
        <w:t>ligand</w:t>
      </w:r>
      <w:r>
        <w:rPr>
          <w:spacing w:val="1"/>
          <w:sz w:val="16"/>
        </w:rPr>
        <w:t> </w:t>
      </w:r>
      <w:r>
        <w:rPr>
          <w:position w:val="3"/>
          <w:sz w:val="24"/>
        </w:rPr>
        <w:t>(1)</w:t>
      </w:r>
      <w:r>
        <w:rPr>
          <w:spacing w:val="1"/>
          <w:position w:val="3"/>
          <w:sz w:val="24"/>
        </w:rPr>
        <w:t> </w:t>
      </w:r>
      <w:r>
        <w:rPr>
          <w:w w:val="95"/>
          <w:sz w:val="24"/>
        </w:rPr>
        <w:t>ΔG</w:t>
      </w:r>
      <w:r>
        <w:rPr>
          <w:w w:val="95"/>
          <w:sz w:val="24"/>
          <w:vertAlign w:val="subscript"/>
        </w:rPr>
        <w:t>bind</w:t>
      </w:r>
      <w:r>
        <w:rPr>
          <w:spacing w:val="13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=</w:t>
      </w:r>
      <w:r>
        <w:rPr>
          <w:spacing w:val="14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E</w:t>
      </w:r>
      <w:r>
        <w:rPr>
          <w:w w:val="95"/>
          <w:sz w:val="24"/>
          <w:vertAlign w:val="subscript"/>
        </w:rPr>
        <w:t>gas</w:t>
      </w:r>
      <w:r>
        <w:rPr>
          <w:spacing w:val="-17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+</w:t>
      </w:r>
      <w:r>
        <w:rPr>
          <w:spacing w:val="14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G</w:t>
      </w:r>
      <w:r>
        <w:rPr>
          <w:w w:val="95"/>
          <w:sz w:val="24"/>
          <w:vertAlign w:val="subscript"/>
        </w:rPr>
        <w:t>sol</w:t>
      </w:r>
      <w:r>
        <w:rPr>
          <w:spacing w:val="14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-</w:t>
      </w:r>
      <w:r>
        <w:rPr>
          <w:spacing w:val="18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T</w:t>
      </w:r>
      <w:r>
        <w:rPr>
          <w:spacing w:val="12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ΔS</w:t>
        <w:tab/>
      </w:r>
      <w:r>
        <w:rPr>
          <w:spacing w:val="-3"/>
          <w:sz w:val="24"/>
          <w:vertAlign w:val="baseline"/>
        </w:rPr>
        <w:t>(2)</w:t>
      </w:r>
    </w:p>
    <w:p>
      <w:pPr>
        <w:tabs>
          <w:tab w:pos="4159" w:val="left" w:leader="none"/>
        </w:tabs>
        <w:spacing w:before="6"/>
        <w:ind w:left="312" w:right="0" w:firstLine="0"/>
        <w:jc w:val="both"/>
        <w:rPr>
          <w:sz w:val="24"/>
        </w:rPr>
      </w:pPr>
      <w:r>
        <w:rPr>
          <w:position w:val="3"/>
          <w:sz w:val="24"/>
        </w:rPr>
        <w:t>E</w:t>
      </w:r>
      <w:r>
        <w:rPr>
          <w:sz w:val="16"/>
        </w:rPr>
        <w:t>gas</w:t>
      </w:r>
      <w:r>
        <w:rPr>
          <w:spacing w:val="16"/>
          <w:sz w:val="16"/>
        </w:rPr>
        <w:t> </w:t>
      </w:r>
      <w:r>
        <w:rPr>
          <w:position w:val="3"/>
          <w:sz w:val="24"/>
        </w:rPr>
        <w:t>=</w:t>
      </w:r>
      <w:r>
        <w:rPr>
          <w:spacing w:val="-1"/>
          <w:position w:val="3"/>
          <w:sz w:val="24"/>
        </w:rPr>
        <w:t> </w:t>
      </w:r>
      <w:r>
        <w:rPr>
          <w:position w:val="3"/>
          <w:sz w:val="24"/>
        </w:rPr>
        <w:t>E</w:t>
      </w:r>
      <w:r>
        <w:rPr>
          <w:sz w:val="16"/>
        </w:rPr>
        <w:t>int</w:t>
      </w:r>
      <w:r>
        <w:rPr>
          <w:spacing w:val="20"/>
          <w:sz w:val="16"/>
        </w:rPr>
        <w:t> </w:t>
      </w:r>
      <w:r>
        <w:rPr>
          <w:position w:val="3"/>
          <w:sz w:val="24"/>
        </w:rPr>
        <w:t>+</w:t>
      </w:r>
      <w:r>
        <w:rPr>
          <w:spacing w:val="-1"/>
          <w:position w:val="3"/>
          <w:sz w:val="24"/>
        </w:rPr>
        <w:t> </w:t>
      </w:r>
      <w:r>
        <w:rPr>
          <w:position w:val="3"/>
          <w:sz w:val="24"/>
        </w:rPr>
        <w:t>E</w:t>
      </w:r>
      <w:r>
        <w:rPr>
          <w:sz w:val="16"/>
        </w:rPr>
        <w:t>vdw</w:t>
      </w:r>
      <w:r>
        <w:rPr>
          <w:spacing w:val="17"/>
          <w:sz w:val="16"/>
        </w:rPr>
        <w:t> </w:t>
      </w:r>
      <w:r>
        <w:rPr>
          <w:position w:val="3"/>
          <w:sz w:val="24"/>
        </w:rPr>
        <w:t>+</w:t>
      </w:r>
      <w:r>
        <w:rPr>
          <w:spacing w:val="-1"/>
          <w:position w:val="3"/>
          <w:sz w:val="24"/>
        </w:rPr>
        <w:t> </w:t>
      </w:r>
      <w:r>
        <w:rPr>
          <w:position w:val="3"/>
          <w:sz w:val="24"/>
        </w:rPr>
        <w:t>E</w:t>
      </w:r>
      <w:r>
        <w:rPr>
          <w:sz w:val="16"/>
        </w:rPr>
        <w:t>elec</w:t>
        <w:tab/>
      </w:r>
      <w:r>
        <w:rPr>
          <w:position w:val="3"/>
          <w:sz w:val="24"/>
        </w:rPr>
        <w:t>(3)</w:t>
      </w:r>
    </w:p>
    <w:p>
      <w:pPr>
        <w:pStyle w:val="BodyText"/>
        <w:spacing w:before="6"/>
        <w:rPr>
          <w:sz w:val="40"/>
        </w:rPr>
      </w:pPr>
    </w:p>
    <w:p>
      <w:pPr>
        <w:pStyle w:val="BodyText"/>
        <w:tabs>
          <w:tab w:pos="4159" w:val="left" w:leader="none"/>
        </w:tabs>
        <w:ind w:left="312"/>
        <w:jc w:val="both"/>
      </w:pPr>
      <w:r>
        <w:rPr/>
        <w:t>G</w:t>
      </w:r>
      <w:r>
        <w:rPr>
          <w:vertAlign w:val="subscript"/>
        </w:rPr>
        <w:t>sol</w:t>
      </w:r>
      <w:r>
        <w:rPr>
          <w:spacing w:val="-3"/>
          <w:vertAlign w:val="baseline"/>
        </w:rPr>
        <w:t> </w:t>
      </w:r>
      <w:r>
        <w:rPr>
          <w:vertAlign w:val="baseline"/>
        </w:rPr>
        <w:t>=</w:t>
      </w:r>
      <w:r>
        <w:rPr>
          <w:spacing w:val="-2"/>
          <w:vertAlign w:val="baseline"/>
        </w:rPr>
        <w:t> </w:t>
      </w:r>
      <w:r>
        <w:rPr>
          <w:vertAlign w:val="baseline"/>
        </w:rPr>
        <w:t>G</w:t>
      </w:r>
      <w:r>
        <w:rPr>
          <w:vertAlign w:val="subscript"/>
        </w:rPr>
        <w:t>GB</w:t>
      </w:r>
      <w:r>
        <w:rPr>
          <w:spacing w:val="-1"/>
          <w:vertAlign w:val="baseline"/>
        </w:rPr>
        <w:t> </w:t>
      </w:r>
      <w:r>
        <w:rPr>
          <w:vertAlign w:val="baseline"/>
        </w:rPr>
        <w:t>+</w:t>
      </w:r>
      <w:r>
        <w:rPr>
          <w:spacing w:val="-2"/>
          <w:vertAlign w:val="baseline"/>
        </w:rPr>
        <w:t> </w:t>
      </w:r>
      <w:r>
        <w:rPr>
          <w:vertAlign w:val="baseline"/>
        </w:rPr>
        <w:t>G</w:t>
      </w:r>
      <w:r>
        <w:rPr>
          <w:vertAlign w:val="subscript"/>
        </w:rPr>
        <w:t>SA</w:t>
      </w:r>
      <w:r>
        <w:rPr>
          <w:vertAlign w:val="baseline"/>
        </w:rPr>
        <w:tab/>
        <w:t>(4)</w:t>
      </w:r>
    </w:p>
    <w:p>
      <w:pPr>
        <w:pStyle w:val="BodyText"/>
        <w:spacing w:before="6"/>
        <w:rPr>
          <w:sz w:val="41"/>
        </w:rPr>
      </w:pPr>
    </w:p>
    <w:p>
      <w:pPr>
        <w:pStyle w:val="BodyText"/>
        <w:ind w:left="312"/>
        <w:jc w:val="both"/>
      </w:pPr>
      <w:r>
        <w:rPr>
          <w:i/>
        </w:rPr>
        <w:t>G</w:t>
      </w:r>
      <w:r>
        <w:rPr>
          <w:vertAlign w:val="subscript"/>
        </w:rPr>
        <w:t>SA</w:t>
      </w:r>
      <w:r>
        <w:rPr>
          <w:spacing w:val="-3"/>
          <w:vertAlign w:val="baseline"/>
        </w:rPr>
        <w:t> </w:t>
      </w:r>
      <w:r>
        <w:rPr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vertAlign w:val="baseline"/>
        </w:rPr>
        <w:t>γSASA</w:t>
      </w:r>
      <w:r>
        <w:rPr>
          <w:spacing w:val="26"/>
          <w:vertAlign w:val="baseline"/>
        </w:rPr>
        <w:t> </w:t>
      </w:r>
      <w:r>
        <w:rPr>
          <w:vertAlign w:val="baseline"/>
        </w:rPr>
        <w:t>(5)</w:t>
      </w:r>
    </w:p>
    <w:p>
      <w:pPr>
        <w:pStyle w:val="BodyText"/>
        <w:spacing w:before="2"/>
        <w:rPr>
          <w:sz w:val="41"/>
        </w:rPr>
      </w:pPr>
    </w:p>
    <w:p>
      <w:pPr>
        <w:pStyle w:val="BodyText"/>
        <w:spacing w:line="480" w:lineRule="auto"/>
        <w:ind w:left="312" w:right="687"/>
        <w:jc w:val="both"/>
      </w:pPr>
      <w:r>
        <w:rPr/>
        <w:t>The term E</w:t>
      </w:r>
      <w:r>
        <w:rPr>
          <w:vertAlign w:val="subscript"/>
        </w:rPr>
        <w:t>gas</w:t>
      </w:r>
      <w:r>
        <w:rPr>
          <w:vertAlign w:val="baseline"/>
        </w:rPr>
        <w:t> denotes the gas-phase energy, which consist of the internal energy (E</w:t>
      </w:r>
      <w:r>
        <w:rPr>
          <w:vertAlign w:val="subscript"/>
        </w:rPr>
        <w:t>int</w:t>
      </w:r>
      <w:r>
        <w:rPr>
          <w:vertAlign w:val="baseline"/>
        </w:rPr>
        <w:t>);</w:t>
      </w:r>
      <w:r>
        <w:rPr>
          <w:spacing w:val="1"/>
          <w:vertAlign w:val="baseline"/>
        </w:rPr>
        <w:t> </w:t>
      </w:r>
      <w:r>
        <w:rPr>
          <w:vertAlign w:val="baseline"/>
        </w:rPr>
        <w:t>Coulomb energy (E</w:t>
      </w:r>
      <w:r>
        <w:rPr>
          <w:vertAlign w:val="subscript"/>
        </w:rPr>
        <w:t>elec</w:t>
      </w:r>
      <w:r>
        <w:rPr>
          <w:vertAlign w:val="baseline"/>
        </w:rPr>
        <w:t>), and the van der Waals energies (E</w:t>
      </w:r>
      <w:r>
        <w:rPr>
          <w:vertAlign w:val="subscript"/>
        </w:rPr>
        <w:t>vdw</w:t>
      </w:r>
      <w:r>
        <w:rPr>
          <w:vertAlign w:val="baseline"/>
        </w:rPr>
        <w:t>). The E</w:t>
      </w:r>
      <w:r>
        <w:rPr>
          <w:vertAlign w:val="subscript"/>
        </w:rPr>
        <w:t>gas</w:t>
      </w:r>
      <w:r>
        <w:rPr>
          <w:vertAlign w:val="baseline"/>
        </w:rPr>
        <w:t> was directly</w:t>
      </w:r>
      <w:r>
        <w:rPr>
          <w:spacing w:val="1"/>
          <w:vertAlign w:val="baseline"/>
        </w:rPr>
        <w:t> </w:t>
      </w:r>
      <w:r>
        <w:rPr>
          <w:vertAlign w:val="baseline"/>
        </w:rPr>
        <w:t>estimated</w:t>
      </w:r>
      <w:r>
        <w:rPr>
          <w:spacing w:val="1"/>
          <w:vertAlign w:val="baseline"/>
        </w:rPr>
        <w:t> </w:t>
      </w:r>
      <w:r>
        <w:rPr>
          <w:vertAlign w:val="baseline"/>
        </w:rPr>
        <w:t>from the</w:t>
      </w:r>
      <w:r>
        <w:rPr>
          <w:spacing w:val="1"/>
          <w:vertAlign w:val="baseline"/>
        </w:rPr>
        <w:t> </w:t>
      </w:r>
      <w:r>
        <w:rPr>
          <w:vertAlign w:val="baseline"/>
        </w:rPr>
        <w:t>FF14SB</w:t>
      </w:r>
      <w:r>
        <w:rPr>
          <w:spacing w:val="1"/>
          <w:vertAlign w:val="baseline"/>
        </w:rPr>
        <w:t> </w:t>
      </w:r>
      <w:r>
        <w:rPr>
          <w:vertAlign w:val="baseline"/>
        </w:rPr>
        <w:t>force</w:t>
      </w:r>
      <w:r>
        <w:rPr>
          <w:spacing w:val="1"/>
          <w:vertAlign w:val="baseline"/>
        </w:rPr>
        <w:t> </w:t>
      </w:r>
      <w:r>
        <w:rPr>
          <w:vertAlign w:val="baseline"/>
        </w:rPr>
        <w:t>field</w:t>
      </w:r>
      <w:r>
        <w:rPr>
          <w:spacing w:val="1"/>
          <w:vertAlign w:val="baseline"/>
        </w:rPr>
        <w:t> </w:t>
      </w:r>
      <w:r>
        <w:rPr>
          <w:vertAlign w:val="baseline"/>
        </w:rPr>
        <w:t>terms.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solvation</w:t>
      </w:r>
      <w:r>
        <w:rPr>
          <w:spacing w:val="1"/>
          <w:vertAlign w:val="baseline"/>
        </w:rPr>
        <w:t> </w:t>
      </w:r>
      <w:r>
        <w:rPr>
          <w:vertAlign w:val="baseline"/>
        </w:rPr>
        <w:t>free</w:t>
      </w:r>
      <w:r>
        <w:rPr>
          <w:spacing w:val="1"/>
          <w:vertAlign w:val="baseline"/>
        </w:rPr>
        <w:t> </w:t>
      </w:r>
      <w:r>
        <w:rPr>
          <w:vertAlign w:val="baseline"/>
        </w:rPr>
        <w:t>energy</w:t>
      </w:r>
      <w:r>
        <w:rPr>
          <w:spacing w:val="1"/>
          <w:vertAlign w:val="baseline"/>
        </w:rPr>
        <w:t> </w:t>
      </w:r>
      <w:r>
        <w:rPr>
          <w:vertAlign w:val="baseline"/>
        </w:rPr>
        <w:t>(G</w:t>
      </w:r>
      <w:r>
        <w:rPr>
          <w:vertAlign w:val="subscript"/>
        </w:rPr>
        <w:t>sol</w:t>
      </w:r>
      <w:r>
        <w:rPr>
          <w:vertAlign w:val="baseline"/>
        </w:rPr>
        <w:t>),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estimated from the energy contribution from the polar states (G</w:t>
      </w:r>
      <w:r>
        <w:rPr>
          <w:vertAlign w:val="subscript"/>
        </w:rPr>
        <w:t>GB</w:t>
      </w:r>
      <w:r>
        <w:rPr>
          <w:vertAlign w:val="baseline"/>
        </w:rPr>
        <w:t>) and non-polar states</w:t>
      </w:r>
      <w:r>
        <w:rPr>
          <w:spacing w:val="1"/>
          <w:vertAlign w:val="baseline"/>
        </w:rPr>
        <w:t> </w:t>
      </w:r>
      <w:r>
        <w:rPr>
          <w:vertAlign w:val="baseline"/>
        </w:rPr>
        <w:t>(G</w:t>
      </w:r>
      <w:r>
        <w:rPr>
          <w:vertAlign w:val="subscript"/>
        </w:rPr>
        <w:t>SA</w:t>
      </w:r>
      <w:r>
        <w:rPr>
          <w:vertAlign w:val="baseline"/>
        </w:rPr>
        <w:t>). The non-polar solvation energy (G</w:t>
      </w:r>
      <w:r>
        <w:rPr>
          <w:vertAlign w:val="subscript"/>
        </w:rPr>
        <w:t>SA</w:t>
      </w:r>
      <w:r>
        <w:rPr>
          <w:vertAlign w:val="baseline"/>
        </w:rPr>
        <w:t>), was determined from the solvent accessible</w:t>
      </w:r>
      <w:r>
        <w:rPr>
          <w:spacing w:val="1"/>
          <w:vertAlign w:val="baseline"/>
        </w:rPr>
        <w:t> </w:t>
      </w:r>
      <w:r>
        <w:rPr>
          <w:vertAlign w:val="baseline"/>
        </w:rPr>
        <w:t>surface area (SASA), using a water probe radius of 1.4 Å, whereas the polar solvation,</w:t>
      </w:r>
      <w:r>
        <w:rPr>
          <w:spacing w:val="1"/>
          <w:vertAlign w:val="baseline"/>
        </w:rPr>
        <w:t> </w:t>
      </w:r>
      <w:r>
        <w:rPr>
          <w:vertAlign w:val="baseline"/>
        </w:rPr>
        <w:t>(G</w:t>
      </w:r>
      <w:r>
        <w:rPr>
          <w:vertAlign w:val="subscript"/>
        </w:rPr>
        <w:t>GB</w:t>
      </w:r>
      <w:r>
        <w:rPr>
          <w:vertAlign w:val="baseline"/>
        </w:rPr>
        <w:t>) contribution was estimated by solving the GB equation. ΔS and T denote the total</w:t>
      </w:r>
      <w:r>
        <w:rPr>
          <w:spacing w:val="1"/>
          <w:vertAlign w:val="baseline"/>
        </w:rPr>
        <w:t> </w:t>
      </w:r>
      <w:r>
        <w:rPr>
          <w:vertAlign w:val="baseline"/>
        </w:rPr>
        <w:t>change in entropy of the solute and temperature respectively. To obtain the contribution of</w:t>
      </w:r>
      <w:r>
        <w:rPr>
          <w:spacing w:val="1"/>
          <w:vertAlign w:val="baseline"/>
        </w:rPr>
        <w:t> </w:t>
      </w:r>
      <w:r>
        <w:rPr>
          <w:vertAlign w:val="baseline"/>
        </w:rPr>
        <w:t>each</w:t>
      </w:r>
      <w:r>
        <w:rPr>
          <w:spacing w:val="10"/>
          <w:vertAlign w:val="baseline"/>
        </w:rPr>
        <w:t> </w:t>
      </w:r>
      <w:r>
        <w:rPr>
          <w:vertAlign w:val="baseline"/>
        </w:rPr>
        <w:t>residue</w:t>
      </w:r>
      <w:r>
        <w:rPr>
          <w:spacing w:val="14"/>
          <w:vertAlign w:val="baseline"/>
        </w:rPr>
        <w:t> </w:t>
      </w:r>
      <w:r>
        <w:rPr>
          <w:vertAlign w:val="baseline"/>
        </w:rPr>
        <w:t>to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total</w:t>
      </w:r>
      <w:r>
        <w:rPr>
          <w:spacing w:val="11"/>
          <w:vertAlign w:val="baseline"/>
        </w:rPr>
        <w:t> </w:t>
      </w:r>
      <w:r>
        <w:rPr>
          <w:vertAlign w:val="baseline"/>
        </w:rPr>
        <w:t>binding</w:t>
      </w:r>
      <w:r>
        <w:rPr>
          <w:spacing w:val="20"/>
          <w:vertAlign w:val="baseline"/>
        </w:rPr>
        <w:t> </w:t>
      </w:r>
      <w:r>
        <w:rPr>
          <w:vertAlign w:val="baseline"/>
        </w:rPr>
        <w:t>free</w:t>
      </w:r>
      <w:r>
        <w:rPr>
          <w:spacing w:val="15"/>
          <w:vertAlign w:val="baseline"/>
        </w:rPr>
        <w:t> </w:t>
      </w:r>
      <w:r>
        <w:rPr>
          <w:vertAlign w:val="baseline"/>
        </w:rPr>
        <w:t>energy</w:t>
      </w:r>
      <w:r>
        <w:rPr>
          <w:spacing w:val="10"/>
          <w:vertAlign w:val="baseline"/>
        </w:rPr>
        <w:t> </w:t>
      </w:r>
      <w:r>
        <w:rPr>
          <w:vertAlign w:val="baseline"/>
        </w:rPr>
        <w:t>profile</w:t>
      </w:r>
      <w:r>
        <w:rPr>
          <w:spacing w:val="19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  <w:r>
        <w:rPr>
          <w:spacing w:val="19"/>
          <w:vertAlign w:val="baseline"/>
        </w:rPr>
        <w:t> </w:t>
      </w:r>
      <w:r>
        <w:rPr>
          <w:vertAlign w:val="baseline"/>
        </w:rPr>
        <w:t>ligands</w:t>
      </w:r>
      <w:r>
        <w:rPr>
          <w:spacing w:val="13"/>
          <w:vertAlign w:val="baseline"/>
        </w:rPr>
        <w:t> </w:t>
      </w:r>
      <w:r>
        <w:rPr>
          <w:vertAlign w:val="baseline"/>
        </w:rPr>
        <w:t>(P3</w:t>
      </w:r>
      <w:r>
        <w:rPr>
          <w:spacing w:val="16"/>
          <w:vertAlign w:val="baseline"/>
        </w:rPr>
        <w:t> </w:t>
      </w:r>
      <w:r>
        <w:rPr>
          <w:vertAlign w:val="baseline"/>
        </w:rPr>
        <w:t>and</w:t>
      </w:r>
      <w:r>
        <w:rPr>
          <w:spacing w:val="15"/>
          <w:vertAlign w:val="baseline"/>
        </w:rPr>
        <w:t> </w:t>
      </w:r>
      <w:r>
        <w:rPr>
          <w:vertAlign w:val="baseline"/>
        </w:rPr>
        <w:t>P4)</w:t>
      </w:r>
      <w:r>
        <w:rPr>
          <w:spacing w:val="17"/>
          <w:vertAlign w:val="baseline"/>
        </w:rPr>
        <w:t> </w:t>
      </w:r>
      <w:r>
        <w:rPr>
          <w:vertAlign w:val="baseline"/>
        </w:rPr>
        <w:t>and</w:t>
      </w:r>
    </w:p>
    <w:p>
      <w:pPr>
        <w:spacing w:after="0" w:line="480" w:lineRule="auto"/>
        <w:jc w:val="both"/>
        <w:sectPr>
          <w:headerReference w:type="default" r:id="rId229"/>
          <w:footerReference w:type="default" r:id="rId23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/>
      </w:pPr>
      <w:r>
        <w:rPr/>
        <w:t>the</w:t>
      </w:r>
      <w:r>
        <w:rPr>
          <w:spacing w:val="-1"/>
        </w:rPr>
        <w:t> </w:t>
      </w:r>
      <w:r>
        <w:rPr/>
        <w:t>enzymes,</w:t>
      </w:r>
      <w:r>
        <w:rPr>
          <w:spacing w:val="2"/>
        </w:rPr>
        <w:t> </w:t>
      </w:r>
      <w:r>
        <w:rPr/>
        <w:t>per</w:t>
      </w:r>
      <w:r>
        <w:rPr>
          <w:spacing w:val="2"/>
        </w:rPr>
        <w:t> </w:t>
      </w:r>
      <w:r>
        <w:rPr/>
        <w:t>residue</w:t>
      </w:r>
      <w:r>
        <w:rPr>
          <w:spacing w:val="4"/>
        </w:rPr>
        <w:t> </w:t>
      </w:r>
      <w:r>
        <w:rPr/>
        <w:t>free</w:t>
      </w:r>
      <w:r>
        <w:rPr>
          <w:spacing w:val="-1"/>
        </w:rPr>
        <w:t> </w:t>
      </w:r>
      <w:r>
        <w:rPr/>
        <w:t>energy</w:t>
      </w:r>
      <w:r>
        <w:rPr>
          <w:spacing w:val="-4"/>
        </w:rPr>
        <w:t> </w:t>
      </w:r>
      <w:r>
        <w:rPr/>
        <w:t>decomposition</w:t>
      </w:r>
      <w:r>
        <w:rPr>
          <w:spacing w:val="-4"/>
        </w:rPr>
        <w:t> </w:t>
      </w:r>
      <w:r>
        <w:rPr/>
        <w:t>was</w:t>
      </w:r>
      <w:r>
        <w:rPr>
          <w:spacing w:val="2"/>
        </w:rPr>
        <w:t> </w:t>
      </w:r>
      <w:r>
        <w:rPr/>
        <w:t>carried</w:t>
      </w:r>
      <w:r>
        <w:rPr>
          <w:spacing w:val="4"/>
        </w:rPr>
        <w:t> </w:t>
      </w:r>
      <w:r>
        <w:rPr/>
        <w:t>out</w:t>
      </w:r>
      <w:r>
        <w:rPr>
          <w:spacing w:val="6"/>
        </w:rPr>
        <w:t> </w:t>
      </w:r>
      <w:r>
        <w:rPr/>
        <w:t>at the</w:t>
      </w:r>
      <w:r>
        <w:rPr>
          <w:spacing w:val="-1"/>
        </w:rPr>
        <w:t> </w:t>
      </w:r>
      <w:r>
        <w:rPr/>
        <w:t>atomic</w:t>
      </w:r>
      <w:r>
        <w:rPr>
          <w:spacing w:val="5"/>
        </w:rPr>
        <w:t> </w:t>
      </w:r>
      <w:r>
        <w:rPr/>
        <w:t>level for</w:t>
      </w:r>
      <w:r>
        <w:rPr>
          <w:spacing w:val="-57"/>
        </w:rPr>
        <w:t> </w:t>
      </w:r>
      <w:r>
        <w:rPr/>
        <w:t>imperative residues</w:t>
      </w:r>
      <w:r>
        <w:rPr>
          <w:spacing w:val="-1"/>
        </w:rPr>
        <w:t> </w:t>
      </w:r>
      <w:r>
        <w:rPr/>
        <w:t>using</w:t>
      </w:r>
      <w:r>
        <w:rPr>
          <w:spacing w:val="2"/>
        </w:rPr>
        <w:t> </w:t>
      </w:r>
      <w:r>
        <w:rPr/>
        <w:t>the MM/GBSA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in</w:t>
      </w:r>
      <w:r>
        <w:rPr>
          <w:spacing w:val="7"/>
        </w:rPr>
        <w:t> </w:t>
      </w:r>
      <w:r>
        <w:rPr/>
        <w:t>Amber</w:t>
      </w:r>
      <w:r>
        <w:rPr>
          <w:spacing w:val="4"/>
        </w:rPr>
        <w:t> </w:t>
      </w:r>
      <w:r>
        <w:rPr/>
        <w:t>14.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6"/>
        </w:rPr>
      </w:pPr>
    </w:p>
    <w:p>
      <w:pPr>
        <w:pStyle w:val="Heading1"/>
        <w:spacing w:before="0"/>
        <w:ind w:left="305" w:right="687"/>
        <w:jc w:val="center"/>
      </w:pPr>
      <w:bookmarkStart w:name="_TOC_250043" w:id="50"/>
      <w:r>
        <w:rPr/>
        <w:t>CHAPTER</w:t>
      </w:r>
      <w:r>
        <w:rPr>
          <w:spacing w:val="-3"/>
        </w:rPr>
        <w:t> </w:t>
      </w:r>
      <w:bookmarkEnd w:id="50"/>
      <w:r>
        <w:rPr/>
        <w:t>FOUR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16"/>
        </w:numPr>
        <w:tabs>
          <w:tab w:pos="4385" w:val="left" w:leader="none"/>
        </w:tabs>
        <w:spacing w:line="240" w:lineRule="auto" w:before="179" w:after="0"/>
        <w:ind w:left="4384" w:right="0" w:hanging="361"/>
        <w:jc w:val="left"/>
      </w:pPr>
      <w:bookmarkStart w:name="_TOC_250042" w:id="51"/>
      <w:bookmarkEnd w:id="51"/>
      <w:r>
        <w:rPr/>
        <w:t>RESULT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16"/>
        </w:numPr>
        <w:tabs>
          <w:tab w:pos="3228" w:val="left" w:leader="none"/>
        </w:tabs>
        <w:spacing w:line="240" w:lineRule="auto" w:before="178" w:after="0"/>
        <w:ind w:left="3227" w:right="0" w:hanging="366"/>
        <w:jc w:val="left"/>
      </w:pPr>
      <w:bookmarkStart w:name="_TOC_250041" w:id="52"/>
      <w:r>
        <w:rPr/>
        <w:t>Designed</w:t>
      </w:r>
      <w:r>
        <w:rPr>
          <w:spacing w:val="-5"/>
        </w:rPr>
        <w:t> </w:t>
      </w:r>
      <w:r>
        <w:rPr/>
        <w:t>Substituted</w:t>
      </w:r>
      <w:r>
        <w:rPr>
          <w:spacing w:val="-4"/>
        </w:rPr>
        <w:t> </w:t>
      </w:r>
      <w:bookmarkEnd w:id="52"/>
      <w:r>
        <w:rPr/>
        <w:t>Chalcones</w:t>
      </w:r>
    </w:p>
    <w:p>
      <w:pPr>
        <w:pStyle w:val="BodyText"/>
        <w:spacing w:line="480" w:lineRule="auto" w:before="196"/>
        <w:ind w:left="312"/>
      </w:pP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formula, 2D</w:t>
      </w:r>
      <w:r>
        <w:rPr>
          <w:spacing w:val="1"/>
        </w:rPr>
        <w:t> </w:t>
      </w:r>
      <w:r>
        <w:rPr/>
        <w:t>structure and IUPAC names of the</w:t>
      </w:r>
      <w:r>
        <w:rPr>
          <w:spacing w:val="1"/>
        </w:rPr>
        <w:t> </w:t>
      </w:r>
      <w:r>
        <w:rPr/>
        <w:t>seventeen (17) chalcones</w:t>
      </w:r>
      <w:r>
        <w:rPr>
          <w:spacing w:val="-57"/>
        </w:rPr>
        <w:t> </w:t>
      </w:r>
      <w:r>
        <w:rPr/>
        <w:t>synthesized</w:t>
      </w:r>
      <w:r>
        <w:rPr>
          <w:spacing w:val="14"/>
        </w:rPr>
        <w:t> </w:t>
      </w:r>
      <w:r>
        <w:rPr/>
        <w:t>were</w:t>
      </w:r>
      <w:r>
        <w:rPr>
          <w:spacing w:val="8"/>
        </w:rPr>
        <w:t> </w:t>
      </w:r>
      <w:r>
        <w:rPr/>
        <w:t>presented</w:t>
      </w:r>
      <w:r>
        <w:rPr>
          <w:spacing w:val="15"/>
        </w:rPr>
        <w:t> </w:t>
      </w:r>
      <w:r>
        <w:rPr/>
        <w:t>in</w:t>
      </w:r>
      <w:r>
        <w:rPr>
          <w:spacing w:val="9"/>
        </w:rPr>
        <w:t> </w:t>
      </w:r>
      <w:r>
        <w:rPr/>
        <w:t>Tables</w:t>
      </w:r>
      <w:r>
        <w:rPr>
          <w:spacing w:val="7"/>
        </w:rPr>
        <w:t> </w:t>
      </w:r>
      <w:r>
        <w:rPr/>
        <w:t>4.1</w:t>
      </w:r>
      <w:r>
        <w:rPr>
          <w:spacing w:val="11"/>
        </w:rPr>
        <w:t> </w:t>
      </w:r>
      <w:r>
        <w:rPr/>
        <w:t>–</w:t>
      </w:r>
      <w:r>
        <w:rPr>
          <w:spacing w:val="10"/>
        </w:rPr>
        <w:t> </w:t>
      </w:r>
      <w:r>
        <w:rPr/>
        <w:t>4.3.</w:t>
      </w:r>
      <w:r>
        <w:rPr>
          <w:spacing w:val="14"/>
        </w:rPr>
        <w:t> </w:t>
      </w:r>
      <w:r>
        <w:rPr/>
        <w:t>Compounds</w:t>
      </w:r>
      <w:r>
        <w:rPr>
          <w:spacing w:val="12"/>
        </w:rPr>
        <w:t> </w:t>
      </w:r>
      <w:r>
        <w:rPr/>
        <w:t>P3,</w:t>
      </w:r>
      <w:r>
        <w:rPr>
          <w:spacing w:val="11"/>
        </w:rPr>
        <w:t> </w:t>
      </w:r>
      <w:r>
        <w:rPr/>
        <w:t>P4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P8</w:t>
      </w:r>
      <w:r>
        <w:rPr>
          <w:spacing w:val="14"/>
        </w:rPr>
        <w:t> </w:t>
      </w:r>
      <w:r>
        <w:rPr/>
        <w:t>are</w:t>
      </w:r>
      <w:r>
        <w:rPr>
          <w:spacing w:val="9"/>
        </w:rPr>
        <w:t> </w:t>
      </w:r>
      <w:r>
        <w:rPr/>
        <w:t>quinolinyl</w:t>
      </w:r>
    </w:p>
    <w:p>
      <w:pPr>
        <w:spacing w:after="0" w:line="480" w:lineRule="auto"/>
        <w:sectPr>
          <w:headerReference w:type="default" r:id="rId231"/>
          <w:footerReference w:type="default" r:id="rId23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7"/>
        <w:jc w:val="both"/>
      </w:pPr>
      <w:r>
        <w:rPr/>
        <w:t>chalcones from series two while, others represent various substituted chalcones. P1, P2, P3</w:t>
      </w:r>
      <w:r>
        <w:rPr>
          <w:spacing w:val="-57"/>
        </w:rPr>
        <w:t> </w:t>
      </w:r>
      <w:r>
        <w:rPr/>
        <w:t>and P8 are new compounds not reported in any literature/data base as ascertain from</w:t>
      </w:r>
      <w:r>
        <w:rPr>
          <w:spacing w:val="1"/>
        </w:rPr>
        <w:t> </w:t>
      </w:r>
      <w:r>
        <w:rPr/>
        <w:t>SciFinder</w:t>
      </w:r>
      <w:r>
        <w:rPr>
          <w:spacing w:val="2"/>
        </w:rPr>
        <w:t> </w:t>
      </w:r>
      <w:r>
        <w:rPr/>
        <w:t>search.</w:t>
      </w:r>
    </w:p>
    <w:p>
      <w:pPr>
        <w:pStyle w:val="Heading1"/>
        <w:numPr>
          <w:ilvl w:val="1"/>
          <w:numId w:val="16"/>
        </w:numPr>
        <w:tabs>
          <w:tab w:pos="2642" w:val="left" w:leader="none"/>
        </w:tabs>
        <w:spacing w:line="240" w:lineRule="auto" w:before="207" w:after="0"/>
        <w:ind w:left="2642" w:right="0" w:hanging="366"/>
        <w:jc w:val="both"/>
      </w:pPr>
      <w:bookmarkStart w:name="_TOC_250040" w:id="53"/>
      <w:r>
        <w:rPr/>
        <w:t>Analysis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Theoretical</w:t>
      </w:r>
      <w:r>
        <w:rPr>
          <w:spacing w:val="-6"/>
        </w:rPr>
        <w:t> </w:t>
      </w:r>
      <w:r>
        <w:rPr/>
        <w:t>Oral</w:t>
      </w:r>
      <w:r>
        <w:rPr>
          <w:spacing w:val="-6"/>
        </w:rPr>
        <w:t> </w:t>
      </w:r>
      <w:bookmarkEnd w:id="53"/>
      <w:r>
        <w:rPr/>
        <w:t>Bioavailability</w:t>
      </w:r>
    </w:p>
    <w:p>
      <w:pPr>
        <w:pStyle w:val="BodyText"/>
        <w:spacing w:line="480" w:lineRule="auto" w:before="194"/>
        <w:ind w:left="312" w:right="700"/>
        <w:jc w:val="both"/>
      </w:pPr>
      <w:r>
        <w:rPr/>
        <w:t>Table 4.4 present the molecular weight, hydrogen bond donor, hydrogen bond acceptor,</w:t>
      </w:r>
      <w:r>
        <w:rPr>
          <w:spacing w:val="1"/>
        </w:rPr>
        <w:t> </w:t>
      </w:r>
      <w:r>
        <w:rPr/>
        <w:t>number of rotatable bond and MLogP value of the synthesized chalcone for predicting</w:t>
      </w:r>
      <w:r>
        <w:rPr>
          <w:spacing w:val="1"/>
        </w:rPr>
        <w:t> </w:t>
      </w:r>
      <w:r>
        <w:rPr/>
        <w:t>theoretical</w:t>
      </w:r>
      <w:r>
        <w:rPr>
          <w:spacing w:val="-9"/>
        </w:rPr>
        <w:t> </w:t>
      </w:r>
      <w:r>
        <w:rPr/>
        <w:t>oral</w:t>
      </w:r>
      <w:r>
        <w:rPr>
          <w:spacing w:val="-4"/>
        </w:rPr>
        <w:t> </w:t>
      </w:r>
      <w:r>
        <w:rPr/>
        <w:t>bioavailability</w:t>
      </w:r>
      <w:r>
        <w:rPr>
          <w:spacing w:val="-4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2"/>
        </w:rPr>
        <w:t> </w:t>
      </w:r>
      <w:r>
        <w:rPr/>
        <w:t>Lipinski</w:t>
      </w:r>
      <w:r>
        <w:rPr>
          <w:spacing w:val="-4"/>
        </w:rPr>
        <w:t> </w:t>
      </w:r>
      <w:r>
        <w:rPr/>
        <w:t>‗s</w:t>
      </w:r>
      <w:r>
        <w:rPr>
          <w:spacing w:val="3"/>
        </w:rPr>
        <w:t> </w:t>
      </w:r>
      <w:r>
        <w:rPr/>
        <w:t>rule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five.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4"/>
        </w:rPr>
      </w:pPr>
    </w:p>
    <w:p>
      <w:pPr>
        <w:pStyle w:val="Heading1"/>
        <w:spacing w:before="0" w:after="6"/>
        <w:jc w:val="both"/>
      </w:pPr>
      <w:r>
        <w:rPr/>
        <w:t>Table</w:t>
      </w:r>
      <w:r>
        <w:rPr>
          <w:spacing w:val="-2"/>
        </w:rPr>
        <w:t> </w:t>
      </w:r>
      <w:r>
        <w:rPr/>
        <w:t>4.1:</w:t>
      </w:r>
      <w:r>
        <w:rPr>
          <w:spacing w:val="1"/>
        </w:rPr>
        <w:t> </w:t>
      </w:r>
      <w:r>
        <w:rPr/>
        <w:t>Chemical</w:t>
      </w:r>
      <w:r>
        <w:rPr>
          <w:spacing w:val="-6"/>
        </w:rPr>
        <w:t> </w:t>
      </w:r>
      <w:r>
        <w:rPr/>
        <w:t>description P1,</w:t>
      </w:r>
      <w:r>
        <w:rPr>
          <w:spacing w:val="1"/>
        </w:rPr>
        <w:t> </w:t>
      </w:r>
      <w:r>
        <w:rPr/>
        <w:t>P2,</w:t>
      </w:r>
      <w:r>
        <w:rPr>
          <w:spacing w:val="1"/>
        </w:rPr>
        <w:t> </w:t>
      </w:r>
      <w:r>
        <w:rPr/>
        <w:t>P3,</w:t>
      </w:r>
      <w:r>
        <w:rPr>
          <w:spacing w:val="-3"/>
        </w:rPr>
        <w:t> </w:t>
      </w:r>
      <w:r>
        <w:rPr/>
        <w:t>P4</w:t>
      </w:r>
      <w:r>
        <w:rPr>
          <w:spacing w:val="-1"/>
        </w:rPr>
        <w:t> </w:t>
      </w:r>
      <w:r>
        <w:rPr/>
        <w:t>and,</w:t>
      </w:r>
      <w:r>
        <w:rPr>
          <w:spacing w:val="1"/>
        </w:rPr>
        <w:t> </w:t>
      </w:r>
      <w:r>
        <w:rPr/>
        <w:t>P8</w:t>
      </w:r>
    </w:p>
    <w:tbl>
      <w:tblPr>
        <w:tblW w:w="0" w:type="auto"/>
        <w:jc w:val="left"/>
        <w:tblInd w:w="2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5"/>
        <w:gridCol w:w="1576"/>
        <w:gridCol w:w="5962"/>
      </w:tblGrid>
      <w:tr>
        <w:trPr>
          <w:trHeight w:val="753" w:hRule="atLeast"/>
        </w:trPr>
        <w:tc>
          <w:tcPr>
            <w:tcW w:w="143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7" w:lineRule="auto"/>
              <w:ind w:left="118" w:right="157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Compound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ID</w:t>
            </w:r>
          </w:p>
        </w:tc>
        <w:tc>
          <w:tcPr>
            <w:tcW w:w="15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37" w:lineRule="auto"/>
              <w:ind w:left="171" w:right="341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Molecular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formula</w:t>
            </w:r>
          </w:p>
        </w:tc>
        <w:tc>
          <w:tcPr>
            <w:tcW w:w="596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52"/>
              <w:rPr>
                <w:b/>
                <w:sz w:val="24"/>
              </w:rPr>
            </w:pPr>
            <w:r>
              <w:rPr>
                <w:b/>
                <w:sz w:val="24"/>
              </w:rPr>
              <w:t>2D-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Representation/IUPAC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Name</w:t>
            </w:r>
          </w:p>
        </w:tc>
      </w:tr>
    </w:tbl>
    <w:p>
      <w:pPr>
        <w:spacing w:after="0" w:line="273" w:lineRule="exact"/>
        <w:rPr>
          <w:sz w:val="24"/>
        </w:rPr>
        <w:sectPr>
          <w:headerReference w:type="default" r:id="rId233"/>
          <w:footerReference w:type="default" r:id="rId234"/>
          <w:pgSz w:w="11910" w:h="16840"/>
          <w:pgMar w:header="0" w:footer="878" w:top="1200" w:bottom="1060" w:left="1560" w:right="600"/>
        </w:sectPr>
      </w:pPr>
    </w:p>
    <w:tbl>
      <w:tblPr>
        <w:tblW w:w="0" w:type="auto"/>
        <w:jc w:val="left"/>
        <w:tblInd w:w="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3"/>
        <w:gridCol w:w="7983"/>
      </w:tblGrid>
      <w:tr>
        <w:trPr>
          <w:trHeight w:val="1465" w:hRule="atLeast"/>
        </w:trPr>
        <w:tc>
          <w:tcPr>
            <w:tcW w:w="9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79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9" w:lineRule="exact"/>
              <w:ind w:left="616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21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24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7</w:t>
            </w:r>
          </w:p>
        </w:tc>
      </w:tr>
      <w:tr>
        <w:trPr>
          <w:trHeight w:val="2547" w:hRule="atLeast"/>
        </w:trPr>
        <w:tc>
          <w:tcPr>
            <w:tcW w:w="983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3"/>
              <w:rPr>
                <w:b/>
                <w:sz w:val="24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798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09"/>
              <w:ind w:left="616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20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22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6</w:t>
            </w:r>
          </w:p>
        </w:tc>
      </w:tr>
      <w:tr>
        <w:trPr>
          <w:trHeight w:val="2172" w:hRule="atLeast"/>
        </w:trPr>
        <w:tc>
          <w:tcPr>
            <w:tcW w:w="983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76"/>
              <w:ind w:left="110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798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7"/>
              </w:rPr>
            </w:pPr>
          </w:p>
          <w:p>
            <w:pPr>
              <w:pStyle w:val="TableParagraph"/>
              <w:spacing w:before="1"/>
              <w:ind w:left="616"/>
              <w:rPr>
                <w:sz w:val="24"/>
              </w:rPr>
            </w:pPr>
            <w:r>
              <w:rPr>
                <w:sz w:val="24"/>
              </w:rPr>
              <w:t>C</w:t>
            </w:r>
            <w:r>
              <w:rPr>
                <w:sz w:val="24"/>
                <w:vertAlign w:val="subscript"/>
              </w:rPr>
              <w:t>21</w:t>
            </w:r>
            <w:r>
              <w:rPr>
                <w:sz w:val="24"/>
                <w:vertAlign w:val="baseline"/>
              </w:rPr>
              <w:t>H</w:t>
            </w:r>
            <w:r>
              <w:rPr>
                <w:sz w:val="24"/>
                <w:vertAlign w:val="subscript"/>
              </w:rPr>
              <w:t>18</w:t>
            </w:r>
            <w:r>
              <w:rPr>
                <w:sz w:val="24"/>
                <w:vertAlign w:val="baseline"/>
              </w:rPr>
              <w:t>ClNO</w:t>
            </w:r>
            <w:r>
              <w:rPr>
                <w:sz w:val="24"/>
                <w:vertAlign w:val="subscript"/>
              </w:rPr>
              <w:t>4</w:t>
            </w:r>
          </w:p>
        </w:tc>
      </w:tr>
      <w:tr>
        <w:trPr>
          <w:trHeight w:val="2187" w:hRule="atLeast"/>
        </w:trPr>
        <w:tc>
          <w:tcPr>
            <w:tcW w:w="983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04"/>
              <w:ind w:left="110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798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8"/>
              <w:rPr>
                <w:b/>
                <w:sz w:val="41"/>
              </w:rPr>
            </w:pPr>
          </w:p>
          <w:p>
            <w:pPr>
              <w:pStyle w:val="TableParagraph"/>
              <w:ind w:left="616"/>
              <w:rPr>
                <w:sz w:val="24"/>
              </w:rPr>
            </w:pPr>
            <w:r>
              <w:rPr>
                <w:sz w:val="24"/>
              </w:rPr>
              <w:t>C</w:t>
            </w:r>
            <w:r>
              <w:rPr>
                <w:sz w:val="24"/>
                <w:vertAlign w:val="subscript"/>
              </w:rPr>
              <w:t>20</w:t>
            </w:r>
            <w:r>
              <w:rPr>
                <w:sz w:val="24"/>
                <w:vertAlign w:val="baseline"/>
              </w:rPr>
              <w:t>H</w:t>
            </w:r>
            <w:r>
              <w:rPr>
                <w:sz w:val="24"/>
                <w:vertAlign w:val="subscript"/>
              </w:rPr>
              <w:t>16</w:t>
            </w:r>
            <w:r>
              <w:rPr>
                <w:sz w:val="24"/>
                <w:vertAlign w:val="baseline"/>
              </w:rPr>
              <w:t>ClNO</w:t>
            </w:r>
            <w:r>
              <w:rPr>
                <w:sz w:val="24"/>
                <w:vertAlign w:val="subscript"/>
              </w:rPr>
              <w:t>4</w:t>
            </w:r>
          </w:p>
        </w:tc>
      </w:tr>
      <w:tr>
        <w:trPr>
          <w:trHeight w:val="1374" w:hRule="atLeast"/>
        </w:trPr>
        <w:tc>
          <w:tcPr>
            <w:tcW w:w="983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267" w:lineRule="exact" w:before="191"/>
              <w:ind w:left="110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798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38"/>
              </w:rPr>
            </w:pPr>
          </w:p>
          <w:p>
            <w:pPr>
              <w:pStyle w:val="TableParagraph"/>
              <w:spacing w:line="267" w:lineRule="exact" w:before="1"/>
              <w:ind w:left="616"/>
              <w:rPr>
                <w:sz w:val="24"/>
              </w:rPr>
            </w:pPr>
            <w:r>
              <w:rPr>
                <w:sz w:val="24"/>
              </w:rPr>
              <w:t>C</w:t>
            </w:r>
            <w:r>
              <w:rPr>
                <w:sz w:val="24"/>
                <w:vertAlign w:val="subscript"/>
              </w:rPr>
              <w:t>22</w:t>
            </w:r>
            <w:r>
              <w:rPr>
                <w:sz w:val="24"/>
                <w:vertAlign w:val="baseline"/>
              </w:rPr>
              <w:t>H</w:t>
            </w:r>
            <w:r>
              <w:rPr>
                <w:sz w:val="24"/>
                <w:vertAlign w:val="subscript"/>
              </w:rPr>
              <w:t>20</w:t>
            </w:r>
            <w:r>
              <w:rPr>
                <w:sz w:val="24"/>
                <w:vertAlign w:val="baseline"/>
              </w:rPr>
              <w:t>ClNO</w:t>
            </w:r>
            <w:r>
              <w:rPr>
                <w:sz w:val="24"/>
                <w:vertAlign w:val="subscript"/>
              </w:rPr>
              <w:t>5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3"/>
        </w:rPr>
      </w:pPr>
      <w:r>
        <w:rPr/>
        <w:pict>
          <v:shape style="position:absolute;margin-left:88.104004pt;margin-top:9.613686pt;width:448.3pt;height:.5pt;mso-position-horizontal-relative:page;mso-position-vertical-relative:paragraph;z-index:-15706624;mso-wrap-distance-left:0;mso-wrap-distance-right:0" coordorigin="1762,192" coordsize="8966,10" path="m5013,192l3261,192,3251,192,3251,192,1762,192,1762,202,3251,202,3251,202,3261,202,5013,202,5013,192xm10728,192l5023,192,5013,192,5013,202,5023,202,10728,202,10728,192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7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4.2: Chemical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description 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P11,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P12, P13,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P15,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P16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P17</w:t>
      </w:r>
    </w:p>
    <w:tbl>
      <w:tblPr>
        <w:tblW w:w="0" w:type="auto"/>
        <w:jc w:val="left"/>
        <w:tblInd w:w="2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7"/>
        <w:gridCol w:w="1449"/>
        <w:gridCol w:w="6068"/>
      </w:tblGrid>
      <w:tr>
        <w:trPr>
          <w:trHeight w:val="753" w:hRule="atLeast"/>
        </w:trPr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2" w:lineRule="auto"/>
              <w:ind w:left="118" w:right="17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Compound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ID</w:t>
            </w:r>
          </w:p>
        </w:tc>
        <w:tc>
          <w:tcPr>
            <w:tcW w:w="14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42" w:lineRule="auto"/>
              <w:ind w:left="192" w:right="193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Molecular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formula</w:t>
            </w:r>
          </w:p>
        </w:tc>
        <w:tc>
          <w:tcPr>
            <w:tcW w:w="606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2" w:lineRule="exact"/>
              <w:ind w:left="203"/>
              <w:rPr>
                <w:b/>
                <w:sz w:val="24"/>
              </w:rPr>
            </w:pPr>
            <w:r>
              <w:rPr>
                <w:b/>
                <w:sz w:val="24"/>
              </w:rPr>
              <w:t>2D-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Representation</w:t>
            </w:r>
          </w:p>
        </w:tc>
      </w:tr>
    </w:tbl>
    <w:p>
      <w:pPr>
        <w:spacing w:after="0" w:line="272" w:lineRule="exact"/>
        <w:rPr>
          <w:sz w:val="24"/>
        </w:rPr>
        <w:sectPr>
          <w:headerReference w:type="default" r:id="rId235"/>
          <w:footerReference w:type="default" r:id="rId236"/>
          <w:pgSz w:w="11910" w:h="16840"/>
          <w:pgMar w:header="0" w:footer="878" w:top="1280" w:bottom="1060" w:left="1560" w:right="600"/>
        </w:sectPr>
      </w:pPr>
    </w:p>
    <w:tbl>
      <w:tblPr>
        <w:tblW w:w="0" w:type="auto"/>
        <w:jc w:val="left"/>
        <w:tblInd w:w="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4"/>
        <w:gridCol w:w="7902"/>
      </w:tblGrid>
      <w:tr>
        <w:trPr>
          <w:trHeight w:val="1119" w:hRule="atLeast"/>
        </w:trPr>
        <w:tc>
          <w:tcPr>
            <w:tcW w:w="106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790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9" w:lineRule="exact"/>
              <w:ind w:left="578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17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14</w:t>
            </w:r>
            <w:r>
              <w:rPr>
                <w:position w:val="3"/>
                <w:sz w:val="24"/>
              </w:rPr>
              <w:t>Cl</w:t>
            </w:r>
            <w:r>
              <w:rPr>
                <w:sz w:val="16"/>
              </w:rPr>
              <w:t>2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</w:tr>
      <w:tr>
        <w:trPr>
          <w:trHeight w:val="1930" w:hRule="atLeast"/>
        </w:trPr>
        <w:tc>
          <w:tcPr>
            <w:tcW w:w="1064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33"/>
              <w:ind w:left="110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79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85"/>
              <w:ind w:left="578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17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16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</w:tr>
      <w:tr>
        <w:trPr>
          <w:trHeight w:val="1978" w:hRule="atLeast"/>
        </w:trPr>
        <w:tc>
          <w:tcPr>
            <w:tcW w:w="1064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04"/>
              <w:ind w:left="110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79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7"/>
              <w:rPr>
                <w:b/>
                <w:sz w:val="41"/>
              </w:rPr>
            </w:pPr>
          </w:p>
          <w:p>
            <w:pPr>
              <w:pStyle w:val="TableParagraph"/>
              <w:ind w:left="578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18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16</w:t>
            </w:r>
            <w:r>
              <w:rPr>
                <w:position w:val="3"/>
                <w:sz w:val="24"/>
              </w:rPr>
              <w:t>Cl</w:t>
            </w:r>
            <w:r>
              <w:rPr>
                <w:sz w:val="16"/>
              </w:rPr>
              <w:t>2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4</w:t>
            </w:r>
          </w:p>
        </w:tc>
      </w:tr>
      <w:tr>
        <w:trPr>
          <w:trHeight w:val="1903" w:hRule="atLeast"/>
        </w:trPr>
        <w:tc>
          <w:tcPr>
            <w:tcW w:w="1064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4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79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33"/>
              <w:ind w:left="578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18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18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4</w:t>
            </w:r>
          </w:p>
        </w:tc>
      </w:tr>
      <w:tr>
        <w:trPr>
          <w:trHeight w:val="1723" w:hRule="atLeast"/>
        </w:trPr>
        <w:tc>
          <w:tcPr>
            <w:tcW w:w="1064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3"/>
              <w:rPr>
                <w:b/>
                <w:sz w:val="37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79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"/>
              <w:rPr>
                <w:b/>
                <w:sz w:val="35"/>
              </w:rPr>
            </w:pPr>
          </w:p>
          <w:p>
            <w:pPr>
              <w:pStyle w:val="TableParagraph"/>
              <w:ind w:left="578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16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14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2</w:t>
            </w:r>
          </w:p>
        </w:tc>
      </w:tr>
      <w:tr>
        <w:trPr>
          <w:trHeight w:val="985" w:hRule="atLeast"/>
        </w:trPr>
        <w:tc>
          <w:tcPr>
            <w:tcW w:w="1064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8"/>
              <w:rPr>
                <w:b/>
                <w:sz w:val="34"/>
              </w:rPr>
            </w:pPr>
          </w:p>
          <w:p>
            <w:pPr>
              <w:pStyle w:val="TableParagraph"/>
              <w:spacing w:line="267" w:lineRule="exact" w:before="1"/>
              <w:ind w:left="110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79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spacing w:line="268" w:lineRule="exact"/>
              <w:ind w:left="578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2O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22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6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0"/>
        </w:rPr>
      </w:pPr>
      <w:r>
        <w:rPr/>
        <w:pict>
          <v:rect style="position:absolute;margin-left:87.384003pt;margin-top:7.954662pt;width:448.996021pt;height:.479pt;mso-position-horizontal-relative:page;mso-position-vertical-relative:paragraph;z-index:-157061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5"/>
        </w:rPr>
      </w:pPr>
    </w:p>
    <w:p>
      <w:pPr>
        <w:pStyle w:val="Heading1"/>
        <w:spacing w:before="90"/>
      </w:pPr>
      <w:r>
        <w:rPr/>
        <w:t>Table</w:t>
      </w:r>
      <w:r>
        <w:rPr>
          <w:spacing w:val="-2"/>
        </w:rPr>
        <w:t> </w:t>
      </w:r>
      <w:r>
        <w:rPr/>
        <w:t>4.3: Chemical</w:t>
      </w:r>
      <w:r>
        <w:rPr>
          <w:spacing w:val="-5"/>
        </w:rPr>
        <w:t> </w:t>
      </w:r>
      <w:r>
        <w:rPr/>
        <w:t>description of</w:t>
      </w:r>
      <w:r>
        <w:rPr>
          <w:spacing w:val="-4"/>
        </w:rPr>
        <w:t> </w:t>
      </w:r>
      <w:r>
        <w:rPr/>
        <w:t>P19,</w:t>
      </w:r>
      <w:r>
        <w:rPr>
          <w:spacing w:val="1"/>
        </w:rPr>
        <w:t> </w:t>
      </w:r>
      <w:r>
        <w:rPr/>
        <w:t>P21,</w:t>
      </w:r>
      <w:r>
        <w:rPr>
          <w:spacing w:val="1"/>
        </w:rPr>
        <w:t> </w:t>
      </w:r>
      <w:r>
        <w:rPr/>
        <w:t>P22, P23,</w:t>
      </w:r>
      <w:r>
        <w:rPr>
          <w:spacing w:val="1"/>
        </w:rPr>
        <w:t> </w:t>
      </w:r>
      <w:r>
        <w:rPr/>
        <w:t>P24</w:t>
      </w:r>
      <w:r>
        <w:rPr>
          <w:spacing w:val="-1"/>
        </w:rPr>
        <w:t> </w:t>
      </w:r>
      <w:r>
        <w:rPr/>
        <w:t>and</w:t>
      </w:r>
      <w:r>
        <w:rPr>
          <w:spacing w:val="6"/>
        </w:rPr>
        <w:t> </w:t>
      </w:r>
      <w:r>
        <w:rPr/>
        <w:t>P25</w:t>
      </w:r>
    </w:p>
    <w:p>
      <w:pPr>
        <w:spacing w:after="0"/>
        <w:sectPr>
          <w:headerReference w:type="default" r:id="rId237"/>
          <w:footerReference w:type="default" r:id="rId238"/>
          <w:pgSz w:w="11910" w:h="16840"/>
          <w:pgMar w:header="0" w:footer="878" w:top="1280" w:bottom="1060" w:left="1560" w:right="600"/>
        </w:sectPr>
      </w:pPr>
    </w:p>
    <w:tbl>
      <w:tblPr>
        <w:tblW w:w="0" w:type="auto"/>
        <w:jc w:val="left"/>
        <w:tblInd w:w="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7"/>
        <w:gridCol w:w="2175"/>
        <w:gridCol w:w="5094"/>
      </w:tblGrid>
      <w:tr>
        <w:trPr>
          <w:trHeight w:val="474" w:hRule="atLeast"/>
        </w:trPr>
        <w:tc>
          <w:tcPr>
            <w:tcW w:w="169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Compound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ID</w:t>
            </w:r>
          </w:p>
        </w:tc>
        <w:tc>
          <w:tcPr>
            <w:tcW w:w="217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3"/>
              <w:rPr>
                <w:b/>
                <w:sz w:val="24"/>
              </w:rPr>
            </w:pPr>
            <w:r>
              <w:rPr>
                <w:b/>
                <w:sz w:val="24"/>
              </w:rPr>
              <w:t>Molecular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sz w:val="24"/>
              </w:rPr>
              <w:t>formula</w:t>
            </w:r>
          </w:p>
        </w:tc>
        <w:tc>
          <w:tcPr>
            <w:tcW w:w="509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28"/>
              <w:rPr>
                <w:b/>
                <w:sz w:val="24"/>
              </w:rPr>
            </w:pPr>
            <w:r>
              <w:rPr>
                <w:b/>
                <w:sz w:val="24"/>
              </w:rPr>
              <w:t>2D-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Representation</w:t>
            </w:r>
          </w:p>
        </w:tc>
      </w:tr>
      <w:tr>
        <w:trPr>
          <w:trHeight w:val="1055" w:hRule="atLeast"/>
        </w:trPr>
        <w:tc>
          <w:tcPr>
            <w:tcW w:w="169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P19</w:t>
            </w:r>
          </w:p>
        </w:tc>
        <w:tc>
          <w:tcPr>
            <w:tcW w:w="217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9" w:lineRule="exact"/>
              <w:ind w:left="113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17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16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509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874" w:hRule="atLeast"/>
        </w:trPr>
        <w:tc>
          <w:tcPr>
            <w:tcW w:w="169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68"/>
              <w:ind w:left="110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21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5"/>
              <w:rPr>
                <w:b/>
                <w:sz w:val="38"/>
              </w:rPr>
            </w:pPr>
          </w:p>
          <w:p>
            <w:pPr>
              <w:pStyle w:val="TableParagraph"/>
              <w:spacing w:before="1"/>
              <w:ind w:left="113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18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15</w:t>
            </w:r>
            <w:r>
              <w:rPr>
                <w:position w:val="3"/>
                <w:sz w:val="24"/>
              </w:rPr>
              <w:t>F</w:t>
            </w:r>
            <w:r>
              <w:rPr>
                <w:sz w:val="16"/>
              </w:rPr>
              <w:t>3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3</w:t>
            </w:r>
          </w:p>
        </w:tc>
        <w:tc>
          <w:tcPr>
            <w:tcW w:w="509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920" w:hRule="atLeast"/>
        </w:trPr>
        <w:tc>
          <w:tcPr>
            <w:tcW w:w="169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13"/>
              <w:ind w:left="110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21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66"/>
              <w:ind w:left="113"/>
              <w:rPr>
                <w:sz w:val="24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16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11</w:t>
            </w:r>
            <w:r>
              <w:rPr>
                <w:position w:val="3"/>
                <w:sz w:val="24"/>
              </w:rPr>
              <w:t>F</w:t>
            </w:r>
            <w:r>
              <w:rPr>
                <w:sz w:val="16"/>
              </w:rPr>
              <w:t>3</w:t>
            </w:r>
            <w:r>
              <w:rPr>
                <w:position w:val="3"/>
                <w:sz w:val="24"/>
              </w:rPr>
              <w:t>O</w:t>
            </w:r>
          </w:p>
        </w:tc>
        <w:tc>
          <w:tcPr>
            <w:tcW w:w="509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930" w:hRule="atLeast"/>
        </w:trPr>
        <w:tc>
          <w:tcPr>
            <w:tcW w:w="169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14"/>
              <w:ind w:left="110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21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66"/>
              <w:ind w:left="113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19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20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5</w:t>
            </w:r>
          </w:p>
        </w:tc>
        <w:tc>
          <w:tcPr>
            <w:tcW w:w="509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033" w:hRule="atLeast"/>
        </w:trPr>
        <w:tc>
          <w:tcPr>
            <w:tcW w:w="169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3"/>
              <w:ind w:left="110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21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6"/>
              <w:ind w:left="113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18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18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4</w:t>
            </w:r>
          </w:p>
        </w:tc>
        <w:tc>
          <w:tcPr>
            <w:tcW w:w="509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201" w:hRule="atLeast"/>
        </w:trPr>
        <w:tc>
          <w:tcPr>
            <w:tcW w:w="1697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21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line="268" w:lineRule="exact"/>
              <w:ind w:left="113"/>
              <w:rPr>
                <w:sz w:val="16"/>
              </w:rPr>
            </w:pPr>
            <w:r>
              <w:rPr>
                <w:position w:val="3"/>
                <w:sz w:val="24"/>
              </w:rPr>
              <w:t>C</w:t>
            </w:r>
            <w:r>
              <w:rPr>
                <w:sz w:val="16"/>
              </w:rPr>
              <w:t>16</w:t>
            </w:r>
            <w:r>
              <w:rPr>
                <w:position w:val="3"/>
                <w:sz w:val="24"/>
              </w:rPr>
              <w:t>H</w:t>
            </w:r>
            <w:r>
              <w:rPr>
                <w:sz w:val="16"/>
              </w:rPr>
              <w:t>12</w:t>
            </w:r>
            <w:r>
              <w:rPr>
                <w:position w:val="3"/>
                <w:sz w:val="24"/>
              </w:rPr>
              <w:t>Cl</w:t>
            </w:r>
            <w:r>
              <w:rPr>
                <w:sz w:val="16"/>
              </w:rPr>
              <w:t>2</w:t>
            </w:r>
            <w:r>
              <w:rPr>
                <w:position w:val="3"/>
                <w:sz w:val="24"/>
              </w:rPr>
              <w:t>O</w:t>
            </w:r>
            <w:r>
              <w:rPr>
                <w:sz w:val="16"/>
              </w:rPr>
              <w:t>2</w:t>
            </w:r>
          </w:p>
        </w:tc>
        <w:tc>
          <w:tcPr>
            <w:tcW w:w="5094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  <w:r>
        <w:rPr/>
        <w:pict>
          <v:rect style="position:absolute;margin-left:87.384003pt;margin-top:12.450092pt;width:448.996021pt;height:.479pt;mso-position-horizontal-relative:page;mso-position-vertical-relative:paragraph;z-index:-157056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18"/>
        </w:rPr>
        <w:sectPr>
          <w:headerReference w:type="default" r:id="rId239"/>
          <w:footerReference w:type="default" r:id="rId240"/>
          <w:pgSz w:w="11910" w:h="16840"/>
          <w:pgMar w:header="0" w:footer="798" w:top="1280" w:bottom="980" w:left="1560" w:right="600"/>
        </w:sectPr>
      </w:pPr>
    </w:p>
    <w:p>
      <w:pPr>
        <w:spacing w:line="237" w:lineRule="auto" w:before="77"/>
        <w:ind w:left="312" w:right="697" w:firstLine="0"/>
        <w:jc w:val="left"/>
        <w:rPr>
          <w:b/>
          <w:sz w:val="24"/>
        </w:rPr>
      </w:pPr>
      <w:r>
        <w:rPr/>
        <w:pict>
          <v:shape style="position:absolute;margin-left:88.104004pt;margin-top:31.501055pt;width:448.3pt;height:.5pt;mso-position-horizontal-relative:page;mso-position-vertical-relative:paragraph;z-index:15752192" coordorigin="1762,630" coordsize="8966,10" path="m10727,630l3539,630,3529,630,1762,630,1762,640,3529,640,3539,640,10727,640,10727,630xe" filled="true" fillcolor="#000000" stroked="false">
            <v:path arrowok="t"/>
            <v:fill type="solid"/>
            <w10:wrap type="none"/>
          </v:shape>
        </w:pict>
      </w: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4.4: Analysis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theoretical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oral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bioavailability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substituted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chalcones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based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Lipinski’s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rule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five</w:t>
      </w:r>
    </w:p>
    <w:tbl>
      <w:tblPr>
        <w:tblW w:w="0" w:type="auto"/>
        <w:jc w:val="left"/>
        <w:tblInd w:w="2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6"/>
        <w:gridCol w:w="1296"/>
        <w:gridCol w:w="1012"/>
        <w:gridCol w:w="977"/>
        <w:gridCol w:w="944"/>
        <w:gridCol w:w="1287"/>
        <w:gridCol w:w="1720"/>
      </w:tblGrid>
      <w:tr>
        <w:trPr>
          <w:trHeight w:val="459" w:hRule="atLeast"/>
        </w:trPr>
        <w:tc>
          <w:tcPr>
            <w:tcW w:w="1736" w:type="dxa"/>
          </w:tcPr>
          <w:p>
            <w:pPr>
              <w:pStyle w:val="TableParagraph"/>
              <w:spacing w:before="8"/>
              <w:ind w:left="118"/>
              <w:rPr>
                <w:b/>
                <w:sz w:val="24"/>
              </w:rPr>
            </w:pPr>
            <w:r>
              <w:rPr>
                <w:b/>
                <w:sz w:val="24"/>
              </w:rPr>
              <w:t>Compound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ID</w:t>
            </w:r>
          </w:p>
        </w:tc>
        <w:tc>
          <w:tcPr>
            <w:tcW w:w="3285" w:type="dxa"/>
            <w:gridSpan w:val="3"/>
          </w:tcPr>
          <w:p>
            <w:pPr>
              <w:pStyle w:val="TableParagraph"/>
              <w:spacing w:before="8"/>
              <w:ind w:left="144"/>
              <w:rPr>
                <w:b/>
                <w:sz w:val="24"/>
              </w:rPr>
            </w:pPr>
            <w:r>
              <w:rPr>
                <w:b/>
                <w:sz w:val="24"/>
              </w:rPr>
              <w:t>Lipinski’s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rule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five</w:t>
            </w:r>
            <w:r>
              <w:rPr>
                <w:b/>
                <w:sz w:val="24"/>
                <w:vertAlign w:val="superscript"/>
              </w:rPr>
              <w:t>b</w:t>
            </w:r>
          </w:p>
        </w:tc>
        <w:tc>
          <w:tcPr>
            <w:tcW w:w="9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2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05" w:hRule="atLeast"/>
        </w:trPr>
        <w:tc>
          <w:tcPr>
            <w:tcW w:w="173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4"/>
              <w:ind w:left="144"/>
              <w:rPr>
                <w:b/>
                <w:sz w:val="24"/>
              </w:rPr>
            </w:pPr>
            <w:r>
              <w:rPr>
                <w:b/>
                <w:sz w:val="24"/>
              </w:rPr>
              <w:t>Mol.Wt</w:t>
            </w:r>
            <w:r>
              <w:rPr>
                <w:b/>
                <w:sz w:val="24"/>
                <w:vertAlign w:val="superscript"/>
              </w:rPr>
              <w:t>a</w:t>
            </w:r>
          </w:p>
        </w:tc>
        <w:tc>
          <w:tcPr>
            <w:tcW w:w="101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4"/>
              <w:ind w:left="274"/>
              <w:rPr>
                <w:b/>
                <w:sz w:val="24"/>
              </w:rPr>
            </w:pPr>
            <w:r>
              <w:rPr>
                <w:b/>
                <w:sz w:val="24"/>
              </w:rPr>
              <w:t>HbA</w:t>
            </w:r>
          </w:p>
        </w:tc>
        <w:tc>
          <w:tcPr>
            <w:tcW w:w="9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4"/>
              <w:ind w:left="241"/>
              <w:rPr>
                <w:b/>
                <w:sz w:val="24"/>
              </w:rPr>
            </w:pPr>
            <w:r>
              <w:rPr>
                <w:b/>
                <w:sz w:val="24"/>
              </w:rPr>
              <w:t>HbD</w:t>
            </w:r>
          </w:p>
        </w:tc>
        <w:tc>
          <w:tcPr>
            <w:tcW w:w="9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4"/>
              <w:ind w:left="239"/>
              <w:rPr>
                <w:b/>
                <w:sz w:val="24"/>
              </w:rPr>
            </w:pPr>
            <w:r>
              <w:rPr>
                <w:b/>
                <w:sz w:val="24"/>
              </w:rPr>
              <w:t>nRB</w:t>
            </w:r>
          </w:p>
        </w:tc>
        <w:tc>
          <w:tcPr>
            <w:tcW w:w="12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4"/>
              <w:ind w:left="237"/>
              <w:rPr>
                <w:b/>
                <w:sz w:val="24"/>
              </w:rPr>
            </w:pPr>
            <w:r>
              <w:rPr>
                <w:b/>
                <w:sz w:val="24"/>
              </w:rPr>
              <w:t>MLogP</w:t>
            </w:r>
          </w:p>
        </w:tc>
        <w:tc>
          <w:tcPr>
            <w:tcW w:w="17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64"/>
              <w:ind w:left="275"/>
              <w:rPr>
                <w:b/>
                <w:sz w:val="24"/>
              </w:rPr>
            </w:pPr>
            <w:r>
              <w:rPr>
                <w:b/>
                <w:sz w:val="24"/>
              </w:rPr>
              <w:t>Inference</w:t>
            </w:r>
          </w:p>
        </w:tc>
      </w:tr>
      <w:tr>
        <w:trPr>
          <w:trHeight w:val="437" w:hRule="atLeast"/>
        </w:trPr>
        <w:tc>
          <w:tcPr>
            <w:tcW w:w="173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118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129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144"/>
              <w:rPr>
                <w:sz w:val="24"/>
              </w:rPr>
            </w:pPr>
            <w:r>
              <w:rPr>
                <w:sz w:val="24"/>
              </w:rPr>
              <w:t>388.41</w:t>
            </w:r>
          </w:p>
        </w:tc>
        <w:tc>
          <w:tcPr>
            <w:tcW w:w="101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27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9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23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2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237"/>
              <w:rPr>
                <w:sz w:val="24"/>
              </w:rPr>
            </w:pPr>
            <w:r>
              <w:rPr>
                <w:sz w:val="24"/>
              </w:rPr>
              <w:t>1.36</w:t>
            </w:r>
          </w:p>
        </w:tc>
        <w:tc>
          <w:tcPr>
            <w:tcW w:w="17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4" w:lineRule="exact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358.39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1.67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5"/>
              <w:ind w:left="118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5"/>
              <w:ind w:left="144"/>
              <w:rPr>
                <w:sz w:val="24"/>
              </w:rPr>
            </w:pPr>
            <w:r>
              <w:rPr>
                <w:sz w:val="24"/>
              </w:rPr>
              <w:t>383.82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5"/>
              <w:ind w:left="27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77" w:type="dxa"/>
          </w:tcPr>
          <w:p>
            <w:pPr>
              <w:pStyle w:val="TableParagraph"/>
              <w:spacing w:before="145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5"/>
              <w:ind w:left="23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5"/>
              <w:ind w:left="237"/>
              <w:rPr>
                <w:sz w:val="24"/>
              </w:rPr>
            </w:pPr>
            <w:r>
              <w:rPr>
                <w:sz w:val="24"/>
              </w:rPr>
              <w:t>2.35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5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353.80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2.69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413.85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2.01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2" w:hRule="atLeast"/>
        </w:trPr>
        <w:tc>
          <w:tcPr>
            <w:tcW w:w="1736" w:type="dxa"/>
          </w:tcPr>
          <w:p>
            <w:pPr>
              <w:pStyle w:val="TableParagraph"/>
              <w:spacing w:before="145"/>
              <w:ind w:left="118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5"/>
              <w:ind w:left="144"/>
              <w:rPr>
                <w:sz w:val="24"/>
              </w:rPr>
            </w:pPr>
            <w:r>
              <w:rPr>
                <w:sz w:val="24"/>
              </w:rPr>
              <w:t>337.20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5"/>
              <w:ind w:left="27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>
            <w:pPr>
              <w:pStyle w:val="TableParagraph"/>
              <w:spacing w:before="145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5"/>
              <w:ind w:left="2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5"/>
              <w:ind w:left="237"/>
              <w:rPr>
                <w:sz w:val="24"/>
              </w:rPr>
            </w:pPr>
            <w:r>
              <w:rPr>
                <w:sz w:val="24"/>
              </w:rPr>
              <w:t>3.67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5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2" w:hRule="atLeast"/>
        </w:trPr>
        <w:tc>
          <w:tcPr>
            <w:tcW w:w="1736" w:type="dxa"/>
          </w:tcPr>
          <w:p>
            <w:pPr>
              <w:pStyle w:val="TableParagraph"/>
              <w:spacing w:before="142"/>
              <w:ind w:left="118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2"/>
              <w:ind w:left="144"/>
              <w:rPr>
                <w:sz w:val="24"/>
              </w:rPr>
            </w:pPr>
            <w:r>
              <w:rPr>
                <w:sz w:val="24"/>
              </w:rPr>
              <w:t>268.31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2"/>
              <w:ind w:left="27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>
            <w:pPr>
              <w:pStyle w:val="TableParagraph"/>
              <w:spacing w:before="142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2"/>
              <w:ind w:left="2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2"/>
              <w:ind w:left="237"/>
              <w:rPr>
                <w:sz w:val="24"/>
              </w:rPr>
            </w:pPr>
            <w:r>
              <w:rPr>
                <w:sz w:val="24"/>
              </w:rPr>
              <w:t>2.66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2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5"/>
              <w:ind w:left="118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5"/>
              <w:ind w:left="144"/>
              <w:rPr>
                <w:sz w:val="24"/>
              </w:rPr>
            </w:pPr>
            <w:r>
              <w:rPr>
                <w:sz w:val="24"/>
              </w:rPr>
              <w:t>367.22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5"/>
              <w:ind w:left="27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</w:tcPr>
          <w:p>
            <w:pPr>
              <w:pStyle w:val="TableParagraph"/>
              <w:spacing w:before="145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5"/>
              <w:ind w:left="23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5"/>
              <w:ind w:left="237"/>
              <w:rPr>
                <w:sz w:val="24"/>
              </w:rPr>
            </w:pPr>
            <w:r>
              <w:rPr>
                <w:sz w:val="24"/>
              </w:rPr>
              <w:t>3.31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5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298.33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2.31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238.28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3.03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5"/>
              <w:ind w:left="118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5"/>
              <w:ind w:left="144"/>
              <w:rPr>
                <w:sz w:val="24"/>
              </w:rPr>
            </w:pPr>
            <w:r>
              <w:rPr>
                <w:sz w:val="24"/>
              </w:rPr>
              <w:t>358.39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5"/>
              <w:ind w:left="27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77" w:type="dxa"/>
          </w:tcPr>
          <w:p>
            <w:pPr>
              <w:pStyle w:val="TableParagraph"/>
              <w:spacing w:before="145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5"/>
              <w:ind w:left="23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5"/>
              <w:ind w:left="237"/>
              <w:rPr>
                <w:sz w:val="24"/>
              </w:rPr>
            </w:pPr>
            <w:r>
              <w:rPr>
                <w:sz w:val="24"/>
              </w:rPr>
              <w:t>1.67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5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P19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268.31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2.66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595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336.31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3.51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33" w:hRule="atLeast"/>
        </w:trPr>
        <w:tc>
          <w:tcPr>
            <w:tcW w:w="1736" w:type="dxa"/>
          </w:tcPr>
          <w:p>
            <w:pPr>
              <w:pStyle w:val="TableParagraph"/>
              <w:spacing w:before="164"/>
              <w:ind w:left="118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1296" w:type="dxa"/>
          </w:tcPr>
          <w:p>
            <w:pPr>
              <w:pStyle w:val="TableParagraph"/>
              <w:spacing w:before="164"/>
              <w:ind w:left="144"/>
              <w:rPr>
                <w:sz w:val="24"/>
              </w:rPr>
            </w:pPr>
            <w:r>
              <w:rPr>
                <w:sz w:val="24"/>
              </w:rPr>
              <w:t>276.25</w:t>
            </w:r>
          </w:p>
        </w:tc>
        <w:tc>
          <w:tcPr>
            <w:tcW w:w="1012" w:type="dxa"/>
          </w:tcPr>
          <w:p>
            <w:pPr>
              <w:pStyle w:val="TableParagraph"/>
              <w:spacing w:before="164"/>
              <w:ind w:left="27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</w:tcPr>
          <w:p>
            <w:pPr>
              <w:pStyle w:val="TableParagraph"/>
              <w:spacing w:before="16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64"/>
              <w:ind w:left="2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87" w:type="dxa"/>
          </w:tcPr>
          <w:p>
            <w:pPr>
              <w:pStyle w:val="TableParagraph"/>
              <w:spacing w:before="164"/>
              <w:ind w:left="237"/>
              <w:rPr>
                <w:sz w:val="24"/>
              </w:rPr>
            </w:pPr>
            <w:r>
              <w:rPr>
                <w:sz w:val="24"/>
              </w:rPr>
              <w:t>4.32</w:t>
            </w:r>
          </w:p>
        </w:tc>
        <w:tc>
          <w:tcPr>
            <w:tcW w:w="1720" w:type="dxa"/>
          </w:tcPr>
          <w:p>
            <w:pPr>
              <w:pStyle w:val="TableParagraph"/>
              <w:spacing w:before="16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  <w:r>
              <w:rPr>
                <w:sz w:val="24"/>
                <w:vertAlign w:val="superscript"/>
              </w:rPr>
              <w:t>c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328.36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77" w:type="dxa"/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1.99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614" w:hRule="atLeast"/>
        </w:trPr>
        <w:tc>
          <w:tcPr>
            <w:tcW w:w="1736" w:type="dxa"/>
          </w:tcPr>
          <w:p>
            <w:pPr>
              <w:pStyle w:val="TableParagraph"/>
              <w:spacing w:before="145"/>
              <w:ind w:left="118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1296" w:type="dxa"/>
          </w:tcPr>
          <w:p>
            <w:pPr>
              <w:pStyle w:val="TableParagraph"/>
              <w:spacing w:before="145"/>
              <w:ind w:left="144"/>
              <w:rPr>
                <w:sz w:val="24"/>
              </w:rPr>
            </w:pPr>
            <w:r>
              <w:rPr>
                <w:sz w:val="24"/>
              </w:rPr>
              <w:t>298.33</w:t>
            </w:r>
          </w:p>
        </w:tc>
        <w:tc>
          <w:tcPr>
            <w:tcW w:w="1012" w:type="dxa"/>
          </w:tcPr>
          <w:p>
            <w:pPr>
              <w:pStyle w:val="TableParagraph"/>
              <w:spacing w:before="145"/>
              <w:ind w:left="27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</w:tcPr>
          <w:p>
            <w:pPr>
              <w:pStyle w:val="TableParagraph"/>
              <w:spacing w:before="145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</w:tcPr>
          <w:p>
            <w:pPr>
              <w:pStyle w:val="TableParagraph"/>
              <w:spacing w:before="145"/>
              <w:ind w:left="23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87" w:type="dxa"/>
          </w:tcPr>
          <w:p>
            <w:pPr>
              <w:pStyle w:val="TableParagraph"/>
              <w:spacing w:before="145"/>
              <w:ind w:left="237"/>
              <w:rPr>
                <w:sz w:val="24"/>
              </w:rPr>
            </w:pPr>
            <w:r>
              <w:rPr>
                <w:sz w:val="24"/>
              </w:rPr>
              <w:t>2.31</w:t>
            </w:r>
          </w:p>
        </w:tc>
        <w:tc>
          <w:tcPr>
            <w:tcW w:w="1720" w:type="dxa"/>
          </w:tcPr>
          <w:p>
            <w:pPr>
              <w:pStyle w:val="TableParagraph"/>
              <w:spacing w:before="145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  <w:tr>
        <w:trPr>
          <w:trHeight w:val="791" w:hRule="atLeast"/>
        </w:trPr>
        <w:tc>
          <w:tcPr>
            <w:tcW w:w="173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118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29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144"/>
              <w:rPr>
                <w:sz w:val="24"/>
              </w:rPr>
            </w:pPr>
            <w:r>
              <w:rPr>
                <w:sz w:val="24"/>
              </w:rPr>
              <w:t>307.17</w:t>
            </w:r>
          </w:p>
        </w:tc>
        <w:tc>
          <w:tcPr>
            <w:tcW w:w="101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27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24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2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237"/>
              <w:rPr>
                <w:sz w:val="24"/>
              </w:rPr>
            </w:pPr>
            <w:r>
              <w:rPr>
                <w:sz w:val="24"/>
              </w:rPr>
              <w:t>4.05</w:t>
            </w:r>
          </w:p>
        </w:tc>
        <w:tc>
          <w:tcPr>
            <w:tcW w:w="17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4"/>
              <w:ind w:left="275"/>
              <w:rPr>
                <w:sz w:val="24"/>
              </w:rPr>
            </w:pPr>
            <w:r>
              <w:rPr>
                <w:sz w:val="24"/>
              </w:rPr>
              <w:t>Pass</w:t>
            </w:r>
          </w:p>
        </w:tc>
      </w:tr>
    </w:tbl>
    <w:p>
      <w:pPr>
        <w:pStyle w:val="BodyText"/>
        <w:ind w:left="312" w:right="690"/>
        <w:jc w:val="both"/>
      </w:pPr>
      <w:r>
        <w:rPr/>
        <w:t>(a) Molecular weight in g/mol, (b) Lipinski </w:t>
      </w:r>
      <w:r>
        <w:rPr>
          <w:i/>
        </w:rPr>
        <w:t>et al., </w:t>
      </w:r>
      <w:r>
        <w:rPr/>
        <w:t>2001 (Mwt≤500, MLogP≤4.15, N or</w:t>
      </w:r>
      <w:r>
        <w:rPr>
          <w:spacing w:val="1"/>
        </w:rPr>
        <w:t> </w:t>
      </w:r>
      <w:r>
        <w:rPr/>
        <w:t>O≤10, NH or OH≤5 and number of rotatable bonds≤ 10), (c) pass with one violation</w:t>
      </w:r>
      <w:r>
        <w:rPr>
          <w:spacing w:val="1"/>
        </w:rPr>
        <w:t> </w:t>
      </w:r>
      <w:r>
        <w:rPr/>
        <w:t>(MLogP˃4.15).</w:t>
      </w:r>
    </w:p>
    <w:p>
      <w:pPr>
        <w:spacing w:after="0"/>
        <w:jc w:val="both"/>
        <w:sectPr>
          <w:headerReference w:type="default" r:id="rId241"/>
          <w:footerReference w:type="default" r:id="rId242"/>
          <w:pgSz w:w="11910" w:h="16840"/>
          <w:pgMar w:header="0" w:footer="798" w:top="1200" w:bottom="980" w:left="1560" w:right="600"/>
        </w:sectPr>
      </w:pPr>
    </w:p>
    <w:p>
      <w:pPr>
        <w:pStyle w:val="Heading1"/>
        <w:numPr>
          <w:ilvl w:val="1"/>
          <w:numId w:val="16"/>
        </w:numPr>
        <w:tabs>
          <w:tab w:pos="1768" w:val="left" w:leader="none"/>
        </w:tabs>
        <w:spacing w:line="240" w:lineRule="auto" w:before="74" w:after="0"/>
        <w:ind w:left="1767" w:right="0" w:hanging="365"/>
        <w:jc w:val="left"/>
      </w:pPr>
      <w:bookmarkStart w:name="_TOC_250039" w:id="54"/>
      <w:r>
        <w:rPr/>
        <w:t>Synthesis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Characterization</w:t>
      </w:r>
      <w:r>
        <w:rPr>
          <w:spacing w:val="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Substituted</w:t>
      </w:r>
      <w:r>
        <w:rPr>
          <w:spacing w:val="-7"/>
        </w:rPr>
        <w:t> </w:t>
      </w:r>
      <w:bookmarkEnd w:id="54"/>
      <w:r>
        <w:rPr/>
        <w:t>Chalcones</w:t>
      </w:r>
    </w:p>
    <w:p>
      <w:pPr>
        <w:pStyle w:val="Heading1"/>
        <w:numPr>
          <w:ilvl w:val="2"/>
          <w:numId w:val="17"/>
        </w:numPr>
        <w:tabs>
          <w:tab w:pos="855" w:val="left" w:leader="none"/>
        </w:tabs>
        <w:spacing w:line="240" w:lineRule="auto" w:before="200" w:after="0"/>
        <w:ind w:left="854" w:right="0" w:hanging="543"/>
        <w:jc w:val="both"/>
      </w:pPr>
      <w:bookmarkStart w:name="_TOC_250038" w:id="55"/>
      <w:r>
        <w:rPr/>
        <w:t>Yield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some</w:t>
      </w:r>
      <w:r>
        <w:rPr>
          <w:spacing w:val="-3"/>
        </w:rPr>
        <w:t> </w:t>
      </w:r>
      <w:r>
        <w:rPr/>
        <w:t>physical</w:t>
      </w:r>
      <w:r>
        <w:rPr>
          <w:spacing w:val="-6"/>
        </w:rPr>
        <w:t> </w:t>
      </w:r>
      <w:r>
        <w:rPr/>
        <w:t>properties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substituted</w:t>
      </w:r>
      <w:r>
        <w:rPr>
          <w:spacing w:val="-5"/>
        </w:rPr>
        <w:t> </w:t>
      </w:r>
      <w:bookmarkEnd w:id="55"/>
      <w:r>
        <w:rPr/>
        <w:t>chalcones.</w:t>
      </w:r>
    </w:p>
    <w:p>
      <w:pPr>
        <w:pStyle w:val="BodyText"/>
        <w:spacing w:line="480" w:lineRule="auto" w:before="194"/>
        <w:ind w:left="312" w:right="699"/>
        <w:jc w:val="both"/>
      </w:pPr>
      <w:r>
        <w:rPr/>
        <w:t>The yield and some physical properties of the synthesized compounds are presented in</w:t>
      </w:r>
      <w:r>
        <w:rPr>
          <w:spacing w:val="1"/>
        </w:rPr>
        <w:t> </w:t>
      </w:r>
      <w:r>
        <w:rPr/>
        <w:t>Table 4.5.The yield of the various chalcones ranges from low to high, with P11, P12, P22,</w:t>
      </w:r>
      <w:r>
        <w:rPr>
          <w:spacing w:val="1"/>
        </w:rPr>
        <w:t> </w:t>
      </w:r>
      <w:r>
        <w:rPr/>
        <w:t>P23 and P25 having the highest yield. Most of the compounds appeared as crystals after</w:t>
      </w:r>
      <w:r>
        <w:rPr>
          <w:spacing w:val="1"/>
        </w:rPr>
        <w:t> </w:t>
      </w:r>
      <w:r>
        <w:rPr/>
        <w:t>purification, only</w:t>
      </w:r>
      <w:r>
        <w:rPr>
          <w:spacing w:val="-6"/>
        </w:rPr>
        <w:t> </w:t>
      </w:r>
      <w:r>
        <w:rPr/>
        <w:t>P1</w:t>
      </w:r>
      <w:r>
        <w:rPr>
          <w:spacing w:val="-1"/>
        </w:rPr>
        <w:t> </w:t>
      </w:r>
      <w:r>
        <w:rPr/>
        <w:t>occurred</w:t>
      </w:r>
      <w:r>
        <w:rPr>
          <w:spacing w:val="-6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viscous</w:t>
      </w:r>
      <w:r>
        <w:rPr>
          <w:spacing w:val="-4"/>
        </w:rPr>
        <w:t> </w:t>
      </w:r>
      <w:r>
        <w:rPr/>
        <w:t>gum.</w:t>
      </w:r>
      <w:r>
        <w:rPr>
          <w:spacing w:val="8"/>
        </w:rPr>
        <w:t> </w:t>
      </w:r>
      <w:r>
        <w:rPr/>
        <w:t>Color</w:t>
      </w:r>
      <w:r>
        <w:rPr>
          <w:spacing w:val="-3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3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mostly</w:t>
      </w:r>
      <w:r>
        <w:rPr>
          <w:spacing w:val="-6"/>
        </w:rPr>
        <w:t> </w:t>
      </w:r>
      <w:r>
        <w:rPr/>
        <w:t>yellow.</w:t>
      </w:r>
    </w:p>
    <w:p>
      <w:pPr>
        <w:spacing w:after="0" w:line="480" w:lineRule="auto"/>
        <w:jc w:val="both"/>
        <w:sectPr>
          <w:headerReference w:type="default" r:id="rId243"/>
          <w:footerReference w:type="default" r:id="rId244"/>
          <w:pgSz w:w="11910" w:h="16840"/>
          <w:pgMar w:header="0" w:footer="878" w:top="1200" w:bottom="1060" w:left="1560" w:right="600"/>
        </w:sectPr>
      </w:pPr>
    </w:p>
    <w:p>
      <w:pPr>
        <w:pStyle w:val="Heading1"/>
        <w:spacing w:before="74"/>
        <w:jc w:val="both"/>
      </w:pPr>
      <w:r>
        <w:rPr/>
        <w:pict>
          <v:shape style="position:absolute;margin-left:88.104004pt;margin-top:45.863087pt;width:448.3pt;height:.5pt;mso-position-horizontal-relative:page;mso-position-vertical-relative:paragraph;z-index:-22200832" coordorigin="1762,917" coordsize="8966,10" path="m3491,917l3481,917,3481,917,1762,917,1762,927,3481,927,3481,927,3491,927,3491,917xm7016,917l7006,917,6924,917,6915,917,6915,917,5758,917,5748,917,5666,917,5657,917,3491,917,3491,927,5657,927,5666,927,5748,927,5758,927,6915,927,6915,927,6924,927,7006,927,7016,927,7016,917xm9090,917l9081,917,7016,917,7016,927,9081,927,9090,927,9090,917xm10727,917l9090,917,9090,927,10727,927,10727,917xe" filled="true" fillcolor="#000000" stroked="false">
            <v:path arrowok="t"/>
            <v:fill type="solid"/>
            <w10:wrap type="none"/>
          </v:shape>
        </w:pict>
      </w:r>
      <w:r>
        <w:rPr/>
        <w:t>Table</w:t>
      </w:r>
      <w:r>
        <w:rPr>
          <w:spacing w:val="-3"/>
        </w:rPr>
        <w:t> </w:t>
      </w:r>
      <w:r>
        <w:rPr/>
        <w:t>4.5: Yield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Some</w:t>
      </w:r>
      <w:r>
        <w:rPr>
          <w:spacing w:val="-3"/>
        </w:rPr>
        <w:t> </w:t>
      </w:r>
      <w:r>
        <w:rPr/>
        <w:t>Physical</w:t>
      </w:r>
      <w:r>
        <w:rPr>
          <w:spacing w:val="-7"/>
        </w:rPr>
        <w:t> </w:t>
      </w:r>
      <w:r>
        <w:rPr/>
        <w:t>Properties 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substituted</w:t>
      </w:r>
      <w:r>
        <w:rPr>
          <w:spacing w:val="-2"/>
        </w:rPr>
        <w:t> </w:t>
      </w:r>
      <w:r>
        <w:rPr/>
        <w:t>chalcones</w:t>
      </w:r>
    </w:p>
    <w:tbl>
      <w:tblPr>
        <w:tblW w:w="0" w:type="auto"/>
        <w:jc w:val="left"/>
        <w:tblInd w:w="2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4"/>
        <w:gridCol w:w="2220"/>
        <w:gridCol w:w="1187"/>
        <w:gridCol w:w="2166"/>
        <w:gridCol w:w="1687"/>
      </w:tblGrid>
      <w:tr>
        <w:trPr>
          <w:trHeight w:val="409" w:hRule="atLeast"/>
        </w:trPr>
        <w:tc>
          <w:tcPr>
            <w:tcW w:w="171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118"/>
              <w:rPr>
                <w:b/>
                <w:sz w:val="24"/>
              </w:rPr>
            </w:pPr>
            <w:r>
              <w:rPr>
                <w:b/>
                <w:sz w:val="24"/>
              </w:rPr>
              <w:t>Compound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ID</w:t>
            </w:r>
          </w:p>
        </w:tc>
        <w:tc>
          <w:tcPr>
            <w:tcW w:w="22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Color/appearance</w:t>
            </w:r>
          </w:p>
        </w:tc>
        <w:tc>
          <w:tcPr>
            <w:tcW w:w="11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R</w:t>
            </w:r>
            <w:r>
              <w:rPr>
                <w:b/>
                <w:sz w:val="24"/>
                <w:vertAlign w:val="subscript"/>
              </w:rPr>
              <w:t>f</w:t>
            </w:r>
            <w:r>
              <w:rPr>
                <w:b/>
                <w:spacing w:val="-3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Value</w:t>
            </w:r>
            <w:r>
              <w:rPr>
                <w:b/>
                <w:sz w:val="24"/>
                <w:vertAlign w:val="superscript"/>
              </w:rPr>
              <w:t>a</w:t>
            </w:r>
          </w:p>
        </w:tc>
        <w:tc>
          <w:tcPr>
            <w:tcW w:w="216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149"/>
              <w:rPr>
                <w:b/>
                <w:sz w:val="24"/>
              </w:rPr>
            </w:pPr>
            <w:r>
              <w:rPr>
                <w:b/>
                <w:sz w:val="24"/>
              </w:rPr>
              <w:t>Melting point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</w:t>
            </w:r>
            <w:r>
              <w:rPr>
                <w:b/>
                <w:sz w:val="24"/>
                <w:vertAlign w:val="superscript"/>
              </w:rPr>
              <w:t>0</w:t>
            </w:r>
            <w:r>
              <w:rPr>
                <w:b/>
                <w:sz w:val="24"/>
                <w:vertAlign w:val="baseline"/>
              </w:rPr>
              <w:t>C)</w:t>
            </w:r>
          </w:p>
        </w:tc>
        <w:tc>
          <w:tcPr>
            <w:tcW w:w="16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144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Yeild</w:t>
            </w:r>
          </w:p>
        </w:tc>
      </w:tr>
      <w:tr>
        <w:trPr>
          <w:trHeight w:val="549" w:hRule="atLeast"/>
        </w:trPr>
        <w:tc>
          <w:tcPr>
            <w:tcW w:w="1714" w:type="dxa"/>
          </w:tcPr>
          <w:p>
            <w:pPr>
              <w:pStyle w:val="TableParagraph"/>
              <w:spacing w:before="152"/>
              <w:ind w:left="118"/>
              <w:rPr>
                <w:sz w:val="24"/>
              </w:rPr>
            </w:pPr>
            <w:r>
              <w:rPr>
                <w:sz w:val="24"/>
              </w:rPr>
              <w:t>P1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2220" w:type="dxa"/>
          </w:tcPr>
          <w:p>
            <w:pPr>
              <w:pStyle w:val="TableParagraph"/>
              <w:spacing w:before="152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viscous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oil</w:t>
            </w:r>
          </w:p>
        </w:tc>
        <w:tc>
          <w:tcPr>
            <w:tcW w:w="1187" w:type="dxa"/>
          </w:tcPr>
          <w:p>
            <w:pPr>
              <w:pStyle w:val="TableParagraph"/>
              <w:spacing w:before="152"/>
              <w:ind w:left="169"/>
              <w:rPr>
                <w:sz w:val="24"/>
              </w:rPr>
            </w:pPr>
            <w:r>
              <w:rPr>
                <w:sz w:val="24"/>
              </w:rPr>
              <w:t>0.38</w:t>
            </w:r>
          </w:p>
        </w:tc>
        <w:tc>
          <w:tcPr>
            <w:tcW w:w="2166" w:type="dxa"/>
          </w:tcPr>
          <w:p>
            <w:pPr>
              <w:pStyle w:val="TableParagraph"/>
              <w:spacing w:before="152"/>
              <w:ind w:left="235"/>
              <w:rPr>
                <w:sz w:val="24"/>
              </w:rPr>
            </w:pPr>
            <w:r>
              <w:rPr>
                <w:sz w:val="24"/>
              </w:rPr>
              <w:t>39-40</w:t>
            </w:r>
          </w:p>
        </w:tc>
        <w:tc>
          <w:tcPr>
            <w:tcW w:w="1687" w:type="dxa"/>
          </w:tcPr>
          <w:p>
            <w:pPr>
              <w:pStyle w:val="TableParagraph"/>
              <w:spacing w:before="152"/>
              <w:ind w:left="144"/>
              <w:rPr>
                <w:sz w:val="24"/>
              </w:rPr>
            </w:pPr>
            <w:r>
              <w:rPr>
                <w:sz w:val="24"/>
              </w:rPr>
              <w:t>57.00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56"/>
              <w:ind w:left="118"/>
              <w:rPr>
                <w:sz w:val="24"/>
              </w:rPr>
            </w:pPr>
            <w:r>
              <w:rPr>
                <w:sz w:val="24"/>
              </w:rPr>
              <w:t>P2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2220" w:type="dxa"/>
          </w:tcPr>
          <w:p>
            <w:pPr>
              <w:pStyle w:val="TableParagraph"/>
              <w:spacing w:before="156"/>
              <w:ind w:left="122"/>
              <w:rPr>
                <w:sz w:val="24"/>
              </w:rPr>
            </w:pPr>
            <w:r>
              <w:rPr>
                <w:sz w:val="24"/>
              </w:rPr>
              <w:t>Orange crystal</w:t>
            </w:r>
          </w:p>
        </w:tc>
        <w:tc>
          <w:tcPr>
            <w:tcW w:w="1187" w:type="dxa"/>
          </w:tcPr>
          <w:p>
            <w:pPr>
              <w:pStyle w:val="TableParagraph"/>
              <w:spacing w:before="156"/>
              <w:ind w:left="169"/>
              <w:rPr>
                <w:sz w:val="24"/>
              </w:rPr>
            </w:pPr>
            <w:r>
              <w:rPr>
                <w:sz w:val="24"/>
              </w:rPr>
              <w:t>0.64</w:t>
            </w:r>
          </w:p>
        </w:tc>
        <w:tc>
          <w:tcPr>
            <w:tcW w:w="2166" w:type="dxa"/>
          </w:tcPr>
          <w:p>
            <w:pPr>
              <w:pStyle w:val="TableParagraph"/>
              <w:spacing w:before="156"/>
              <w:ind w:left="235"/>
              <w:rPr>
                <w:sz w:val="24"/>
              </w:rPr>
            </w:pPr>
            <w:r>
              <w:rPr>
                <w:sz w:val="24"/>
              </w:rPr>
              <w:t>120-123</w:t>
            </w:r>
          </w:p>
        </w:tc>
        <w:tc>
          <w:tcPr>
            <w:tcW w:w="1687" w:type="dxa"/>
          </w:tcPr>
          <w:p>
            <w:pPr>
              <w:pStyle w:val="TableParagraph"/>
              <w:spacing w:before="156"/>
              <w:ind w:left="144"/>
              <w:rPr>
                <w:sz w:val="24"/>
              </w:rPr>
            </w:pPr>
            <w:r>
              <w:rPr>
                <w:sz w:val="24"/>
              </w:rPr>
              <w:t>78.08</w:t>
            </w:r>
          </w:p>
        </w:tc>
      </w:tr>
      <w:tr>
        <w:trPr>
          <w:trHeight w:val="570" w:hRule="atLeast"/>
        </w:trPr>
        <w:tc>
          <w:tcPr>
            <w:tcW w:w="1714" w:type="dxa"/>
          </w:tcPr>
          <w:p>
            <w:pPr>
              <w:pStyle w:val="TableParagraph"/>
              <w:spacing w:before="156"/>
              <w:ind w:left="118"/>
              <w:rPr>
                <w:sz w:val="24"/>
              </w:rPr>
            </w:pPr>
            <w:r>
              <w:rPr>
                <w:sz w:val="24"/>
              </w:rPr>
              <w:t>P3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2220" w:type="dxa"/>
          </w:tcPr>
          <w:p>
            <w:pPr>
              <w:pStyle w:val="TableParagraph"/>
              <w:spacing w:before="156"/>
              <w:ind w:left="122"/>
              <w:rPr>
                <w:sz w:val="24"/>
              </w:rPr>
            </w:pPr>
            <w:r>
              <w:rPr>
                <w:sz w:val="24"/>
              </w:rPr>
              <w:t>Light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crystal</w:t>
            </w:r>
          </w:p>
        </w:tc>
        <w:tc>
          <w:tcPr>
            <w:tcW w:w="1187" w:type="dxa"/>
          </w:tcPr>
          <w:p>
            <w:pPr>
              <w:pStyle w:val="TableParagraph"/>
              <w:spacing w:before="156"/>
              <w:ind w:left="169"/>
              <w:rPr>
                <w:sz w:val="24"/>
              </w:rPr>
            </w:pPr>
            <w:r>
              <w:rPr>
                <w:sz w:val="24"/>
              </w:rPr>
              <w:t>0.40</w:t>
            </w:r>
          </w:p>
        </w:tc>
        <w:tc>
          <w:tcPr>
            <w:tcW w:w="2166" w:type="dxa"/>
          </w:tcPr>
          <w:p>
            <w:pPr>
              <w:pStyle w:val="TableParagraph"/>
              <w:spacing w:before="156"/>
              <w:ind w:left="235"/>
              <w:rPr>
                <w:sz w:val="24"/>
              </w:rPr>
            </w:pPr>
            <w:r>
              <w:rPr>
                <w:sz w:val="24"/>
              </w:rPr>
              <w:t>109-111</w:t>
            </w:r>
          </w:p>
        </w:tc>
        <w:tc>
          <w:tcPr>
            <w:tcW w:w="1687" w:type="dxa"/>
          </w:tcPr>
          <w:p>
            <w:pPr>
              <w:pStyle w:val="TableParagraph"/>
              <w:spacing w:before="156"/>
              <w:ind w:left="144"/>
              <w:rPr>
                <w:sz w:val="24"/>
              </w:rPr>
            </w:pPr>
            <w:r>
              <w:rPr>
                <w:sz w:val="24"/>
              </w:rPr>
              <w:t>50.64</w:t>
            </w:r>
          </w:p>
        </w:tc>
      </w:tr>
      <w:tr>
        <w:trPr>
          <w:trHeight w:val="533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cotton-like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0.55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80-81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28.27</w:t>
            </w:r>
          </w:p>
        </w:tc>
      </w:tr>
      <w:tr>
        <w:trPr>
          <w:trHeight w:val="571" w:hRule="atLeast"/>
        </w:trPr>
        <w:tc>
          <w:tcPr>
            <w:tcW w:w="1714" w:type="dxa"/>
          </w:tcPr>
          <w:p>
            <w:pPr>
              <w:pStyle w:val="TableParagraph"/>
              <w:spacing w:before="156"/>
              <w:ind w:left="118"/>
              <w:rPr>
                <w:sz w:val="24"/>
              </w:rPr>
            </w:pPr>
            <w:r>
              <w:rPr>
                <w:sz w:val="24"/>
              </w:rPr>
              <w:t>P8</w:t>
            </w:r>
            <w:r>
              <w:rPr>
                <w:sz w:val="24"/>
                <w:vertAlign w:val="superscript"/>
              </w:rPr>
              <w:t>*</w:t>
            </w:r>
          </w:p>
        </w:tc>
        <w:tc>
          <w:tcPr>
            <w:tcW w:w="2220" w:type="dxa"/>
          </w:tcPr>
          <w:p>
            <w:pPr>
              <w:pStyle w:val="TableParagraph"/>
              <w:spacing w:before="156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cotton-like</w:t>
            </w:r>
          </w:p>
        </w:tc>
        <w:tc>
          <w:tcPr>
            <w:tcW w:w="1187" w:type="dxa"/>
          </w:tcPr>
          <w:p>
            <w:pPr>
              <w:pStyle w:val="TableParagraph"/>
              <w:spacing w:before="156"/>
              <w:ind w:left="169"/>
              <w:rPr>
                <w:sz w:val="24"/>
              </w:rPr>
            </w:pPr>
            <w:r>
              <w:rPr>
                <w:sz w:val="24"/>
              </w:rPr>
              <w:t>0.43</w:t>
            </w:r>
          </w:p>
        </w:tc>
        <w:tc>
          <w:tcPr>
            <w:tcW w:w="2166" w:type="dxa"/>
          </w:tcPr>
          <w:p>
            <w:pPr>
              <w:pStyle w:val="TableParagraph"/>
              <w:spacing w:before="156"/>
              <w:ind w:left="235"/>
              <w:rPr>
                <w:sz w:val="24"/>
              </w:rPr>
            </w:pPr>
            <w:r>
              <w:rPr>
                <w:sz w:val="24"/>
              </w:rPr>
              <w:t>88-89</w:t>
            </w:r>
          </w:p>
        </w:tc>
        <w:tc>
          <w:tcPr>
            <w:tcW w:w="1687" w:type="dxa"/>
          </w:tcPr>
          <w:p>
            <w:pPr>
              <w:pStyle w:val="TableParagraph"/>
              <w:spacing w:before="156"/>
              <w:ind w:left="144"/>
              <w:rPr>
                <w:sz w:val="24"/>
              </w:rPr>
            </w:pPr>
            <w:r>
              <w:rPr>
                <w:sz w:val="24"/>
              </w:rPr>
              <w:t>50.29</w:t>
            </w:r>
          </w:p>
        </w:tc>
      </w:tr>
      <w:tr>
        <w:trPr>
          <w:trHeight w:val="551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Light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solid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0.59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114-116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87.00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wax-like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0.61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48-50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83.93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gummy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solid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0.67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92-94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65.40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Pale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0.25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82-84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36.87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0.65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71-74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30.00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0.68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66-68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37.50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P19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Light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powder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0.32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75-78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76.0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Light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0.45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78-80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58.63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Light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0.47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124-128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97.01</w:t>
            </w:r>
          </w:p>
        </w:tc>
      </w:tr>
      <w:tr>
        <w:trPr>
          <w:trHeight w:val="552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soft 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0.42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60-61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95.50</w:t>
            </w:r>
          </w:p>
        </w:tc>
      </w:tr>
      <w:tr>
        <w:trPr>
          <w:trHeight w:val="549" w:hRule="atLeast"/>
        </w:trPr>
        <w:tc>
          <w:tcPr>
            <w:tcW w:w="1714" w:type="dxa"/>
          </w:tcPr>
          <w:p>
            <w:pPr>
              <w:pStyle w:val="TableParagraph"/>
              <w:spacing w:before="137"/>
              <w:ind w:left="118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2220" w:type="dxa"/>
          </w:tcPr>
          <w:p>
            <w:pPr>
              <w:pStyle w:val="TableParagraph"/>
              <w:spacing w:before="137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crystals</w:t>
            </w:r>
          </w:p>
        </w:tc>
        <w:tc>
          <w:tcPr>
            <w:tcW w:w="1187" w:type="dxa"/>
          </w:tcPr>
          <w:p>
            <w:pPr>
              <w:pStyle w:val="TableParagraph"/>
              <w:spacing w:before="137"/>
              <w:ind w:left="169"/>
              <w:rPr>
                <w:sz w:val="24"/>
              </w:rPr>
            </w:pPr>
            <w:r>
              <w:rPr>
                <w:sz w:val="24"/>
              </w:rPr>
              <w:t>0.64</w:t>
            </w:r>
          </w:p>
        </w:tc>
        <w:tc>
          <w:tcPr>
            <w:tcW w:w="2166" w:type="dxa"/>
          </w:tcPr>
          <w:p>
            <w:pPr>
              <w:pStyle w:val="TableParagraph"/>
              <w:spacing w:before="137"/>
              <w:ind w:left="235"/>
              <w:rPr>
                <w:sz w:val="24"/>
              </w:rPr>
            </w:pPr>
            <w:r>
              <w:rPr>
                <w:sz w:val="24"/>
              </w:rPr>
              <w:t>96-99</w:t>
            </w:r>
          </w:p>
        </w:tc>
        <w:tc>
          <w:tcPr>
            <w:tcW w:w="1687" w:type="dxa"/>
          </w:tcPr>
          <w:p>
            <w:pPr>
              <w:pStyle w:val="TableParagraph"/>
              <w:spacing w:before="137"/>
              <w:ind w:left="144"/>
              <w:rPr>
                <w:sz w:val="24"/>
              </w:rPr>
            </w:pPr>
            <w:r>
              <w:rPr>
                <w:sz w:val="24"/>
              </w:rPr>
              <w:t>21.10</w:t>
            </w:r>
          </w:p>
        </w:tc>
      </w:tr>
      <w:tr>
        <w:trPr>
          <w:trHeight w:val="695" w:hRule="atLeast"/>
        </w:trPr>
        <w:tc>
          <w:tcPr>
            <w:tcW w:w="171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5"/>
              <w:ind w:left="118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22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5"/>
              <w:ind w:left="122"/>
              <w:rPr>
                <w:sz w:val="24"/>
              </w:rPr>
            </w:pPr>
            <w:r>
              <w:rPr>
                <w:sz w:val="24"/>
              </w:rPr>
              <w:t>Yellow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wax</w:t>
            </w:r>
          </w:p>
        </w:tc>
        <w:tc>
          <w:tcPr>
            <w:tcW w:w="11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5"/>
              <w:ind w:left="169"/>
              <w:rPr>
                <w:sz w:val="24"/>
              </w:rPr>
            </w:pPr>
            <w:r>
              <w:rPr>
                <w:sz w:val="24"/>
              </w:rPr>
              <w:t>0.31</w:t>
            </w:r>
          </w:p>
        </w:tc>
        <w:tc>
          <w:tcPr>
            <w:tcW w:w="216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5"/>
              <w:ind w:left="235"/>
              <w:rPr>
                <w:sz w:val="24"/>
              </w:rPr>
            </w:pPr>
            <w:r>
              <w:rPr>
                <w:sz w:val="24"/>
              </w:rPr>
              <w:t>41-42</w:t>
            </w:r>
          </w:p>
        </w:tc>
        <w:tc>
          <w:tcPr>
            <w:tcW w:w="168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35"/>
              <w:ind w:left="144"/>
              <w:rPr>
                <w:sz w:val="24"/>
              </w:rPr>
            </w:pPr>
            <w:r>
              <w:rPr>
                <w:sz w:val="24"/>
              </w:rPr>
              <w:t>93.40</w:t>
            </w:r>
          </w:p>
        </w:tc>
      </w:tr>
    </w:tbl>
    <w:p>
      <w:pPr>
        <w:pStyle w:val="BodyText"/>
        <w:ind w:left="312" w:right="691"/>
        <w:jc w:val="both"/>
      </w:pPr>
      <w:r>
        <w:rPr/>
        <w:t>(a)Silica Thin layer chromatography plate was used with n-hexane: ethyl acetate (7:3) as</w:t>
      </w:r>
      <w:r>
        <w:rPr>
          <w:spacing w:val="1"/>
        </w:rPr>
        <w:t> </w:t>
      </w:r>
      <w:r>
        <w:rPr/>
        <w:t>development solvent. Rf is retention factor. * New compounds not reported in chemical</w:t>
      </w:r>
      <w:r>
        <w:rPr>
          <w:spacing w:val="1"/>
        </w:rPr>
        <w:t> </w:t>
      </w:r>
      <w:r>
        <w:rPr/>
        <w:t>literature (</w:t>
      </w:r>
      <w:hyperlink r:id="rId247">
        <w:r>
          <w:rPr/>
          <w:t>www.</w:t>
        </w:r>
        <w:r>
          <w:rPr>
            <w:spacing w:val="4"/>
          </w:rPr>
          <w:t> </w:t>
        </w:r>
      </w:hyperlink>
      <w:r>
        <w:rPr/>
        <w:t>Scifinder.com)</w:t>
      </w:r>
    </w:p>
    <w:p>
      <w:pPr>
        <w:spacing w:after="0"/>
        <w:jc w:val="both"/>
        <w:sectPr>
          <w:headerReference w:type="default" r:id="rId245"/>
          <w:footerReference w:type="default" r:id="rId246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2"/>
          <w:numId w:val="17"/>
        </w:numPr>
        <w:tabs>
          <w:tab w:pos="856" w:val="left" w:leader="none"/>
        </w:tabs>
        <w:spacing w:line="240" w:lineRule="auto" w:before="114" w:after="0"/>
        <w:ind w:left="855" w:right="0" w:hanging="544"/>
        <w:jc w:val="left"/>
      </w:pPr>
      <w:bookmarkStart w:name="_TOC_250037" w:id="56"/>
      <w:r>
        <w:rPr>
          <w:vertAlign w:val="superscript"/>
        </w:rPr>
        <w:t>1</w:t>
      </w:r>
      <w:r>
        <w:rPr>
          <w:vertAlign w:val="baseline"/>
        </w:rPr>
        <w:t>H and</w:t>
      </w:r>
      <w:r>
        <w:rPr>
          <w:spacing w:val="-3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 NMR</w:t>
      </w:r>
      <w:r>
        <w:rPr>
          <w:spacing w:val="-6"/>
          <w:vertAlign w:val="baseline"/>
        </w:rPr>
        <w:t> </w:t>
      </w:r>
      <w:r>
        <w:rPr>
          <w:vertAlign w:val="baseline"/>
        </w:rPr>
        <w:t>Data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P1,</w:t>
      </w:r>
      <w:r>
        <w:rPr>
          <w:spacing w:val="-2"/>
          <w:vertAlign w:val="baseline"/>
        </w:rPr>
        <w:t> </w:t>
      </w:r>
      <w:r>
        <w:rPr>
          <w:vertAlign w:val="baseline"/>
        </w:rPr>
        <w:t>P2 and</w:t>
      </w:r>
      <w:r>
        <w:rPr>
          <w:spacing w:val="-3"/>
          <w:vertAlign w:val="baseline"/>
        </w:rPr>
        <w:t> </w:t>
      </w:r>
      <w:bookmarkEnd w:id="56"/>
      <w:r>
        <w:rPr>
          <w:vertAlign w:val="baseline"/>
        </w:rPr>
        <w:t>P13</w:t>
      </w:r>
    </w:p>
    <w:p>
      <w:pPr>
        <w:pStyle w:val="BodyText"/>
        <w:spacing w:before="195"/>
        <w:ind w:left="304" w:right="696"/>
        <w:jc w:val="center"/>
      </w:pPr>
      <w:r>
        <w:rPr/>
        <w:t>The</w:t>
      </w:r>
      <w:r>
        <w:rPr>
          <w:spacing w:val="10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16"/>
          <w:vertAlign w:val="baseline"/>
        </w:rPr>
        <w:t> </w:t>
      </w:r>
      <w:r>
        <w:rPr>
          <w:vertAlign w:val="baseline"/>
        </w:rPr>
        <w:t>and</w:t>
      </w:r>
      <w:r>
        <w:rPr>
          <w:spacing w:val="11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0"/>
          <w:vertAlign w:val="baseline"/>
        </w:rPr>
        <w:t> </w:t>
      </w:r>
      <w:r>
        <w:rPr>
          <w:vertAlign w:val="baseline"/>
        </w:rPr>
        <w:t>NMR</w:t>
      </w:r>
      <w:r>
        <w:rPr>
          <w:spacing w:val="14"/>
          <w:vertAlign w:val="baseline"/>
        </w:rPr>
        <w:t> </w:t>
      </w:r>
      <w:r>
        <w:rPr>
          <w:vertAlign w:val="baseline"/>
        </w:rPr>
        <w:t>data</w:t>
      </w:r>
      <w:r>
        <w:rPr>
          <w:spacing w:val="9"/>
          <w:vertAlign w:val="baseline"/>
        </w:rPr>
        <w:t> </w:t>
      </w:r>
      <w:r>
        <w:rPr>
          <w:vertAlign w:val="baseline"/>
        </w:rPr>
        <w:t>of</w:t>
      </w:r>
      <w:r>
        <w:rPr>
          <w:spacing w:val="8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10"/>
          <w:vertAlign w:val="baseline"/>
        </w:rPr>
        <w:t> </w:t>
      </w:r>
      <w:r>
        <w:rPr>
          <w:vertAlign w:val="baseline"/>
        </w:rPr>
        <w:t>P1,</w:t>
      </w:r>
      <w:r>
        <w:rPr>
          <w:spacing w:val="13"/>
          <w:vertAlign w:val="baseline"/>
        </w:rPr>
        <w:t> </w:t>
      </w:r>
      <w:r>
        <w:rPr>
          <w:vertAlign w:val="baseline"/>
        </w:rPr>
        <w:t>P2</w:t>
      </w:r>
      <w:r>
        <w:rPr>
          <w:spacing w:val="11"/>
          <w:vertAlign w:val="baseline"/>
        </w:rPr>
        <w:t> </w:t>
      </w:r>
      <w:r>
        <w:rPr>
          <w:vertAlign w:val="baseline"/>
        </w:rPr>
        <w:t>and</w:t>
      </w:r>
      <w:r>
        <w:rPr>
          <w:spacing w:val="10"/>
          <w:vertAlign w:val="baseline"/>
        </w:rPr>
        <w:t> </w:t>
      </w:r>
      <w:r>
        <w:rPr>
          <w:vertAlign w:val="baseline"/>
        </w:rPr>
        <w:t>P13</w:t>
      </w:r>
      <w:r>
        <w:rPr>
          <w:spacing w:val="16"/>
          <w:vertAlign w:val="baseline"/>
        </w:rPr>
        <w:t> </w:t>
      </w:r>
      <w:r>
        <w:rPr>
          <w:vertAlign w:val="baseline"/>
        </w:rPr>
        <w:t>(Figure</w:t>
      </w:r>
      <w:r>
        <w:rPr>
          <w:spacing w:val="9"/>
          <w:vertAlign w:val="baseline"/>
        </w:rPr>
        <w:t> </w:t>
      </w:r>
      <w:r>
        <w:rPr>
          <w:vertAlign w:val="baseline"/>
        </w:rPr>
        <w:t>4.1)</w:t>
      </w:r>
      <w:r>
        <w:rPr>
          <w:spacing w:val="13"/>
          <w:vertAlign w:val="baseline"/>
        </w:rPr>
        <w:t> </w:t>
      </w:r>
      <w:r>
        <w:rPr>
          <w:vertAlign w:val="baseline"/>
        </w:rPr>
        <w:t>are</w:t>
      </w:r>
      <w:r>
        <w:rPr>
          <w:spacing w:val="15"/>
          <w:vertAlign w:val="baseline"/>
        </w:rPr>
        <w:t> </w:t>
      </w:r>
      <w:r>
        <w:rPr>
          <w:vertAlign w:val="baseline"/>
        </w:rPr>
        <w:t>shown</w:t>
      </w:r>
      <w:r>
        <w:rPr>
          <w:spacing w:val="15"/>
          <w:vertAlign w:val="baseline"/>
        </w:rPr>
        <w:t> </w:t>
      </w:r>
      <w:r>
        <w:rPr>
          <w:vertAlign w:val="baseline"/>
        </w:rPr>
        <w:t>in</w:t>
      </w:r>
      <w:r>
        <w:rPr>
          <w:spacing w:val="11"/>
          <w:vertAlign w:val="baseline"/>
        </w:rPr>
        <w:t> </w:t>
      </w:r>
      <w:r>
        <w:rPr>
          <w:vertAlign w:val="baseline"/>
        </w:rPr>
        <w:t>Table</w:t>
      </w:r>
    </w:p>
    <w:p>
      <w:pPr>
        <w:pStyle w:val="BodyText"/>
      </w:pPr>
    </w:p>
    <w:p>
      <w:pPr>
        <w:pStyle w:val="BodyText"/>
        <w:spacing w:before="1"/>
        <w:ind w:left="312"/>
      </w:pPr>
      <w:r>
        <w:rPr/>
        <w:t>4.6 and Appendices</w:t>
      </w:r>
      <w:r>
        <w:rPr>
          <w:spacing w:val="-2"/>
        </w:rPr>
        <w:t> </w:t>
      </w:r>
      <w:r>
        <w:rPr/>
        <w:t>13,</w:t>
      </w:r>
      <w:r>
        <w:rPr>
          <w:spacing w:val="2"/>
        </w:rPr>
        <w:t> </w:t>
      </w:r>
      <w:r>
        <w:rPr/>
        <w:t>14,</w:t>
      </w:r>
      <w:r>
        <w:rPr>
          <w:spacing w:val="-3"/>
        </w:rPr>
        <w:t> </w:t>
      </w:r>
      <w:r>
        <w:rPr/>
        <w:t>21</w:t>
      </w:r>
      <w:r>
        <w:rPr>
          <w:spacing w:val="1"/>
        </w:rPr>
        <w:t> </w:t>
      </w:r>
      <w:r>
        <w:rPr/>
        <w:t>and 22.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  <w:r>
        <w:rPr/>
        <w:pict>
          <v:group style="position:absolute;margin-left:93.550003pt;margin-top:12.635664pt;width:306.05pt;height:136.1pt;mso-position-horizontal-relative:page;mso-position-vertical-relative:paragraph;z-index:-15704064;mso-wrap-distance-left:0;mso-wrap-distance-right:0" coordorigin="1871,253" coordsize="6121,2722">
            <v:shape style="position:absolute;left:1871;top:417;width:6121;height:2557" type="#_x0000_t75" stroked="false">
              <v:imagedata r:id="rId250" o:title=""/>
            </v:shape>
            <v:shape style="position:absolute;left:3173;top:1099;width:211;height:159" type="#_x0000_t75" stroked="false">
              <v:imagedata r:id="rId251" o:title=""/>
            </v:shape>
            <v:shape style="position:absolute;left:7488;top:980;width:158;height:159" type="#_x0000_t75" stroked="false">
              <v:imagedata r:id="rId252" o:title=""/>
            </v:shape>
            <v:shape style="position:absolute;left:5855;top:252;width:129;height:136" type="#_x0000_t75" stroked="false">
              <v:imagedata r:id="rId253" o:title=""/>
            </v:shape>
            <w10:wrap type="topAndBottom"/>
          </v:group>
        </w:pict>
      </w:r>
    </w:p>
    <w:p>
      <w:pPr>
        <w:pStyle w:val="BodyText"/>
        <w:spacing w:before="5" w:after="40"/>
        <w:rPr>
          <w:sz w:val="20"/>
        </w:rPr>
      </w:pPr>
    </w:p>
    <w:p>
      <w:pPr>
        <w:tabs>
          <w:tab w:pos="6053" w:val="left" w:leader="none"/>
        </w:tabs>
        <w:spacing w:line="240" w:lineRule="auto"/>
        <w:ind w:left="4389" w:right="0" w:firstLine="0"/>
        <w:rPr>
          <w:sz w:val="20"/>
        </w:rPr>
      </w:pPr>
      <w:r>
        <w:rPr>
          <w:sz w:val="20"/>
        </w:rPr>
        <w:pict>
          <v:group style="width:10.25pt;height:7.35pt;mso-position-horizontal-relative:char;mso-position-vertical-relative:line" coordorigin="0,0" coordsize="205,147">
            <v:shape style="position:absolute;left:0;top:3;width:114;height:144" type="#_x0000_t75" stroked="false">
              <v:imagedata r:id="rId254" o:title=""/>
            </v:shape>
            <v:shape style="position:absolute;left:147;top:0;width:58;height:146" coordorigin="147,0" coordsize="58,146" path="m205,142l150,142,150,146,205,146,205,142xm187,17l163,17,165,18,166,19,168,23,168,26,169,33,169,130,168,134,168,136,167,138,165,140,161,142,194,142,192,141,190,139,188,138,188,136,187,134,187,17xm187,0l183,0,147,17,149,20,154,18,157,17,187,17,18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4"/>
          <w:sz w:val="20"/>
        </w:rPr>
        <w:drawing>
          <wp:inline distT="0" distB="0" distL="0" distR="0">
            <wp:extent cx="142659" cy="126015"/>
            <wp:effectExtent l="0" t="0" r="0" b="0"/>
            <wp:docPr id="45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74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5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4"/>
          <w:sz w:val="20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</w:pPr>
    </w:p>
    <w:p>
      <w:pPr>
        <w:pStyle w:val="Heading1"/>
        <w:spacing w:before="1"/>
        <w:ind w:left="305" w:right="686"/>
        <w:jc w:val="center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4214495</wp:posOffset>
            </wp:positionH>
            <wp:positionV relativeFrom="paragraph">
              <wp:posOffset>-858416</wp:posOffset>
            </wp:positionV>
            <wp:extent cx="340410" cy="661987"/>
            <wp:effectExtent l="0" t="0" r="0" b="0"/>
            <wp:wrapNone/>
            <wp:docPr id="47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75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410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5274309</wp:posOffset>
            </wp:positionH>
            <wp:positionV relativeFrom="paragraph">
              <wp:posOffset>-858416</wp:posOffset>
            </wp:positionV>
            <wp:extent cx="342188" cy="661987"/>
            <wp:effectExtent l="0" t="0" r="0" b="0"/>
            <wp:wrapNone/>
            <wp:docPr id="49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76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88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4745354</wp:posOffset>
            </wp:positionH>
            <wp:positionV relativeFrom="paragraph">
              <wp:posOffset>-671663</wp:posOffset>
            </wp:positionV>
            <wp:extent cx="342328" cy="130683"/>
            <wp:effectExtent l="0" t="0" r="0" b="0"/>
            <wp:wrapNone/>
            <wp:docPr id="51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77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28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3777615</wp:posOffset>
            </wp:positionH>
            <wp:positionV relativeFrom="paragraph">
              <wp:posOffset>-483068</wp:posOffset>
            </wp:positionV>
            <wp:extent cx="142062" cy="93345"/>
            <wp:effectExtent l="0" t="0" r="0" b="0"/>
            <wp:wrapNone/>
            <wp:docPr id="53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78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62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4849495</wp:posOffset>
            </wp:positionH>
            <wp:positionV relativeFrom="paragraph">
              <wp:posOffset>-481161</wp:posOffset>
            </wp:positionV>
            <wp:extent cx="97499" cy="91439"/>
            <wp:effectExtent l="0" t="0" r="0" b="0"/>
            <wp:wrapNone/>
            <wp:docPr id="55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9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99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7.450012pt;margin-top:-23.226866pt;width:16.3pt;height:7.45pt;mso-position-horizontal-relative:page;mso-position-vertical-relative:paragraph;z-index:15756800" coordorigin="5949,-465" coordsize="326,149">
            <v:shape style="position:absolute;left:5949;top:-462;width:114;height:144" type="#_x0000_t75" stroked="false">
              <v:imagedata r:id="rId261" o:title=""/>
            </v:shape>
            <v:shape style="position:absolute;left:6096;top:-465;width:179;height:149" type="#_x0000_t75" stroked="false">
              <v:imagedata r:id="rId26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4878704</wp:posOffset>
            </wp:positionH>
            <wp:positionV relativeFrom="paragraph">
              <wp:posOffset>-292630</wp:posOffset>
            </wp:positionV>
            <wp:extent cx="96483" cy="90487"/>
            <wp:effectExtent l="0" t="0" r="0" b="0"/>
            <wp:wrapNone/>
            <wp:docPr id="5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82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83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Figure</w:t>
      </w:r>
      <w:r>
        <w:rPr>
          <w:spacing w:val="-3"/>
        </w:rPr>
        <w:t> </w:t>
      </w:r>
      <w:r>
        <w:rPr/>
        <w:t>4.1:</w:t>
      </w:r>
      <w:r>
        <w:rPr>
          <w:spacing w:val="-1"/>
        </w:rPr>
        <w:t> </w:t>
      </w:r>
      <w:r>
        <w:rPr/>
        <w:t>2”,3”,4”-tri-methoxy</w:t>
      </w:r>
      <w:r>
        <w:rPr>
          <w:spacing w:val="-2"/>
        </w:rPr>
        <w:t> </w:t>
      </w:r>
      <w:r>
        <w:rPr/>
        <w:t>substituted</w:t>
      </w:r>
      <w:r>
        <w:rPr>
          <w:spacing w:val="-3"/>
        </w:rPr>
        <w:t> </w:t>
      </w:r>
      <w:r>
        <w:rPr/>
        <w:t>chalcones</w:t>
      </w:r>
      <w:r>
        <w:rPr>
          <w:spacing w:val="-4"/>
        </w:rPr>
        <w:t> </w:t>
      </w:r>
      <w:r>
        <w:rPr/>
        <w:t>(P1,</w:t>
      </w:r>
      <w:r>
        <w:rPr>
          <w:spacing w:val="-1"/>
        </w:rPr>
        <w:t> </w:t>
      </w:r>
      <w:r>
        <w:rPr/>
        <w:t>P2</w:t>
      </w:r>
      <w:r>
        <w:rPr>
          <w:spacing w:val="-2"/>
        </w:rPr>
        <w:t> </w:t>
      </w:r>
      <w:r>
        <w:rPr/>
        <w:t>and,</w:t>
      </w:r>
      <w:r>
        <w:rPr>
          <w:spacing w:val="-1"/>
        </w:rPr>
        <w:t> </w:t>
      </w:r>
      <w:r>
        <w:rPr/>
        <w:t>P13)</w:t>
      </w:r>
    </w:p>
    <w:p>
      <w:pPr>
        <w:spacing w:after="0"/>
        <w:jc w:val="center"/>
        <w:sectPr>
          <w:headerReference w:type="default" r:id="rId248"/>
          <w:footerReference w:type="default" r:id="rId249"/>
          <w:pgSz w:w="11910" w:h="16840"/>
          <w:pgMar w:header="0" w:footer="878" w:top="1160" w:bottom="1060" w:left="1560" w:right="600"/>
        </w:sectPr>
      </w:pP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3"/>
        <w:gridCol w:w="999"/>
        <w:gridCol w:w="1689"/>
        <w:gridCol w:w="979"/>
        <w:gridCol w:w="1628"/>
        <w:gridCol w:w="1116"/>
        <w:gridCol w:w="1511"/>
      </w:tblGrid>
      <w:tr>
        <w:trPr>
          <w:trHeight w:val="539" w:hRule="atLeast"/>
        </w:trPr>
        <w:tc>
          <w:tcPr>
            <w:tcW w:w="10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4" w:lineRule="exact"/>
              <w:ind w:left="119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Carbon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Position</w:t>
            </w:r>
          </w:p>
        </w:tc>
        <w:tc>
          <w:tcPr>
            <w:tcW w:w="9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 w:before="1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P1</w:t>
            </w:r>
          </w:p>
          <w:p>
            <w:pPr>
              <w:pStyle w:val="TableParagraph"/>
              <w:tabs>
                <w:tab w:pos="7976" w:val="left" w:leader="none"/>
              </w:tabs>
              <w:spacing w:line="243" w:lineRule="exact"/>
              <w:ind w:left="2" w:right="-6984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 </w:t>
              <w:tab/>
            </w:r>
          </w:p>
        </w:tc>
        <w:tc>
          <w:tcPr>
            <w:tcW w:w="168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P2</w:t>
            </w:r>
          </w:p>
        </w:tc>
        <w:tc>
          <w:tcPr>
            <w:tcW w:w="162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1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201"/>
              <w:rPr>
                <w:b/>
                <w:sz w:val="24"/>
              </w:rPr>
            </w:pPr>
            <w:r>
              <w:rPr>
                <w:b/>
                <w:sz w:val="24"/>
              </w:rPr>
              <w:t>P13</w:t>
            </w:r>
          </w:p>
        </w:tc>
        <w:tc>
          <w:tcPr>
            <w:tcW w:w="151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70" w:hRule="atLeast"/>
        </w:trPr>
        <w:tc>
          <w:tcPr>
            <w:tcW w:w="1053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08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6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37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9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05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20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1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201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201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51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61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</w:tr>
      <w:tr>
        <w:trPr>
          <w:trHeight w:val="331" w:hRule="atLeast"/>
        </w:trPr>
        <w:tc>
          <w:tcPr>
            <w:tcW w:w="10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191.35</w:t>
            </w:r>
          </w:p>
        </w:tc>
        <w:tc>
          <w:tcPr>
            <w:tcW w:w="168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191.17</w:t>
            </w:r>
          </w:p>
        </w:tc>
        <w:tc>
          <w:tcPr>
            <w:tcW w:w="162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1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01"/>
              <w:rPr>
                <w:sz w:val="24"/>
              </w:rPr>
            </w:pPr>
            <w:r>
              <w:rPr>
                <w:sz w:val="24"/>
              </w:rPr>
              <w:t>192.76</w:t>
            </w:r>
          </w:p>
        </w:tc>
        <w:tc>
          <w:tcPr>
            <w:tcW w:w="151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2" w:hRule="atLeast"/>
        </w:trPr>
        <w:tc>
          <w:tcPr>
            <w:tcW w:w="1053" w:type="dxa"/>
          </w:tcPr>
          <w:p>
            <w:pPr>
              <w:pStyle w:val="TableParagraph"/>
              <w:spacing w:before="53"/>
              <w:ind w:left="1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9" w:type="dxa"/>
          </w:tcPr>
          <w:p>
            <w:pPr>
              <w:pStyle w:val="TableParagraph"/>
              <w:spacing w:before="53"/>
              <w:ind w:left="108"/>
              <w:rPr>
                <w:sz w:val="24"/>
              </w:rPr>
            </w:pPr>
            <w:r>
              <w:rPr>
                <w:sz w:val="24"/>
              </w:rPr>
              <w:t>125.70</w:t>
            </w:r>
          </w:p>
        </w:tc>
        <w:tc>
          <w:tcPr>
            <w:tcW w:w="1689" w:type="dxa"/>
          </w:tcPr>
          <w:p>
            <w:pPr>
              <w:pStyle w:val="TableParagraph"/>
              <w:spacing w:before="53"/>
              <w:ind w:left="137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38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(d,</w:t>
            </w:r>
          </w:p>
          <w:p>
            <w:pPr>
              <w:pStyle w:val="TableParagraph"/>
              <w:spacing w:line="260" w:lineRule="exact" w:before="3"/>
              <w:ind w:left="137"/>
              <w:rPr>
                <w:sz w:val="24"/>
              </w:rPr>
            </w:pPr>
            <w:r>
              <w:rPr>
                <w:sz w:val="24"/>
              </w:rPr>
              <w:t>J=15.6(Hz,1H)</w:t>
            </w:r>
          </w:p>
        </w:tc>
        <w:tc>
          <w:tcPr>
            <w:tcW w:w="979" w:type="dxa"/>
          </w:tcPr>
          <w:p>
            <w:pPr>
              <w:pStyle w:val="TableParagraph"/>
              <w:spacing w:before="53"/>
              <w:ind w:left="105"/>
              <w:rPr>
                <w:sz w:val="24"/>
              </w:rPr>
            </w:pPr>
            <w:r>
              <w:rPr>
                <w:sz w:val="24"/>
              </w:rPr>
              <w:t>126.60</w:t>
            </w:r>
          </w:p>
        </w:tc>
        <w:tc>
          <w:tcPr>
            <w:tcW w:w="1628" w:type="dxa"/>
          </w:tcPr>
          <w:p>
            <w:pPr>
              <w:pStyle w:val="TableParagraph"/>
              <w:spacing w:line="280" w:lineRule="atLeast" w:before="32"/>
              <w:ind w:left="120" w:right="316"/>
              <w:rPr>
                <w:sz w:val="24"/>
              </w:rPr>
            </w:pPr>
            <w:r>
              <w:rPr>
                <w:sz w:val="24"/>
              </w:rPr>
              <w:t>7.48(d,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J=16Hz,1H)</w:t>
            </w:r>
          </w:p>
        </w:tc>
        <w:tc>
          <w:tcPr>
            <w:tcW w:w="1116" w:type="dxa"/>
          </w:tcPr>
          <w:p>
            <w:pPr>
              <w:pStyle w:val="TableParagraph"/>
              <w:spacing w:before="53"/>
              <w:ind w:left="201"/>
              <w:rPr>
                <w:sz w:val="24"/>
              </w:rPr>
            </w:pPr>
            <w:r>
              <w:rPr>
                <w:sz w:val="24"/>
              </w:rPr>
              <w:t>123.80</w:t>
            </w:r>
          </w:p>
        </w:tc>
        <w:tc>
          <w:tcPr>
            <w:tcW w:w="1511" w:type="dxa"/>
          </w:tcPr>
          <w:p>
            <w:pPr>
              <w:pStyle w:val="TableParagraph"/>
              <w:spacing w:line="280" w:lineRule="atLeast" w:before="32"/>
              <w:ind w:left="161" w:right="158"/>
              <w:rPr>
                <w:sz w:val="24"/>
              </w:rPr>
            </w:pPr>
            <w:r>
              <w:rPr>
                <w:sz w:val="24"/>
              </w:rPr>
              <w:t>7.42(d,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J=16Hz,1H)</w:t>
            </w:r>
          </w:p>
        </w:tc>
      </w:tr>
      <w:tr>
        <w:trPr>
          <w:trHeight w:val="552" w:hRule="atLeast"/>
        </w:trPr>
        <w:tc>
          <w:tcPr>
            <w:tcW w:w="1053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9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138.42</w:t>
            </w:r>
          </w:p>
        </w:tc>
        <w:tc>
          <w:tcPr>
            <w:tcW w:w="1689" w:type="dxa"/>
          </w:tcPr>
          <w:p>
            <w:pPr>
              <w:pStyle w:val="TableParagraph"/>
              <w:spacing w:line="270" w:lineRule="exact"/>
              <w:ind w:left="137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86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(d,</w:t>
            </w:r>
          </w:p>
          <w:p>
            <w:pPr>
              <w:pStyle w:val="TableParagraph"/>
              <w:spacing w:line="260" w:lineRule="exact" w:before="2"/>
              <w:ind w:left="137"/>
              <w:rPr>
                <w:sz w:val="24"/>
              </w:rPr>
            </w:pPr>
            <w:r>
              <w:rPr>
                <w:sz w:val="24"/>
              </w:rPr>
              <w:t>J=16.0(Hz,1H)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137.62</w:t>
            </w:r>
          </w:p>
        </w:tc>
        <w:tc>
          <w:tcPr>
            <w:tcW w:w="1628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7.86(d,</w:t>
            </w:r>
          </w:p>
          <w:p>
            <w:pPr>
              <w:pStyle w:val="TableParagraph"/>
              <w:spacing w:line="260" w:lineRule="exact" w:before="2"/>
              <w:ind w:left="120"/>
              <w:rPr>
                <w:sz w:val="24"/>
              </w:rPr>
            </w:pPr>
            <w:r>
              <w:rPr>
                <w:sz w:val="24"/>
              </w:rPr>
              <w:t>J=16Hz,1H)</w:t>
            </w:r>
          </w:p>
        </w:tc>
        <w:tc>
          <w:tcPr>
            <w:tcW w:w="1116" w:type="dxa"/>
          </w:tcPr>
          <w:p>
            <w:pPr>
              <w:pStyle w:val="TableParagraph"/>
              <w:spacing w:line="270" w:lineRule="exact"/>
              <w:ind w:left="201"/>
              <w:rPr>
                <w:sz w:val="24"/>
              </w:rPr>
            </w:pPr>
            <w:r>
              <w:rPr>
                <w:sz w:val="24"/>
              </w:rPr>
              <w:t>141.89</w:t>
            </w:r>
          </w:p>
        </w:tc>
        <w:tc>
          <w:tcPr>
            <w:tcW w:w="1511" w:type="dxa"/>
          </w:tcPr>
          <w:p>
            <w:pPr>
              <w:pStyle w:val="TableParagraph"/>
              <w:spacing w:line="270" w:lineRule="exact"/>
              <w:ind w:left="161"/>
              <w:rPr>
                <w:sz w:val="24"/>
              </w:rPr>
            </w:pPr>
            <w:r>
              <w:rPr>
                <w:sz w:val="24"/>
              </w:rPr>
              <w:t>8.00(d,</w:t>
            </w:r>
          </w:p>
          <w:p>
            <w:pPr>
              <w:pStyle w:val="TableParagraph"/>
              <w:spacing w:line="260" w:lineRule="exact" w:before="2"/>
              <w:ind w:left="161"/>
              <w:rPr>
                <w:sz w:val="24"/>
              </w:rPr>
            </w:pPr>
            <w:r>
              <w:rPr>
                <w:sz w:val="24"/>
              </w:rPr>
              <w:t>J=16Hz,1H)</w:t>
            </w:r>
          </w:p>
        </w:tc>
      </w:tr>
      <w:tr>
        <w:trPr>
          <w:trHeight w:val="273" w:hRule="atLeast"/>
        </w:trPr>
        <w:tc>
          <w:tcPr>
            <w:tcW w:w="1053" w:type="dxa"/>
          </w:tcPr>
          <w:p>
            <w:pPr>
              <w:pStyle w:val="TableParagraph"/>
              <w:spacing w:line="254" w:lineRule="exact"/>
              <w:ind w:left="119"/>
              <w:rPr>
                <w:sz w:val="24"/>
              </w:rPr>
            </w:pPr>
            <w:r>
              <w:rPr>
                <w:sz w:val="24"/>
              </w:rPr>
              <w:t>1‘</w:t>
            </w:r>
          </w:p>
        </w:tc>
        <w:tc>
          <w:tcPr>
            <w:tcW w:w="999" w:type="dxa"/>
          </w:tcPr>
          <w:p>
            <w:pPr>
              <w:pStyle w:val="TableParagraph"/>
              <w:spacing w:line="254" w:lineRule="exact"/>
              <w:ind w:left="108"/>
              <w:rPr>
                <w:sz w:val="24"/>
              </w:rPr>
            </w:pPr>
            <w:r>
              <w:rPr>
                <w:sz w:val="24"/>
              </w:rPr>
              <w:t>127.17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122.78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4" w:lineRule="exact"/>
              <w:ind w:left="201"/>
              <w:rPr>
                <w:sz w:val="24"/>
              </w:rPr>
            </w:pPr>
            <w:r>
              <w:rPr>
                <w:sz w:val="24"/>
              </w:rPr>
              <w:t>136.45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153.56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160.38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142.20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28" w:hRule="atLeast"/>
        </w:trPr>
        <w:tc>
          <w:tcPr>
            <w:tcW w:w="1053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</w:t>
            </w:r>
          </w:p>
        </w:tc>
        <w:tc>
          <w:tcPr>
            <w:tcW w:w="999" w:type="dxa"/>
          </w:tcPr>
          <w:p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z w:val="24"/>
              </w:rPr>
              <w:t>142.13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98.85</w:t>
            </w:r>
          </w:p>
        </w:tc>
        <w:tc>
          <w:tcPr>
            <w:tcW w:w="1628" w:type="dxa"/>
          </w:tcPr>
          <w:p>
            <w:pPr>
              <w:pStyle w:val="TableParagraph"/>
              <w:spacing w:line="237" w:lineRule="auto"/>
              <w:ind w:left="120" w:right="198" w:firstLine="62"/>
              <w:rPr>
                <w:sz w:val="24"/>
              </w:rPr>
            </w:pPr>
            <w:r>
              <w:rPr>
                <w:sz w:val="24"/>
              </w:rPr>
              <w:t>6.49(d,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J=2.0Hz,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16" w:type="dxa"/>
          </w:tcPr>
          <w:p>
            <w:pPr>
              <w:pStyle w:val="TableParagraph"/>
              <w:spacing w:line="272" w:lineRule="exact"/>
              <w:ind w:left="201"/>
              <w:rPr>
                <w:sz w:val="24"/>
              </w:rPr>
            </w:pPr>
            <w:r>
              <w:rPr>
                <w:sz w:val="24"/>
              </w:rPr>
              <w:t>129.94</w:t>
            </w:r>
          </w:p>
        </w:tc>
        <w:tc>
          <w:tcPr>
            <w:tcW w:w="1511" w:type="dxa"/>
          </w:tcPr>
          <w:p>
            <w:pPr>
              <w:pStyle w:val="TableParagraph"/>
              <w:spacing w:line="237" w:lineRule="auto"/>
              <w:ind w:left="161" w:right="469" w:firstLine="62"/>
              <w:rPr>
                <w:sz w:val="24"/>
              </w:rPr>
            </w:pPr>
            <w:r>
              <w:rPr>
                <w:sz w:val="24"/>
              </w:rPr>
              <w:t>7.73(d,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J=4.0Hz,</w:t>
            </w:r>
          </w:p>
          <w:p>
            <w:pPr>
              <w:pStyle w:val="TableParagraph"/>
              <w:spacing w:line="260" w:lineRule="exact" w:before="1"/>
              <w:ind w:left="161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155.56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164.04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121.06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28" w:hRule="atLeast"/>
        </w:trPr>
        <w:tc>
          <w:tcPr>
            <w:tcW w:w="1053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5‘</w:t>
            </w:r>
          </w:p>
        </w:tc>
        <w:tc>
          <w:tcPr>
            <w:tcW w:w="999" w:type="dxa"/>
          </w:tcPr>
          <w:p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z w:val="24"/>
              </w:rPr>
              <w:t>107.65</w:t>
            </w:r>
          </w:p>
        </w:tc>
        <w:tc>
          <w:tcPr>
            <w:tcW w:w="1689" w:type="dxa"/>
          </w:tcPr>
          <w:p>
            <w:pPr>
              <w:pStyle w:val="TableParagraph"/>
              <w:spacing w:line="237" w:lineRule="auto"/>
              <w:ind w:left="137" w:right="170"/>
              <w:rPr>
                <w:sz w:val="24"/>
              </w:rPr>
            </w:pPr>
            <w:r>
              <w:rPr>
                <w:sz w:val="24"/>
              </w:rPr>
              <w:t>6.67(d,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J=8.88Hz,1H)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107.75</w:t>
            </w:r>
          </w:p>
        </w:tc>
        <w:tc>
          <w:tcPr>
            <w:tcW w:w="1628" w:type="dxa"/>
          </w:tcPr>
          <w:p>
            <w:pPr>
              <w:pStyle w:val="TableParagraph"/>
              <w:spacing w:line="237" w:lineRule="auto"/>
              <w:ind w:left="120" w:right="508"/>
              <w:rPr>
                <w:sz w:val="24"/>
              </w:rPr>
            </w:pPr>
            <w:r>
              <w:rPr>
                <w:sz w:val="24"/>
              </w:rPr>
              <w:t>6.56(dd,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J=2.59Hz,</w:t>
            </w:r>
          </w:p>
          <w:p>
            <w:pPr>
              <w:pStyle w:val="TableParagraph"/>
              <w:spacing w:line="260" w:lineRule="exact" w:before="2"/>
              <w:ind w:left="120"/>
              <w:rPr>
                <w:sz w:val="24"/>
              </w:rPr>
            </w:pPr>
            <w:r>
              <w:rPr>
                <w:sz w:val="24"/>
              </w:rPr>
              <w:t>9.0Hz,1H)</w:t>
            </w:r>
          </w:p>
        </w:tc>
        <w:tc>
          <w:tcPr>
            <w:tcW w:w="1116" w:type="dxa"/>
          </w:tcPr>
          <w:p>
            <w:pPr>
              <w:pStyle w:val="TableParagraph"/>
              <w:spacing w:line="272" w:lineRule="exact"/>
              <w:ind w:left="201"/>
              <w:rPr>
                <w:sz w:val="24"/>
              </w:rPr>
            </w:pPr>
            <w:r>
              <w:rPr>
                <w:sz w:val="24"/>
              </w:rPr>
              <w:t>127.15</w:t>
            </w:r>
          </w:p>
        </w:tc>
        <w:tc>
          <w:tcPr>
            <w:tcW w:w="1511" w:type="dxa"/>
          </w:tcPr>
          <w:p>
            <w:pPr>
              <w:pStyle w:val="TableParagraph"/>
              <w:spacing w:line="237" w:lineRule="auto"/>
              <w:ind w:left="161" w:right="88"/>
              <w:rPr>
                <w:sz w:val="24"/>
              </w:rPr>
            </w:pPr>
            <w:r>
              <w:rPr>
                <w:sz w:val="24"/>
              </w:rPr>
              <w:t>7.64(d,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J=7.6Hz,1H)</w:t>
            </w:r>
          </w:p>
        </w:tc>
      </w:tr>
      <w:tr>
        <w:trPr>
          <w:trHeight w:val="828" w:hRule="atLeast"/>
        </w:trPr>
        <w:tc>
          <w:tcPr>
            <w:tcW w:w="1053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6‘</w:t>
            </w:r>
          </w:p>
        </w:tc>
        <w:tc>
          <w:tcPr>
            <w:tcW w:w="999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123.40</w:t>
            </w:r>
          </w:p>
        </w:tc>
        <w:tc>
          <w:tcPr>
            <w:tcW w:w="1689" w:type="dxa"/>
          </w:tcPr>
          <w:p>
            <w:pPr>
              <w:pStyle w:val="TableParagraph"/>
              <w:spacing w:line="242" w:lineRule="auto"/>
              <w:ind w:left="137" w:right="242"/>
              <w:rPr>
                <w:sz w:val="24"/>
              </w:rPr>
            </w:pPr>
            <w:r>
              <w:rPr>
                <w:sz w:val="24"/>
              </w:rPr>
              <w:t>7.33(d,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J=8.8Hz,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132.92</w:t>
            </w:r>
          </w:p>
        </w:tc>
        <w:tc>
          <w:tcPr>
            <w:tcW w:w="1628" w:type="dxa"/>
          </w:tcPr>
          <w:p>
            <w:pPr>
              <w:pStyle w:val="TableParagraph"/>
              <w:spacing w:line="242" w:lineRule="auto"/>
              <w:ind w:left="120" w:right="198"/>
              <w:rPr>
                <w:sz w:val="24"/>
              </w:rPr>
            </w:pPr>
            <w:r>
              <w:rPr>
                <w:sz w:val="24"/>
              </w:rPr>
              <w:t>7.33(d,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J=8.5Hz,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16" w:type="dxa"/>
          </w:tcPr>
          <w:p>
            <w:pPr>
              <w:pStyle w:val="TableParagraph"/>
              <w:spacing w:line="270" w:lineRule="exact"/>
              <w:ind w:left="201"/>
              <w:rPr>
                <w:sz w:val="24"/>
              </w:rPr>
            </w:pPr>
            <w:r>
              <w:rPr>
                <w:sz w:val="24"/>
              </w:rPr>
              <w:t>130.35</w:t>
            </w:r>
          </w:p>
        </w:tc>
        <w:tc>
          <w:tcPr>
            <w:tcW w:w="1511" w:type="dxa"/>
          </w:tcPr>
          <w:p>
            <w:pPr>
              <w:pStyle w:val="TableParagraph"/>
              <w:spacing w:line="270" w:lineRule="exact"/>
              <w:ind w:left="161"/>
              <w:rPr>
                <w:sz w:val="24"/>
              </w:rPr>
            </w:pPr>
            <w:r>
              <w:rPr>
                <w:sz w:val="24"/>
              </w:rPr>
              <w:t>7.74(d,</w:t>
            </w:r>
          </w:p>
          <w:p>
            <w:pPr>
              <w:pStyle w:val="TableParagraph"/>
              <w:spacing w:line="274" w:lineRule="exact"/>
              <w:ind w:left="161" w:right="469"/>
              <w:rPr>
                <w:sz w:val="24"/>
              </w:rPr>
            </w:pPr>
            <w:r>
              <w:rPr>
                <w:spacing w:val="-1"/>
                <w:sz w:val="24"/>
              </w:rPr>
              <w:t>J=9.6Hz,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82"/>
              <w:rPr>
                <w:sz w:val="24"/>
              </w:rPr>
            </w:pPr>
            <w:r>
              <w:rPr>
                <w:w w:val="120"/>
                <w:sz w:val="24"/>
              </w:rPr>
              <w:t>1‖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122.22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122.71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132.11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2‖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153.67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153.79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153.68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3‖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142.43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142.62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137.74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4‖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156.71</w:t>
            </w:r>
          </w:p>
        </w:tc>
        <w:tc>
          <w:tcPr>
            <w:tcW w:w="168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155.48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156.27</w:t>
            </w:r>
          </w:p>
        </w:tc>
        <w:tc>
          <w:tcPr>
            <w:tcW w:w="151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28" w:hRule="atLeast"/>
        </w:trPr>
        <w:tc>
          <w:tcPr>
            <w:tcW w:w="1053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5‖</w:t>
            </w:r>
          </w:p>
        </w:tc>
        <w:tc>
          <w:tcPr>
            <w:tcW w:w="999" w:type="dxa"/>
          </w:tcPr>
          <w:p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z w:val="24"/>
              </w:rPr>
              <w:t>107.27</w:t>
            </w:r>
          </w:p>
        </w:tc>
        <w:tc>
          <w:tcPr>
            <w:tcW w:w="1689" w:type="dxa"/>
          </w:tcPr>
          <w:p>
            <w:pPr>
              <w:pStyle w:val="TableParagraph"/>
              <w:spacing w:line="237" w:lineRule="auto"/>
              <w:ind w:left="137" w:right="242"/>
              <w:rPr>
                <w:sz w:val="24"/>
              </w:rPr>
            </w:pPr>
            <w:r>
              <w:rPr>
                <w:sz w:val="24"/>
              </w:rPr>
              <w:t>6.70(d,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J=8.8Hz,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sz w:val="24"/>
              </w:rPr>
              <w:t>105.21</w:t>
            </w:r>
          </w:p>
        </w:tc>
        <w:tc>
          <w:tcPr>
            <w:tcW w:w="1628" w:type="dxa"/>
          </w:tcPr>
          <w:p>
            <w:pPr>
              <w:pStyle w:val="TableParagraph"/>
              <w:spacing w:line="237" w:lineRule="auto"/>
              <w:ind w:left="120" w:right="198"/>
              <w:rPr>
                <w:sz w:val="24"/>
              </w:rPr>
            </w:pPr>
            <w:r>
              <w:rPr>
                <w:sz w:val="24"/>
              </w:rPr>
              <w:t>6.70(d,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J=9.0Hz,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16" w:type="dxa"/>
          </w:tcPr>
          <w:p>
            <w:pPr>
              <w:pStyle w:val="TableParagraph"/>
              <w:spacing w:line="272" w:lineRule="exact"/>
              <w:ind w:left="201"/>
              <w:rPr>
                <w:sz w:val="24"/>
              </w:rPr>
            </w:pPr>
            <w:r>
              <w:rPr>
                <w:sz w:val="24"/>
              </w:rPr>
              <w:t>107.67</w:t>
            </w:r>
          </w:p>
        </w:tc>
        <w:tc>
          <w:tcPr>
            <w:tcW w:w="1511" w:type="dxa"/>
          </w:tcPr>
          <w:p>
            <w:pPr>
              <w:pStyle w:val="TableParagraph"/>
              <w:spacing w:line="237" w:lineRule="auto"/>
              <w:ind w:left="161" w:right="469"/>
              <w:rPr>
                <w:sz w:val="24"/>
              </w:rPr>
            </w:pPr>
            <w:r>
              <w:rPr>
                <w:sz w:val="24"/>
              </w:rPr>
              <w:t>7.02(d,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J=7.6Hz,</w:t>
            </w:r>
          </w:p>
          <w:p>
            <w:pPr>
              <w:pStyle w:val="TableParagraph"/>
              <w:spacing w:line="260" w:lineRule="exact" w:before="2"/>
              <w:ind w:left="161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</w:tr>
      <w:tr>
        <w:trPr>
          <w:trHeight w:val="552" w:hRule="atLeast"/>
        </w:trPr>
        <w:tc>
          <w:tcPr>
            <w:tcW w:w="1053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6‖</w:t>
            </w:r>
          </w:p>
        </w:tc>
        <w:tc>
          <w:tcPr>
            <w:tcW w:w="999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125.65</w:t>
            </w:r>
          </w:p>
        </w:tc>
        <w:tc>
          <w:tcPr>
            <w:tcW w:w="1689" w:type="dxa"/>
          </w:tcPr>
          <w:p>
            <w:pPr>
              <w:pStyle w:val="TableParagraph"/>
              <w:spacing w:line="270" w:lineRule="exact"/>
              <w:ind w:left="137"/>
              <w:rPr>
                <w:sz w:val="24"/>
              </w:rPr>
            </w:pPr>
            <w:r>
              <w:rPr>
                <w:sz w:val="24"/>
              </w:rPr>
              <w:t>7.41(d,</w:t>
            </w:r>
          </w:p>
          <w:p>
            <w:pPr>
              <w:pStyle w:val="TableParagraph"/>
              <w:spacing w:line="260" w:lineRule="exact" w:before="2"/>
              <w:ind w:left="137"/>
              <w:rPr>
                <w:sz w:val="24"/>
              </w:rPr>
            </w:pPr>
            <w:r>
              <w:rPr>
                <w:sz w:val="24"/>
              </w:rPr>
              <w:t>J=9.0Hz,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123.68</w:t>
            </w:r>
          </w:p>
        </w:tc>
        <w:tc>
          <w:tcPr>
            <w:tcW w:w="1628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7.34(d,</w:t>
            </w:r>
          </w:p>
          <w:p>
            <w:pPr>
              <w:pStyle w:val="TableParagraph"/>
              <w:spacing w:line="260" w:lineRule="exact" w:before="2"/>
              <w:ind w:left="120"/>
              <w:rPr>
                <w:sz w:val="24"/>
              </w:rPr>
            </w:pPr>
            <w:r>
              <w:rPr>
                <w:sz w:val="24"/>
              </w:rPr>
              <w:t>J=9.0Hz,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16" w:type="dxa"/>
          </w:tcPr>
          <w:p>
            <w:pPr>
              <w:pStyle w:val="TableParagraph"/>
              <w:spacing w:line="270" w:lineRule="exact"/>
              <w:ind w:left="201"/>
              <w:rPr>
                <w:sz w:val="24"/>
              </w:rPr>
            </w:pPr>
            <w:r>
              <w:rPr>
                <w:sz w:val="24"/>
              </w:rPr>
              <w:t>124.65</w:t>
            </w:r>
          </w:p>
        </w:tc>
        <w:tc>
          <w:tcPr>
            <w:tcW w:w="1511" w:type="dxa"/>
          </w:tcPr>
          <w:p>
            <w:pPr>
              <w:pStyle w:val="TableParagraph"/>
              <w:spacing w:line="270" w:lineRule="exact"/>
              <w:ind w:left="161"/>
              <w:rPr>
                <w:sz w:val="24"/>
              </w:rPr>
            </w:pPr>
            <w:r>
              <w:rPr>
                <w:sz w:val="24"/>
              </w:rPr>
              <w:t>7.64(d,</w:t>
            </w:r>
          </w:p>
          <w:p>
            <w:pPr>
              <w:pStyle w:val="TableParagraph"/>
              <w:spacing w:line="260" w:lineRule="exact" w:before="2"/>
              <w:ind w:left="161"/>
              <w:rPr>
                <w:sz w:val="24"/>
              </w:rPr>
            </w:pPr>
            <w:r>
              <w:rPr>
                <w:sz w:val="24"/>
              </w:rPr>
              <w:t>J=7.6Hz,1H)</w:t>
            </w:r>
          </w:p>
        </w:tc>
      </w:tr>
      <w:tr>
        <w:trPr>
          <w:trHeight w:val="275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2‘m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61.47</w:t>
            </w:r>
          </w:p>
        </w:tc>
        <w:tc>
          <w:tcPr>
            <w:tcW w:w="1689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3.87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56.22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3.89</w:t>
            </w: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11" w:type="dxa"/>
          </w:tcPr>
          <w:p>
            <w:pPr>
              <w:pStyle w:val="TableParagraph"/>
              <w:spacing w:line="256" w:lineRule="exact"/>
              <w:ind w:left="16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3‘m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60.88</w:t>
            </w:r>
          </w:p>
        </w:tc>
        <w:tc>
          <w:tcPr>
            <w:tcW w:w="1689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3.87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11" w:type="dxa"/>
          </w:tcPr>
          <w:p>
            <w:pPr>
              <w:pStyle w:val="TableParagraph"/>
              <w:spacing w:line="256" w:lineRule="exact"/>
              <w:ind w:left="16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4‘m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56.06</w:t>
            </w:r>
          </w:p>
        </w:tc>
        <w:tc>
          <w:tcPr>
            <w:tcW w:w="1689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3.83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55.90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3.88</w:t>
            </w: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11" w:type="dxa"/>
          </w:tcPr>
          <w:p>
            <w:pPr>
              <w:pStyle w:val="TableParagraph"/>
              <w:spacing w:line="256" w:lineRule="exact"/>
              <w:ind w:left="16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2‖m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62.07</w:t>
            </w:r>
          </w:p>
        </w:tc>
        <w:tc>
          <w:tcPr>
            <w:tcW w:w="1689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3.88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61.58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3.92</w:t>
            </w: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61.51</w:t>
            </w:r>
          </w:p>
        </w:tc>
        <w:tc>
          <w:tcPr>
            <w:tcW w:w="1511" w:type="dxa"/>
          </w:tcPr>
          <w:p>
            <w:pPr>
              <w:pStyle w:val="TableParagraph"/>
              <w:spacing w:line="256" w:lineRule="exact"/>
              <w:ind w:left="161"/>
              <w:rPr>
                <w:sz w:val="24"/>
              </w:rPr>
            </w:pPr>
            <w:r>
              <w:rPr>
                <w:sz w:val="24"/>
              </w:rPr>
              <w:t>4.25</w:t>
            </w:r>
          </w:p>
        </w:tc>
      </w:tr>
      <w:tr>
        <w:trPr>
          <w:trHeight w:val="275" w:hRule="atLeast"/>
        </w:trPr>
        <w:tc>
          <w:tcPr>
            <w:tcW w:w="1053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3‖m</w:t>
            </w:r>
          </w:p>
        </w:tc>
        <w:tc>
          <w:tcPr>
            <w:tcW w:w="999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61.03</w:t>
            </w:r>
          </w:p>
        </w:tc>
        <w:tc>
          <w:tcPr>
            <w:tcW w:w="1689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3.87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61.08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3.89</w:t>
            </w:r>
          </w:p>
        </w:tc>
        <w:tc>
          <w:tcPr>
            <w:tcW w:w="1116" w:type="dxa"/>
          </w:tcPr>
          <w:p>
            <w:pPr>
              <w:pStyle w:val="TableParagraph"/>
              <w:spacing w:line="256" w:lineRule="exact"/>
              <w:ind w:left="201"/>
              <w:rPr>
                <w:sz w:val="24"/>
              </w:rPr>
            </w:pPr>
            <w:r>
              <w:rPr>
                <w:sz w:val="24"/>
              </w:rPr>
              <w:t>60.80</w:t>
            </w:r>
          </w:p>
        </w:tc>
        <w:tc>
          <w:tcPr>
            <w:tcW w:w="1511" w:type="dxa"/>
          </w:tcPr>
          <w:p>
            <w:pPr>
              <w:pStyle w:val="TableParagraph"/>
              <w:spacing w:line="256" w:lineRule="exact"/>
              <w:ind w:left="161"/>
              <w:rPr>
                <w:sz w:val="24"/>
              </w:rPr>
            </w:pPr>
            <w:r>
              <w:rPr>
                <w:sz w:val="24"/>
              </w:rPr>
              <w:t>4.24</w:t>
            </w:r>
          </w:p>
        </w:tc>
      </w:tr>
      <w:tr>
        <w:trPr>
          <w:trHeight w:val="277" w:hRule="atLeast"/>
        </w:trPr>
        <w:tc>
          <w:tcPr>
            <w:tcW w:w="10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4‖m</w:t>
            </w:r>
          </w:p>
        </w:tc>
        <w:tc>
          <w:tcPr>
            <w:tcW w:w="9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56.10</w:t>
            </w:r>
          </w:p>
        </w:tc>
        <w:tc>
          <w:tcPr>
            <w:tcW w:w="168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37"/>
              <w:rPr>
                <w:sz w:val="24"/>
              </w:rPr>
            </w:pPr>
            <w:r>
              <w:rPr>
                <w:sz w:val="24"/>
              </w:rPr>
              <w:t>3.85</w:t>
            </w:r>
          </w:p>
        </w:tc>
        <w:tc>
          <w:tcPr>
            <w:tcW w:w="9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55.69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20"/>
              <w:rPr>
                <w:sz w:val="24"/>
              </w:rPr>
            </w:pPr>
            <w:r>
              <w:rPr>
                <w:sz w:val="24"/>
              </w:rPr>
              <w:t>3.86</w:t>
            </w:r>
          </w:p>
        </w:tc>
        <w:tc>
          <w:tcPr>
            <w:tcW w:w="111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201"/>
              <w:rPr>
                <w:sz w:val="24"/>
              </w:rPr>
            </w:pPr>
            <w:r>
              <w:rPr>
                <w:sz w:val="24"/>
              </w:rPr>
              <w:t>56.01</w:t>
            </w:r>
          </w:p>
        </w:tc>
        <w:tc>
          <w:tcPr>
            <w:tcW w:w="151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61"/>
              <w:rPr>
                <w:sz w:val="24"/>
              </w:rPr>
            </w:pPr>
            <w:r>
              <w:rPr>
                <w:sz w:val="24"/>
              </w:rPr>
              <w:t>4.24</w:t>
            </w:r>
          </w:p>
        </w:tc>
      </w:tr>
    </w:tbl>
    <w:p>
      <w:pPr>
        <w:spacing w:after="0" w:line="258" w:lineRule="exact"/>
        <w:rPr>
          <w:sz w:val="24"/>
        </w:rPr>
        <w:sectPr>
          <w:headerReference w:type="default" r:id="rId264"/>
          <w:footerReference w:type="default" r:id="rId265"/>
          <w:pgSz w:w="11910" w:h="16840"/>
          <w:pgMar w:header="1266" w:footer="878" w:top="1560" w:bottom="1060" w:left="1560" w:right="600"/>
        </w:sectPr>
      </w:pPr>
    </w:p>
    <w:p>
      <w:pPr>
        <w:pStyle w:val="BodyText"/>
        <w:spacing w:before="194"/>
        <w:ind w:left="305" w:right="696"/>
        <w:jc w:val="center"/>
      </w:pPr>
      <w:r>
        <w:rPr/>
        <w:t>The</w:t>
      </w:r>
      <w:r>
        <w:rPr>
          <w:spacing w:val="-1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2"/>
          <w:vertAlign w:val="baseline"/>
        </w:rPr>
        <w:t> </w:t>
      </w:r>
      <w:r>
        <w:rPr>
          <w:vertAlign w:val="baseline"/>
        </w:rPr>
        <w:t>NMR</w:t>
      </w:r>
      <w:r>
        <w:rPr>
          <w:spacing w:val="-2"/>
          <w:vertAlign w:val="baseline"/>
        </w:rPr>
        <w:t> </w:t>
      </w:r>
      <w:r>
        <w:rPr>
          <w:vertAlign w:val="baseline"/>
        </w:rPr>
        <w:t>data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compounds</w:t>
      </w:r>
      <w:r>
        <w:rPr>
          <w:spacing w:val="-2"/>
          <w:vertAlign w:val="baseline"/>
        </w:rPr>
        <w:t> </w:t>
      </w:r>
      <w:r>
        <w:rPr>
          <w:vertAlign w:val="baseline"/>
        </w:rPr>
        <w:t>P3,</w:t>
      </w:r>
      <w:r>
        <w:rPr>
          <w:spacing w:val="2"/>
          <w:vertAlign w:val="baseline"/>
        </w:rPr>
        <w:t> </w:t>
      </w:r>
      <w:r>
        <w:rPr>
          <w:vertAlign w:val="baseline"/>
        </w:rPr>
        <w:t>P4 and</w:t>
      </w:r>
      <w:r>
        <w:rPr>
          <w:spacing w:val="1"/>
          <w:vertAlign w:val="baseline"/>
        </w:rPr>
        <w:t> </w:t>
      </w:r>
      <w:r>
        <w:rPr>
          <w:vertAlign w:val="baseline"/>
        </w:rPr>
        <w:t>P8 (Figure</w:t>
      </w:r>
      <w:r>
        <w:rPr>
          <w:spacing w:val="-1"/>
          <w:vertAlign w:val="baseline"/>
        </w:rPr>
        <w:t> </w:t>
      </w:r>
      <w:r>
        <w:rPr>
          <w:vertAlign w:val="baseline"/>
        </w:rPr>
        <w:t>4.2)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2"/>
          <w:vertAlign w:val="baseline"/>
        </w:rPr>
        <w:t> </w:t>
      </w:r>
      <w:r>
        <w:rPr>
          <w:vertAlign w:val="baseline"/>
        </w:rPr>
        <w:t>shown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Table</w:t>
      </w:r>
    </w:p>
    <w:p>
      <w:pPr>
        <w:pStyle w:val="BodyText"/>
        <w:spacing w:before="1"/>
      </w:pPr>
    </w:p>
    <w:p>
      <w:pPr>
        <w:pStyle w:val="BodyText"/>
        <w:ind w:left="312"/>
      </w:pPr>
      <w:r>
        <w:rPr/>
        <w:t>4.7 and Appendices</w:t>
      </w:r>
      <w:r>
        <w:rPr>
          <w:spacing w:val="-1"/>
        </w:rPr>
        <w:t> </w:t>
      </w:r>
      <w:r>
        <w:rPr/>
        <w:t>25,</w:t>
      </w:r>
      <w:r>
        <w:rPr>
          <w:spacing w:val="2"/>
        </w:rPr>
        <w:t> </w:t>
      </w:r>
      <w:r>
        <w:rPr/>
        <w:t>26,</w:t>
      </w:r>
      <w:r>
        <w:rPr>
          <w:spacing w:val="-2"/>
        </w:rPr>
        <w:t> </w:t>
      </w:r>
      <w:r>
        <w:rPr/>
        <w:t>32,</w:t>
      </w:r>
      <w:r>
        <w:rPr>
          <w:spacing w:val="-3"/>
        </w:rPr>
        <w:t> </w:t>
      </w:r>
      <w:r>
        <w:rPr/>
        <w:t>33, 40 and 41.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2273911</wp:posOffset>
            </wp:positionH>
            <wp:positionV relativeFrom="paragraph">
              <wp:posOffset>199870</wp:posOffset>
            </wp:positionV>
            <wp:extent cx="3477098" cy="1952625"/>
            <wp:effectExtent l="0" t="0" r="0" b="0"/>
            <wp:wrapTopAndBottom/>
            <wp:docPr id="5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8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098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9"/>
        </w:rPr>
      </w:pPr>
    </w:p>
    <w:p>
      <w:pPr>
        <w:pStyle w:val="Heading1"/>
        <w:spacing w:before="0"/>
        <w:ind w:right="696"/>
        <w:jc w:val="center"/>
      </w:pPr>
      <w:r>
        <w:rPr/>
        <w:t>Figure</w:t>
      </w:r>
      <w:r>
        <w:rPr>
          <w:spacing w:val="-3"/>
        </w:rPr>
        <w:t> </w:t>
      </w:r>
      <w:r>
        <w:rPr/>
        <w:t>4.2: 3-quinolinyl-substituted</w:t>
      </w:r>
      <w:r>
        <w:rPr>
          <w:spacing w:val="-6"/>
        </w:rPr>
        <w:t> </w:t>
      </w:r>
      <w:r>
        <w:rPr/>
        <w:t>chalcones</w:t>
      </w:r>
      <w:r>
        <w:rPr>
          <w:spacing w:val="-3"/>
        </w:rPr>
        <w:t> </w:t>
      </w:r>
      <w:r>
        <w:rPr/>
        <w:t>(P3, P4</w:t>
      </w:r>
      <w:r>
        <w:rPr>
          <w:spacing w:val="-2"/>
        </w:rPr>
        <w:t> </w:t>
      </w:r>
      <w:r>
        <w:rPr/>
        <w:t>and,</w:t>
      </w:r>
      <w:r>
        <w:rPr>
          <w:spacing w:val="-4"/>
        </w:rPr>
        <w:t> </w:t>
      </w:r>
      <w:r>
        <w:rPr/>
        <w:t>P8)</w:t>
      </w:r>
    </w:p>
    <w:p>
      <w:pPr>
        <w:spacing w:after="0"/>
        <w:jc w:val="center"/>
        <w:sectPr>
          <w:headerReference w:type="default" r:id="rId266"/>
          <w:footerReference w:type="default" r:id="rId267"/>
          <w:pgSz w:w="11910" w:h="16840"/>
          <w:pgMar w:header="1266" w:footer="878" w:top="1560" w:bottom="1060" w:left="1560" w:right="600"/>
        </w:sectPr>
      </w:pP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5"/>
        <w:gridCol w:w="1044"/>
        <w:gridCol w:w="1532"/>
        <w:gridCol w:w="1025"/>
        <w:gridCol w:w="1424"/>
        <w:gridCol w:w="1143"/>
        <w:gridCol w:w="1752"/>
      </w:tblGrid>
      <w:tr>
        <w:trPr>
          <w:trHeight w:val="539" w:hRule="atLeast"/>
        </w:trPr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4" w:lineRule="exact"/>
              <w:ind w:left="119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Carbon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Position</w:t>
            </w:r>
          </w:p>
        </w:tc>
        <w:tc>
          <w:tcPr>
            <w:tcW w:w="10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 w:before="1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P3</w:t>
            </w:r>
          </w:p>
          <w:p>
            <w:pPr>
              <w:pStyle w:val="TableParagraph"/>
              <w:tabs>
                <w:tab w:pos="7974" w:val="left" w:leader="none"/>
              </w:tabs>
              <w:spacing w:line="243" w:lineRule="exact"/>
              <w:ind w:right="-6941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 </w:t>
              <w:tab/>
            </w:r>
          </w:p>
        </w:tc>
        <w:tc>
          <w:tcPr>
            <w:tcW w:w="153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P4</w:t>
            </w:r>
          </w:p>
        </w:tc>
        <w:tc>
          <w:tcPr>
            <w:tcW w:w="142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81"/>
              <w:rPr>
                <w:b/>
                <w:sz w:val="24"/>
              </w:rPr>
            </w:pPr>
            <w:r>
              <w:rPr>
                <w:b/>
                <w:sz w:val="24"/>
              </w:rPr>
              <w:t>P8</w:t>
            </w:r>
          </w:p>
        </w:tc>
        <w:tc>
          <w:tcPr>
            <w:tcW w:w="175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70" w:hRule="atLeast"/>
        </w:trPr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11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5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81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0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09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4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64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14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81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81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7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210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</w:tr>
      <w:tr>
        <w:trPr>
          <w:trHeight w:val="331" w:hRule="atLeast"/>
        </w:trPr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196.42</w:t>
            </w:r>
          </w:p>
        </w:tc>
        <w:tc>
          <w:tcPr>
            <w:tcW w:w="153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189.55</w:t>
            </w:r>
          </w:p>
        </w:tc>
        <w:tc>
          <w:tcPr>
            <w:tcW w:w="142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81"/>
              <w:rPr>
                <w:sz w:val="24"/>
              </w:rPr>
            </w:pPr>
            <w:r>
              <w:rPr>
                <w:sz w:val="24"/>
              </w:rPr>
              <w:t>197.91</w:t>
            </w:r>
          </w:p>
        </w:tc>
        <w:tc>
          <w:tcPr>
            <w:tcW w:w="175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87" w:hRule="atLeast"/>
        </w:trPr>
        <w:tc>
          <w:tcPr>
            <w:tcW w:w="1055" w:type="dxa"/>
          </w:tcPr>
          <w:p>
            <w:pPr>
              <w:pStyle w:val="TableParagraph"/>
              <w:spacing w:before="53"/>
              <w:ind w:left="1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44" w:type="dxa"/>
          </w:tcPr>
          <w:p>
            <w:pPr>
              <w:pStyle w:val="TableParagraph"/>
              <w:spacing w:before="53"/>
              <w:ind w:left="111"/>
              <w:rPr>
                <w:sz w:val="24"/>
              </w:rPr>
            </w:pPr>
            <w:r>
              <w:rPr>
                <w:sz w:val="24"/>
              </w:rPr>
              <w:t>104.86</w:t>
            </w:r>
          </w:p>
        </w:tc>
        <w:tc>
          <w:tcPr>
            <w:tcW w:w="1532" w:type="dxa"/>
          </w:tcPr>
          <w:p>
            <w:pPr>
              <w:pStyle w:val="TableParagraph"/>
              <w:spacing w:line="242" w:lineRule="auto" w:before="53"/>
              <w:ind w:left="181" w:right="102"/>
              <w:rPr>
                <w:sz w:val="24"/>
              </w:rPr>
            </w:pPr>
            <w:r>
              <w:rPr>
                <w:sz w:val="24"/>
              </w:rPr>
              <w:t>6.81(d,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J=20Hz,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77"/>
              <w:ind w:left="109"/>
              <w:rPr>
                <w:sz w:val="24"/>
              </w:rPr>
            </w:pPr>
            <w:r>
              <w:rPr>
                <w:sz w:val="24"/>
              </w:rPr>
              <w:t>131.50</w:t>
            </w:r>
          </w:p>
        </w:tc>
        <w:tc>
          <w:tcPr>
            <w:tcW w:w="1424" w:type="dxa"/>
          </w:tcPr>
          <w:p>
            <w:pPr>
              <w:pStyle w:val="TableParagraph"/>
              <w:spacing w:before="53"/>
              <w:ind w:left="164"/>
              <w:rPr>
                <w:sz w:val="24"/>
              </w:rPr>
            </w:pPr>
            <w:r>
              <w:rPr>
                <w:sz w:val="24"/>
              </w:rPr>
              <w:t>7.72(d,</w:t>
            </w:r>
          </w:p>
          <w:p>
            <w:pPr>
              <w:pStyle w:val="TableParagraph"/>
              <w:spacing w:line="274" w:lineRule="exact"/>
              <w:ind w:left="164" w:right="438"/>
              <w:rPr>
                <w:sz w:val="24"/>
              </w:rPr>
            </w:pPr>
            <w:r>
              <w:rPr>
                <w:spacing w:val="-1"/>
                <w:sz w:val="24"/>
              </w:rPr>
              <w:t>J=16Hz,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before="53"/>
              <w:ind w:left="181"/>
              <w:rPr>
                <w:sz w:val="24"/>
              </w:rPr>
            </w:pPr>
            <w:r>
              <w:rPr>
                <w:sz w:val="24"/>
              </w:rPr>
              <w:t>104.94</w:t>
            </w:r>
          </w:p>
        </w:tc>
        <w:tc>
          <w:tcPr>
            <w:tcW w:w="1752" w:type="dxa"/>
          </w:tcPr>
          <w:p>
            <w:pPr>
              <w:pStyle w:val="TableParagraph"/>
              <w:spacing w:line="242" w:lineRule="auto" w:before="53"/>
              <w:ind w:left="210" w:right="293"/>
              <w:rPr>
                <w:sz w:val="24"/>
              </w:rPr>
            </w:pPr>
            <w:r>
              <w:rPr>
                <w:sz w:val="24"/>
              </w:rPr>
              <w:t>6.82(d,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J=16Hz,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5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135.09</w:t>
            </w:r>
          </w:p>
        </w:tc>
        <w:tc>
          <w:tcPr>
            <w:tcW w:w="1532" w:type="dxa"/>
          </w:tcPr>
          <w:p>
            <w:pPr>
              <w:pStyle w:val="TableParagraph"/>
              <w:spacing w:line="237" w:lineRule="auto"/>
              <w:ind w:left="181" w:right="102"/>
              <w:rPr>
                <w:sz w:val="24"/>
              </w:rPr>
            </w:pPr>
            <w:r>
              <w:rPr>
                <w:sz w:val="24"/>
              </w:rPr>
              <w:t>7.84(d,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J=21Hz,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136.24</w:t>
            </w:r>
          </w:p>
        </w:tc>
        <w:tc>
          <w:tcPr>
            <w:tcW w:w="1424" w:type="dxa"/>
          </w:tcPr>
          <w:p>
            <w:pPr>
              <w:pStyle w:val="TableParagraph"/>
              <w:spacing w:line="271" w:lineRule="exact"/>
              <w:ind w:left="164"/>
              <w:rPr>
                <w:sz w:val="24"/>
              </w:rPr>
            </w:pPr>
            <w:r>
              <w:rPr>
                <w:sz w:val="24"/>
              </w:rPr>
              <w:t>8.03(d,</w:t>
            </w:r>
          </w:p>
          <w:p>
            <w:pPr>
              <w:pStyle w:val="TableParagraph"/>
              <w:spacing w:line="274" w:lineRule="exact"/>
              <w:ind w:left="164" w:right="260"/>
              <w:rPr>
                <w:sz w:val="24"/>
              </w:rPr>
            </w:pPr>
            <w:r>
              <w:rPr>
                <w:spacing w:val="-1"/>
                <w:sz w:val="24"/>
              </w:rPr>
              <w:t>J=15.9Hz,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135.08</w:t>
            </w:r>
          </w:p>
        </w:tc>
        <w:tc>
          <w:tcPr>
            <w:tcW w:w="1752" w:type="dxa"/>
          </w:tcPr>
          <w:p>
            <w:pPr>
              <w:pStyle w:val="TableParagraph"/>
              <w:spacing w:line="237" w:lineRule="auto"/>
              <w:ind w:left="210" w:right="112"/>
              <w:rPr>
                <w:sz w:val="24"/>
              </w:rPr>
            </w:pPr>
            <w:r>
              <w:rPr>
                <w:sz w:val="24"/>
              </w:rPr>
              <w:t>7.80(d,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J=16.0Hz,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302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1‘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119.75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20"/>
              <w:ind w:left="109"/>
              <w:rPr>
                <w:sz w:val="24"/>
              </w:rPr>
            </w:pPr>
            <w:r>
              <w:rPr>
                <w:sz w:val="24"/>
              </w:rPr>
              <w:t>123.84</w:t>
            </w:r>
          </w:p>
        </w:tc>
        <w:tc>
          <w:tcPr>
            <w:tcW w:w="1424" w:type="dxa"/>
          </w:tcPr>
          <w:p>
            <w:pPr>
              <w:pStyle w:val="TableParagraph"/>
              <w:spacing w:line="272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124.53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300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160.39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0" w:lineRule="exact" w:before="20"/>
              <w:ind w:left="109"/>
              <w:rPr>
                <w:sz w:val="24"/>
              </w:rPr>
            </w:pPr>
            <w:r>
              <w:rPr>
                <w:sz w:val="24"/>
              </w:rPr>
              <w:t>160.75</w:t>
            </w:r>
          </w:p>
        </w:tc>
        <w:tc>
          <w:tcPr>
            <w:tcW w:w="1424" w:type="dxa"/>
          </w:tcPr>
          <w:p>
            <w:pPr>
              <w:pStyle w:val="TableParagraph"/>
              <w:spacing w:line="272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153.35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97.89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6.24(d,</w:t>
            </w:r>
          </w:p>
          <w:p>
            <w:pPr>
              <w:pStyle w:val="TableParagraph"/>
              <w:spacing w:line="274" w:lineRule="exact"/>
              <w:ind w:left="181" w:right="351"/>
              <w:rPr>
                <w:sz w:val="24"/>
              </w:rPr>
            </w:pPr>
            <w:r>
              <w:rPr>
                <w:spacing w:val="-1"/>
                <w:sz w:val="24"/>
              </w:rPr>
              <w:t>J=2.12Hz,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17"/>
              <w:ind w:left="109"/>
              <w:rPr>
                <w:sz w:val="24"/>
              </w:rPr>
            </w:pPr>
            <w:r>
              <w:rPr>
                <w:sz w:val="24"/>
              </w:rPr>
              <w:t>98.67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sz w:val="24"/>
              </w:rPr>
              <w:t>6.49(d,</w:t>
            </w:r>
          </w:p>
          <w:p>
            <w:pPr>
              <w:pStyle w:val="TableParagraph"/>
              <w:spacing w:line="274" w:lineRule="exact"/>
              <w:ind w:left="164" w:right="260"/>
              <w:rPr>
                <w:sz w:val="24"/>
              </w:rPr>
            </w:pPr>
            <w:r>
              <w:rPr>
                <w:spacing w:val="-1"/>
                <w:sz w:val="24"/>
              </w:rPr>
              <w:t>J=2.00Hz,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142.32</w:t>
            </w:r>
          </w:p>
        </w:tc>
        <w:tc>
          <w:tcPr>
            <w:tcW w:w="175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164.69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20"/>
              <w:ind w:left="109"/>
              <w:rPr>
                <w:sz w:val="24"/>
              </w:rPr>
            </w:pPr>
            <w:r>
              <w:rPr>
                <w:sz w:val="24"/>
              </w:rPr>
              <w:t>164.64</w:t>
            </w:r>
          </w:p>
        </w:tc>
        <w:tc>
          <w:tcPr>
            <w:tcW w:w="1424" w:type="dxa"/>
          </w:tcPr>
          <w:p>
            <w:pPr>
              <w:pStyle w:val="TableParagraph"/>
              <w:spacing w:line="272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158.10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5‘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105.84</w:t>
            </w:r>
          </w:p>
        </w:tc>
        <w:tc>
          <w:tcPr>
            <w:tcW w:w="1532" w:type="dxa"/>
          </w:tcPr>
          <w:p>
            <w:pPr>
              <w:pStyle w:val="TableParagraph"/>
              <w:spacing w:line="237" w:lineRule="auto"/>
              <w:ind w:left="181" w:right="351"/>
              <w:rPr>
                <w:sz w:val="24"/>
              </w:rPr>
            </w:pPr>
            <w:r>
              <w:rPr>
                <w:sz w:val="24"/>
              </w:rPr>
              <w:t>6.45(dd,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J=2.68Hz,</w:t>
            </w:r>
          </w:p>
          <w:p>
            <w:pPr>
              <w:pStyle w:val="TableParagraph"/>
              <w:spacing w:line="260" w:lineRule="exact" w:before="1"/>
              <w:ind w:left="181"/>
              <w:rPr>
                <w:sz w:val="24"/>
              </w:rPr>
            </w:pPr>
            <w:r>
              <w:rPr>
                <w:sz w:val="24"/>
              </w:rPr>
              <w:t>9.16Hz,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105.4</w:t>
            </w:r>
          </w:p>
        </w:tc>
        <w:tc>
          <w:tcPr>
            <w:tcW w:w="1424" w:type="dxa"/>
          </w:tcPr>
          <w:p>
            <w:pPr>
              <w:pStyle w:val="TableParagraph"/>
              <w:spacing w:line="237" w:lineRule="auto"/>
              <w:ind w:left="164" w:right="379"/>
              <w:rPr>
                <w:sz w:val="24"/>
              </w:rPr>
            </w:pPr>
            <w:r>
              <w:rPr>
                <w:sz w:val="24"/>
              </w:rPr>
              <w:t>6.57(dd,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J=2.1Hz,</w:t>
            </w:r>
          </w:p>
          <w:p>
            <w:pPr>
              <w:pStyle w:val="TableParagraph"/>
              <w:spacing w:line="260" w:lineRule="exact" w:before="1"/>
              <w:ind w:left="164"/>
              <w:rPr>
                <w:sz w:val="24"/>
              </w:rPr>
            </w:pPr>
            <w:r>
              <w:rPr>
                <w:sz w:val="24"/>
              </w:rPr>
              <w:t>8.6Hz,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122.40</w:t>
            </w:r>
          </w:p>
        </w:tc>
        <w:tc>
          <w:tcPr>
            <w:tcW w:w="1752" w:type="dxa"/>
          </w:tcPr>
          <w:p>
            <w:pPr>
              <w:pStyle w:val="TableParagraph"/>
              <w:tabs>
                <w:tab w:pos="1418" w:val="left" w:leader="none"/>
              </w:tabs>
              <w:spacing w:line="271" w:lineRule="exact"/>
              <w:ind w:left="210"/>
              <w:rPr>
                <w:sz w:val="24"/>
              </w:rPr>
            </w:pPr>
            <w:r>
              <w:rPr>
                <w:sz w:val="24"/>
              </w:rPr>
              <w:t>7.21(d,</w:t>
              <w:tab/>
              <w:t>J=</w:t>
            </w:r>
          </w:p>
          <w:p>
            <w:pPr>
              <w:pStyle w:val="TableParagraph"/>
              <w:spacing w:line="275" w:lineRule="exact"/>
              <w:ind w:left="210"/>
              <w:rPr>
                <w:sz w:val="24"/>
              </w:rPr>
            </w:pPr>
            <w:r>
              <w:rPr>
                <w:sz w:val="24"/>
              </w:rPr>
              <w:t>8.84Hz,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6‘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133.24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7.77(d,</w:t>
            </w:r>
          </w:p>
          <w:p>
            <w:pPr>
              <w:pStyle w:val="TableParagraph"/>
              <w:spacing w:line="274" w:lineRule="exact"/>
              <w:ind w:left="181" w:right="351"/>
              <w:rPr>
                <w:sz w:val="24"/>
              </w:rPr>
            </w:pPr>
            <w:r>
              <w:rPr>
                <w:spacing w:val="-1"/>
                <w:sz w:val="24"/>
              </w:rPr>
              <w:t>J=8.68Hz,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18"/>
              <w:ind w:left="109"/>
              <w:rPr>
                <w:sz w:val="24"/>
              </w:rPr>
            </w:pPr>
            <w:r>
              <w:rPr>
                <w:sz w:val="24"/>
              </w:rPr>
              <w:t>128.27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sz w:val="24"/>
              </w:rPr>
              <w:t>7.80(d,</w:t>
            </w:r>
          </w:p>
          <w:p>
            <w:pPr>
              <w:pStyle w:val="TableParagraph"/>
              <w:spacing w:line="274" w:lineRule="exact"/>
              <w:ind w:left="164" w:right="260"/>
              <w:rPr>
                <w:sz w:val="24"/>
              </w:rPr>
            </w:pPr>
            <w:r>
              <w:rPr>
                <w:spacing w:val="-1"/>
                <w:sz w:val="24"/>
              </w:rPr>
              <w:t>J=9.00Hz,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129.59</w:t>
            </w:r>
          </w:p>
        </w:tc>
        <w:tc>
          <w:tcPr>
            <w:tcW w:w="1752" w:type="dxa"/>
          </w:tcPr>
          <w:p>
            <w:pPr>
              <w:pStyle w:val="TableParagraph"/>
              <w:spacing w:line="242" w:lineRule="auto"/>
              <w:ind w:left="210" w:right="112"/>
              <w:rPr>
                <w:sz w:val="24"/>
              </w:rPr>
            </w:pPr>
            <w:r>
              <w:rPr>
                <w:sz w:val="24"/>
              </w:rPr>
              <w:t>7.72(d,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J=9.20Hz,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300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2‖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148.88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0" w:lineRule="exact" w:before="20"/>
              <w:ind w:left="109"/>
              <w:rPr>
                <w:sz w:val="24"/>
              </w:rPr>
            </w:pPr>
            <w:r>
              <w:rPr>
                <w:sz w:val="24"/>
              </w:rPr>
              <w:t>150.51</w:t>
            </w:r>
          </w:p>
        </w:tc>
        <w:tc>
          <w:tcPr>
            <w:tcW w:w="1424" w:type="dxa"/>
          </w:tcPr>
          <w:p>
            <w:pPr>
              <w:pStyle w:val="TableParagraph"/>
              <w:spacing w:line="272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148.84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99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3‖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132.91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17"/>
              <w:ind w:left="109"/>
              <w:rPr>
                <w:sz w:val="24"/>
              </w:rPr>
            </w:pPr>
            <w:r>
              <w:rPr>
                <w:sz w:val="24"/>
              </w:rPr>
              <w:t>131.38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132.12</w:t>
            </w:r>
          </w:p>
        </w:tc>
        <w:tc>
          <w:tcPr>
            <w:tcW w:w="1752" w:type="dxa"/>
          </w:tcPr>
          <w:p>
            <w:pPr>
              <w:pStyle w:val="TableParagraph"/>
              <w:spacing w:line="270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4‖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53.09</w:t>
            </w:r>
          </w:p>
        </w:tc>
        <w:tc>
          <w:tcPr>
            <w:tcW w:w="1532" w:type="dxa"/>
          </w:tcPr>
          <w:p>
            <w:pPr>
              <w:pStyle w:val="TableParagraph"/>
              <w:spacing w:line="237" w:lineRule="auto"/>
              <w:ind w:left="181" w:right="351"/>
              <w:rPr>
                <w:sz w:val="24"/>
              </w:rPr>
            </w:pPr>
            <w:r>
              <w:rPr>
                <w:sz w:val="24"/>
              </w:rPr>
              <w:t>4.93(d,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J=2.40Hz,</w:t>
            </w:r>
          </w:p>
          <w:p>
            <w:pPr>
              <w:pStyle w:val="TableParagraph"/>
              <w:spacing w:line="260" w:lineRule="exact" w:before="2"/>
              <w:ind w:left="181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133.24</w:t>
            </w:r>
          </w:p>
        </w:tc>
        <w:tc>
          <w:tcPr>
            <w:tcW w:w="1424" w:type="dxa"/>
          </w:tcPr>
          <w:p>
            <w:pPr>
              <w:pStyle w:val="TableParagraph"/>
              <w:spacing w:line="237" w:lineRule="auto"/>
              <w:ind w:left="164" w:right="260"/>
              <w:rPr>
                <w:sz w:val="24"/>
              </w:rPr>
            </w:pPr>
            <w:r>
              <w:rPr>
                <w:sz w:val="24"/>
              </w:rPr>
              <w:t>8.39(d,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J=2.40Hz,</w:t>
            </w:r>
          </w:p>
          <w:p>
            <w:pPr>
              <w:pStyle w:val="TableParagraph"/>
              <w:spacing w:line="260" w:lineRule="exact" w:before="2"/>
              <w:ind w:left="164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41.73</w:t>
            </w:r>
          </w:p>
        </w:tc>
        <w:tc>
          <w:tcPr>
            <w:tcW w:w="1752" w:type="dxa"/>
          </w:tcPr>
          <w:p>
            <w:pPr>
              <w:pStyle w:val="TableParagraph"/>
              <w:spacing w:line="237" w:lineRule="auto"/>
              <w:ind w:left="210" w:right="112"/>
              <w:rPr>
                <w:sz w:val="24"/>
              </w:rPr>
            </w:pPr>
            <w:r>
              <w:rPr>
                <w:sz w:val="24"/>
              </w:rPr>
              <w:t>4.97(d,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J=5.10Hz,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7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5‖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41.44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4.79(d,</w:t>
            </w:r>
          </w:p>
        </w:tc>
        <w:tc>
          <w:tcPr>
            <w:tcW w:w="1025" w:type="dxa"/>
          </w:tcPr>
          <w:p>
            <w:pPr>
              <w:pStyle w:val="TableParagraph"/>
              <w:spacing w:before="17"/>
              <w:ind w:left="109"/>
              <w:rPr>
                <w:sz w:val="24"/>
              </w:rPr>
            </w:pPr>
            <w:r>
              <w:rPr>
                <w:sz w:val="24"/>
              </w:rPr>
              <w:t>128.65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sz w:val="24"/>
              </w:rPr>
              <w:t>7.82(d,</w:t>
            </w:r>
          </w:p>
          <w:p>
            <w:pPr>
              <w:pStyle w:val="TableParagraph"/>
              <w:spacing w:line="274" w:lineRule="exact"/>
              <w:ind w:left="164" w:right="260"/>
              <w:rPr>
                <w:sz w:val="24"/>
              </w:rPr>
            </w:pPr>
            <w:r>
              <w:rPr>
                <w:spacing w:val="-1"/>
                <w:sz w:val="24"/>
              </w:rPr>
              <w:t>J=10.0Hz,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51.85</w:t>
            </w:r>
          </w:p>
        </w:tc>
        <w:tc>
          <w:tcPr>
            <w:tcW w:w="1752" w:type="dxa"/>
          </w:tcPr>
          <w:p>
            <w:pPr>
              <w:pStyle w:val="TableParagraph"/>
              <w:spacing w:line="242" w:lineRule="auto"/>
              <w:ind w:left="210" w:right="112"/>
              <w:rPr>
                <w:sz w:val="24"/>
              </w:rPr>
            </w:pPr>
            <w:r>
              <w:rPr>
                <w:sz w:val="24"/>
              </w:rPr>
              <w:t>4.86(d,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J=6.36Hz,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6‖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158.04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127.80</w:t>
            </w:r>
          </w:p>
        </w:tc>
        <w:tc>
          <w:tcPr>
            <w:tcW w:w="1424" w:type="dxa"/>
          </w:tcPr>
          <w:p>
            <w:pPr>
              <w:pStyle w:val="TableParagraph"/>
              <w:spacing w:line="237" w:lineRule="auto"/>
              <w:ind w:left="164" w:right="379"/>
              <w:rPr>
                <w:sz w:val="24"/>
              </w:rPr>
            </w:pPr>
            <w:r>
              <w:rPr>
                <w:sz w:val="24"/>
              </w:rPr>
              <w:t>7.61(d,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J=9.0Hz,</w:t>
            </w:r>
          </w:p>
          <w:p>
            <w:pPr>
              <w:pStyle w:val="TableParagraph"/>
              <w:spacing w:line="260" w:lineRule="exact" w:before="2"/>
              <w:ind w:left="164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157.57</w:t>
            </w:r>
          </w:p>
        </w:tc>
        <w:tc>
          <w:tcPr>
            <w:tcW w:w="175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7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7‖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122.34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7.16(dd,</w:t>
            </w:r>
          </w:p>
          <w:p>
            <w:pPr>
              <w:pStyle w:val="TableParagraph"/>
              <w:spacing w:line="274" w:lineRule="exact"/>
              <w:ind w:left="181" w:right="146"/>
              <w:rPr>
                <w:sz w:val="24"/>
              </w:rPr>
            </w:pPr>
            <w:r>
              <w:rPr>
                <w:sz w:val="24"/>
              </w:rPr>
              <w:t>J=2.24Hz,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8.88Hz,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17"/>
              <w:ind w:left="109"/>
              <w:rPr>
                <w:sz w:val="24"/>
              </w:rPr>
            </w:pPr>
            <w:r>
              <w:rPr>
                <w:sz w:val="24"/>
              </w:rPr>
              <w:t>121.61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sz w:val="24"/>
              </w:rPr>
              <w:t>7.46(dd,</w:t>
            </w:r>
          </w:p>
          <w:p>
            <w:pPr>
              <w:pStyle w:val="TableParagraph"/>
              <w:spacing w:line="274" w:lineRule="exact"/>
              <w:ind w:left="164" w:right="175"/>
              <w:rPr>
                <w:sz w:val="24"/>
              </w:rPr>
            </w:pPr>
            <w:r>
              <w:rPr>
                <w:sz w:val="24"/>
              </w:rPr>
              <w:t>J=4.04Hz,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9.0Hz,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107.20</w:t>
            </w:r>
          </w:p>
        </w:tc>
        <w:tc>
          <w:tcPr>
            <w:tcW w:w="1752" w:type="dxa"/>
          </w:tcPr>
          <w:p>
            <w:pPr>
              <w:pStyle w:val="TableParagraph"/>
              <w:spacing w:line="270" w:lineRule="exact"/>
              <w:ind w:left="210"/>
              <w:rPr>
                <w:sz w:val="24"/>
              </w:rPr>
            </w:pPr>
            <w:r>
              <w:rPr>
                <w:sz w:val="24"/>
              </w:rPr>
              <w:t>6.62(dd,</w:t>
            </w:r>
          </w:p>
          <w:p>
            <w:pPr>
              <w:pStyle w:val="TableParagraph"/>
              <w:spacing w:line="274" w:lineRule="exact"/>
              <w:ind w:left="210" w:right="337"/>
              <w:rPr>
                <w:sz w:val="24"/>
              </w:rPr>
            </w:pPr>
            <w:r>
              <w:rPr>
                <w:sz w:val="24"/>
              </w:rPr>
              <w:t>J=4.04Hz,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8.84Hz,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8‘‘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129.44</w:t>
            </w:r>
          </w:p>
        </w:tc>
        <w:tc>
          <w:tcPr>
            <w:tcW w:w="1532" w:type="dxa"/>
          </w:tcPr>
          <w:p>
            <w:pPr>
              <w:pStyle w:val="TableParagraph"/>
              <w:spacing w:line="237" w:lineRule="auto"/>
              <w:ind w:left="181" w:right="470"/>
              <w:rPr>
                <w:sz w:val="24"/>
              </w:rPr>
            </w:pPr>
            <w:r>
              <w:rPr>
                <w:sz w:val="24"/>
              </w:rPr>
              <w:t>7.19(d,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J=9.2Hz,</w:t>
            </w:r>
          </w:p>
          <w:p>
            <w:pPr>
              <w:pStyle w:val="TableParagraph"/>
              <w:spacing w:line="260" w:lineRule="exact" w:before="2"/>
              <w:ind w:left="181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025" w:type="dxa"/>
          </w:tcPr>
          <w:p>
            <w:pPr>
              <w:pStyle w:val="TableParagraph"/>
              <w:spacing w:before="20"/>
              <w:ind w:left="109"/>
              <w:rPr>
                <w:sz w:val="24"/>
              </w:rPr>
            </w:pPr>
            <w:r>
              <w:rPr>
                <w:sz w:val="24"/>
              </w:rPr>
              <w:t>133.07</w:t>
            </w:r>
          </w:p>
        </w:tc>
        <w:tc>
          <w:tcPr>
            <w:tcW w:w="1424" w:type="dxa"/>
          </w:tcPr>
          <w:p>
            <w:pPr>
              <w:pStyle w:val="TableParagraph"/>
              <w:spacing w:line="237" w:lineRule="auto"/>
              <w:ind w:left="164" w:right="379"/>
              <w:rPr>
                <w:sz w:val="24"/>
              </w:rPr>
            </w:pPr>
            <w:r>
              <w:rPr>
                <w:sz w:val="24"/>
              </w:rPr>
              <w:t>7.72(d,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J=9.2Hz,</w:t>
            </w:r>
          </w:p>
          <w:p>
            <w:pPr>
              <w:pStyle w:val="TableParagraph"/>
              <w:spacing w:line="260" w:lineRule="exact" w:before="2"/>
              <w:ind w:left="164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126.19</w:t>
            </w:r>
          </w:p>
        </w:tc>
        <w:tc>
          <w:tcPr>
            <w:tcW w:w="1752" w:type="dxa"/>
          </w:tcPr>
          <w:p>
            <w:pPr>
              <w:pStyle w:val="TableParagraph"/>
              <w:spacing w:line="237" w:lineRule="auto"/>
              <w:ind w:left="210" w:right="112"/>
              <w:rPr>
                <w:sz w:val="24"/>
              </w:rPr>
            </w:pPr>
            <w:r>
              <w:rPr>
                <w:sz w:val="24"/>
              </w:rPr>
              <w:t>7.42(d,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J=8.84Hz,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300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9‘‘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127.92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17"/>
              <w:ind w:left="109"/>
              <w:rPr>
                <w:sz w:val="24"/>
              </w:rPr>
            </w:pPr>
            <w:r>
              <w:rPr>
                <w:sz w:val="24"/>
              </w:rPr>
              <w:t>127.12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127.82</w:t>
            </w:r>
          </w:p>
        </w:tc>
        <w:tc>
          <w:tcPr>
            <w:tcW w:w="1752" w:type="dxa"/>
          </w:tcPr>
          <w:p>
            <w:pPr>
              <w:pStyle w:val="TableParagraph"/>
              <w:spacing w:line="270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302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10‘‘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142.16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20"/>
              <w:ind w:left="109"/>
              <w:rPr>
                <w:sz w:val="24"/>
              </w:rPr>
            </w:pPr>
            <w:r>
              <w:rPr>
                <w:sz w:val="24"/>
              </w:rPr>
              <w:t>147.47</w:t>
            </w:r>
          </w:p>
        </w:tc>
        <w:tc>
          <w:tcPr>
            <w:tcW w:w="1424" w:type="dxa"/>
          </w:tcPr>
          <w:p>
            <w:pPr>
              <w:pStyle w:val="TableParagraph"/>
              <w:spacing w:line="272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141.29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302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2‘m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55.55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3.76 (3H)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20"/>
              <w:ind w:left="109"/>
              <w:rPr>
                <w:sz w:val="24"/>
              </w:rPr>
            </w:pPr>
            <w:r>
              <w:rPr>
                <w:sz w:val="24"/>
              </w:rPr>
              <w:t>55.84</w:t>
            </w:r>
          </w:p>
        </w:tc>
        <w:tc>
          <w:tcPr>
            <w:tcW w:w="1424" w:type="dxa"/>
          </w:tcPr>
          <w:p>
            <w:pPr>
              <w:pStyle w:val="TableParagraph"/>
              <w:spacing w:line="272" w:lineRule="exact"/>
              <w:ind w:left="164"/>
              <w:rPr>
                <w:sz w:val="24"/>
              </w:rPr>
            </w:pPr>
            <w:r>
              <w:rPr>
                <w:sz w:val="24"/>
              </w:rPr>
              <w:t>3.76 (3H)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61.38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sz w:val="24"/>
              </w:rPr>
              <w:t>4.09 (3H)</w:t>
            </w:r>
          </w:p>
        </w:tc>
      </w:tr>
      <w:tr>
        <w:trPr>
          <w:trHeight w:val="300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3‘m</w:t>
            </w:r>
          </w:p>
        </w:tc>
        <w:tc>
          <w:tcPr>
            <w:tcW w:w="1044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2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>
            <w:pPr>
              <w:pStyle w:val="TableParagraph"/>
              <w:spacing w:line="260" w:lineRule="exact" w:before="20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spacing w:line="272" w:lineRule="exact"/>
              <w:ind w:left="181"/>
              <w:rPr>
                <w:sz w:val="24"/>
              </w:rPr>
            </w:pPr>
            <w:r>
              <w:rPr>
                <w:sz w:val="24"/>
              </w:rPr>
              <w:t>55.60</w:t>
            </w:r>
          </w:p>
        </w:tc>
        <w:tc>
          <w:tcPr>
            <w:tcW w:w="1752" w:type="dxa"/>
          </w:tcPr>
          <w:p>
            <w:pPr>
              <w:pStyle w:val="TableParagraph"/>
              <w:spacing w:line="272" w:lineRule="exact"/>
              <w:ind w:left="210"/>
              <w:rPr>
                <w:sz w:val="24"/>
              </w:rPr>
            </w:pPr>
            <w:r>
              <w:rPr>
                <w:sz w:val="24"/>
              </w:rPr>
              <w:t>3.65 (3H)</w:t>
            </w:r>
          </w:p>
        </w:tc>
      </w:tr>
      <w:tr>
        <w:trPr>
          <w:trHeight w:val="300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4‘m</w:t>
            </w:r>
          </w:p>
        </w:tc>
        <w:tc>
          <w:tcPr>
            <w:tcW w:w="1044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55.51</w:t>
            </w:r>
          </w:p>
        </w:tc>
        <w:tc>
          <w:tcPr>
            <w:tcW w:w="1532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3.74 (3H)</w:t>
            </w:r>
          </w:p>
        </w:tc>
        <w:tc>
          <w:tcPr>
            <w:tcW w:w="1025" w:type="dxa"/>
          </w:tcPr>
          <w:p>
            <w:pPr>
              <w:pStyle w:val="TableParagraph"/>
              <w:spacing w:line="262" w:lineRule="exact" w:before="18"/>
              <w:ind w:left="109"/>
              <w:rPr>
                <w:sz w:val="24"/>
              </w:rPr>
            </w:pPr>
            <w:r>
              <w:rPr>
                <w:sz w:val="24"/>
              </w:rPr>
              <w:t>55.61</w:t>
            </w:r>
          </w:p>
        </w:tc>
        <w:tc>
          <w:tcPr>
            <w:tcW w:w="1424" w:type="dxa"/>
          </w:tcPr>
          <w:p>
            <w:pPr>
              <w:pStyle w:val="TableParagraph"/>
              <w:spacing w:line="270" w:lineRule="exact"/>
              <w:ind w:left="164"/>
              <w:rPr>
                <w:sz w:val="24"/>
              </w:rPr>
            </w:pPr>
            <w:r>
              <w:rPr>
                <w:sz w:val="24"/>
              </w:rPr>
              <w:t>3.74 (3H)</w:t>
            </w:r>
          </w:p>
        </w:tc>
        <w:tc>
          <w:tcPr>
            <w:tcW w:w="1143" w:type="dxa"/>
          </w:tcPr>
          <w:p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z w:val="24"/>
              </w:rPr>
              <w:t>60.77</w:t>
            </w:r>
          </w:p>
        </w:tc>
        <w:tc>
          <w:tcPr>
            <w:tcW w:w="1752" w:type="dxa"/>
          </w:tcPr>
          <w:p>
            <w:pPr>
              <w:pStyle w:val="TableParagraph"/>
              <w:spacing w:line="270" w:lineRule="exact"/>
              <w:ind w:left="210"/>
              <w:rPr>
                <w:sz w:val="24"/>
              </w:rPr>
            </w:pPr>
            <w:r>
              <w:rPr>
                <w:sz w:val="24"/>
              </w:rPr>
              <w:t>3.83 (3H)</w:t>
            </w:r>
          </w:p>
        </w:tc>
      </w:tr>
      <w:tr>
        <w:trPr>
          <w:trHeight w:val="282" w:hRule="atLeast"/>
        </w:trPr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6‖m</w:t>
            </w: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55.09</w:t>
            </w:r>
          </w:p>
        </w:tc>
        <w:tc>
          <w:tcPr>
            <w:tcW w:w="15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181"/>
              <w:rPr>
                <w:sz w:val="24"/>
              </w:rPr>
            </w:pPr>
            <w:r>
              <w:rPr>
                <w:sz w:val="24"/>
              </w:rPr>
              <w:t>3.38 (3H)</w:t>
            </w:r>
          </w:p>
        </w:tc>
        <w:tc>
          <w:tcPr>
            <w:tcW w:w="10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16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4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181"/>
              <w:rPr>
                <w:sz w:val="24"/>
              </w:rPr>
            </w:pPr>
            <w:r>
              <w:rPr>
                <w:sz w:val="24"/>
              </w:rPr>
              <w:t>56.12</w:t>
            </w:r>
          </w:p>
        </w:tc>
        <w:tc>
          <w:tcPr>
            <w:tcW w:w="175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2" w:lineRule="exact"/>
              <w:ind w:left="210"/>
              <w:rPr>
                <w:sz w:val="24"/>
              </w:rPr>
            </w:pPr>
            <w:r>
              <w:rPr>
                <w:sz w:val="24"/>
              </w:rPr>
              <w:t>3.73 (3H)</w:t>
            </w:r>
          </w:p>
        </w:tc>
      </w:tr>
    </w:tbl>
    <w:p>
      <w:pPr>
        <w:spacing w:after="0" w:line="262" w:lineRule="exact"/>
        <w:rPr>
          <w:sz w:val="24"/>
        </w:rPr>
        <w:sectPr>
          <w:headerReference w:type="default" r:id="rId269"/>
          <w:footerReference w:type="default" r:id="rId270"/>
          <w:pgSz w:w="11910" w:h="16840"/>
          <w:pgMar w:header="1266" w:footer="878" w:top="1560" w:bottom="1060" w:left="1560" w:right="600"/>
        </w:sectPr>
      </w:pPr>
    </w:p>
    <w:p>
      <w:pPr>
        <w:pStyle w:val="Heading1"/>
        <w:numPr>
          <w:ilvl w:val="2"/>
          <w:numId w:val="18"/>
        </w:numPr>
        <w:tabs>
          <w:tab w:pos="856" w:val="left" w:leader="none"/>
        </w:tabs>
        <w:spacing w:line="240" w:lineRule="auto" w:before="114" w:after="0"/>
        <w:ind w:left="855" w:right="0" w:hanging="544"/>
        <w:jc w:val="left"/>
      </w:pPr>
      <w:bookmarkStart w:name="_TOC_250036" w:id="57"/>
      <w:r>
        <w:rPr>
          <w:vertAlign w:val="superscript"/>
        </w:rPr>
        <w:t>1</w:t>
      </w:r>
      <w:r>
        <w:rPr>
          <w:vertAlign w:val="baseline"/>
        </w:rPr>
        <w:t>H and</w:t>
      </w:r>
      <w:r>
        <w:rPr>
          <w:spacing w:val="-3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 NMR</w:t>
      </w:r>
      <w:r>
        <w:rPr>
          <w:spacing w:val="-6"/>
          <w:vertAlign w:val="baseline"/>
        </w:rPr>
        <w:t> </w:t>
      </w:r>
      <w:r>
        <w:rPr>
          <w:vertAlign w:val="baseline"/>
        </w:rPr>
        <w:t>Data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P11,</w:t>
      </w:r>
      <w:r>
        <w:rPr>
          <w:spacing w:val="-2"/>
          <w:vertAlign w:val="baseline"/>
        </w:rPr>
        <w:t> </w:t>
      </w:r>
      <w:r>
        <w:rPr>
          <w:vertAlign w:val="baseline"/>
        </w:rPr>
        <w:t>P12 and</w:t>
      </w:r>
      <w:r>
        <w:rPr>
          <w:spacing w:val="-3"/>
          <w:vertAlign w:val="baseline"/>
        </w:rPr>
        <w:t> </w:t>
      </w:r>
      <w:bookmarkEnd w:id="57"/>
      <w:r>
        <w:rPr>
          <w:vertAlign w:val="baseline"/>
        </w:rPr>
        <w:t>P17</w:t>
      </w:r>
    </w:p>
    <w:p>
      <w:pPr>
        <w:pStyle w:val="BodyText"/>
        <w:spacing w:before="195"/>
        <w:ind w:left="305" w:right="695"/>
        <w:jc w:val="center"/>
      </w:pPr>
      <w:r>
        <w:rPr/>
        <w:t>The</w:t>
      </w:r>
      <w:r>
        <w:rPr>
          <w:spacing w:val="-2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2"/>
          <w:vertAlign w:val="baseline"/>
        </w:rPr>
        <w:t> </w:t>
      </w:r>
      <w:r>
        <w:rPr>
          <w:vertAlign w:val="baseline"/>
        </w:rPr>
        <w:t>NMR</w:t>
      </w:r>
      <w:r>
        <w:rPr>
          <w:spacing w:val="-2"/>
          <w:vertAlign w:val="baseline"/>
        </w:rPr>
        <w:t> </w:t>
      </w:r>
      <w:r>
        <w:rPr>
          <w:vertAlign w:val="baseline"/>
        </w:rPr>
        <w:t>data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compound P11,</w:t>
      </w:r>
      <w:r>
        <w:rPr>
          <w:spacing w:val="2"/>
          <w:vertAlign w:val="baseline"/>
        </w:rPr>
        <w:t> </w:t>
      </w:r>
      <w:r>
        <w:rPr>
          <w:vertAlign w:val="baseline"/>
        </w:rPr>
        <w:t>P12</w:t>
      </w:r>
      <w:r>
        <w:rPr>
          <w:spacing w:val="-5"/>
          <w:vertAlign w:val="baseline"/>
        </w:rPr>
        <w:t> </w:t>
      </w:r>
      <w:r>
        <w:rPr>
          <w:vertAlign w:val="baseline"/>
        </w:rPr>
        <w:t>and P17 (Figure</w:t>
      </w:r>
      <w:r>
        <w:rPr>
          <w:spacing w:val="-1"/>
          <w:vertAlign w:val="baseline"/>
        </w:rPr>
        <w:t> </w:t>
      </w:r>
      <w:r>
        <w:rPr>
          <w:vertAlign w:val="baseline"/>
        </w:rPr>
        <w:t>4.3) are</w:t>
      </w:r>
      <w:r>
        <w:rPr>
          <w:spacing w:val="-1"/>
          <w:vertAlign w:val="baseline"/>
        </w:rPr>
        <w:t> </w:t>
      </w:r>
      <w:r>
        <w:rPr>
          <w:vertAlign w:val="baseline"/>
        </w:rPr>
        <w:t>shown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vertAlign w:val="baseline"/>
        </w:rPr>
        <w:t>Table</w:t>
      </w:r>
    </w:p>
    <w:p>
      <w:pPr>
        <w:pStyle w:val="BodyText"/>
      </w:pPr>
    </w:p>
    <w:p>
      <w:pPr>
        <w:pStyle w:val="BodyText"/>
        <w:spacing w:before="1"/>
        <w:ind w:left="312"/>
      </w:pPr>
      <w:r>
        <w:rPr/>
        <w:t>4.8 and</w:t>
      </w:r>
      <w:r>
        <w:rPr>
          <w:spacing w:val="1"/>
        </w:rPr>
        <w:t> </w:t>
      </w:r>
      <w:r>
        <w:rPr/>
        <w:t>Appendices</w:t>
      </w:r>
      <w:r>
        <w:rPr>
          <w:spacing w:val="-2"/>
        </w:rPr>
        <w:t> </w:t>
      </w:r>
      <w:r>
        <w:rPr/>
        <w:t>48,</w:t>
      </w:r>
      <w:r>
        <w:rPr>
          <w:spacing w:val="3"/>
        </w:rPr>
        <w:t> </w:t>
      </w:r>
      <w:r>
        <w:rPr/>
        <w:t>49,</w:t>
      </w:r>
      <w:r>
        <w:rPr>
          <w:spacing w:val="-2"/>
        </w:rPr>
        <w:t> </w:t>
      </w:r>
      <w:r>
        <w:rPr/>
        <w:t>54,</w:t>
      </w:r>
      <w:r>
        <w:rPr>
          <w:spacing w:val="-3"/>
        </w:rPr>
        <w:t> </w:t>
      </w:r>
      <w:r>
        <w:rPr/>
        <w:t>55,</w:t>
      </w:r>
      <w:r>
        <w:rPr>
          <w:spacing w:val="-2"/>
        </w:rPr>
        <w:t> </w:t>
      </w:r>
      <w:r>
        <w:rPr/>
        <w:t>58</w:t>
      </w:r>
      <w:r>
        <w:rPr>
          <w:spacing w:val="1"/>
        </w:rPr>
        <w:t> </w:t>
      </w:r>
      <w:r>
        <w:rPr/>
        <w:t>and 61.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155"/>
        <w:ind w:left="305" w:right="685"/>
        <w:jc w:val="center"/>
      </w:pPr>
      <w:r>
        <w:rPr/>
        <w:t>Figure</w:t>
      </w:r>
      <w:r>
        <w:rPr>
          <w:spacing w:val="-3"/>
        </w:rPr>
        <w:t> </w:t>
      </w:r>
      <w:r>
        <w:rPr/>
        <w:t>4.3:</w:t>
      </w:r>
      <w:r>
        <w:rPr>
          <w:spacing w:val="-1"/>
        </w:rPr>
        <w:t> </w:t>
      </w:r>
      <w:r>
        <w:rPr/>
        <w:t>2”,4”-di-methoxy-substituted</w:t>
      </w:r>
      <w:r>
        <w:rPr>
          <w:spacing w:val="-3"/>
        </w:rPr>
        <w:t> </w:t>
      </w:r>
      <w:r>
        <w:rPr/>
        <w:t>chalcones</w:t>
      </w:r>
      <w:r>
        <w:rPr>
          <w:spacing w:val="-4"/>
        </w:rPr>
        <w:t> </w:t>
      </w:r>
      <w:r>
        <w:rPr/>
        <w:t>(P11,</w:t>
      </w:r>
      <w:r>
        <w:rPr>
          <w:spacing w:val="3"/>
        </w:rPr>
        <w:t> </w:t>
      </w:r>
      <w:r>
        <w:rPr/>
        <w:t>P12</w:t>
      </w:r>
      <w:r>
        <w:rPr>
          <w:spacing w:val="-3"/>
        </w:rPr>
        <w:t> </w:t>
      </w:r>
      <w:r>
        <w:rPr/>
        <w:t>and,</w:t>
      </w:r>
      <w:r>
        <w:rPr>
          <w:spacing w:val="-1"/>
        </w:rPr>
        <w:t> </w:t>
      </w:r>
      <w:r>
        <w:rPr/>
        <w:t>P17)</w:t>
      </w:r>
    </w:p>
    <w:p>
      <w:pPr>
        <w:spacing w:after="0"/>
        <w:jc w:val="center"/>
        <w:sectPr>
          <w:headerReference w:type="default" r:id="rId271"/>
          <w:footerReference w:type="default" r:id="rId272"/>
          <w:pgSz w:w="11910" w:h="16840"/>
          <w:pgMar w:header="0" w:footer="878" w:top="1160" w:bottom="1060" w:left="1560" w:right="600"/>
        </w:sectPr>
      </w:pPr>
    </w:p>
    <w:p>
      <w:pPr>
        <w:spacing w:before="114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4.8:</w:t>
      </w:r>
      <w:r>
        <w:rPr>
          <w:b/>
          <w:spacing w:val="3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and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baseline"/>
        </w:rPr>
        <w:t>Data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P11,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P12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and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P17</w:t>
      </w: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5"/>
        <w:gridCol w:w="969"/>
        <w:gridCol w:w="1577"/>
        <w:gridCol w:w="979"/>
        <w:gridCol w:w="1742"/>
        <w:gridCol w:w="1020"/>
        <w:gridCol w:w="1628"/>
      </w:tblGrid>
      <w:tr>
        <w:trPr>
          <w:trHeight w:val="539" w:hRule="atLeast"/>
        </w:trPr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4" w:lineRule="exact"/>
              <w:ind w:left="119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Carbon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Position</w:t>
            </w:r>
          </w:p>
        </w:tc>
        <w:tc>
          <w:tcPr>
            <w:tcW w:w="9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 w:before="1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P11</w:t>
            </w:r>
          </w:p>
          <w:p>
            <w:pPr>
              <w:pStyle w:val="TableParagraph"/>
              <w:tabs>
                <w:tab w:pos="7974" w:val="left" w:leader="none"/>
              </w:tabs>
              <w:spacing w:line="243" w:lineRule="exact"/>
              <w:ind w:right="-7013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 </w:t>
              <w:tab/>
            </w:r>
          </w:p>
        </w:tc>
        <w:tc>
          <w:tcPr>
            <w:tcW w:w="157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P12</w:t>
            </w:r>
          </w:p>
        </w:tc>
        <w:tc>
          <w:tcPr>
            <w:tcW w:w="174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P17</w:t>
            </w:r>
          </w:p>
        </w:tc>
        <w:tc>
          <w:tcPr>
            <w:tcW w:w="162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70" w:hRule="atLeast"/>
        </w:trPr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11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5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07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9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10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74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20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0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12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63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</w:tr>
      <w:tr>
        <w:trPr>
          <w:trHeight w:val="331" w:hRule="atLeast"/>
        </w:trPr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193.28</w:t>
            </w:r>
          </w:p>
        </w:tc>
        <w:tc>
          <w:tcPr>
            <w:tcW w:w="157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191.12</w:t>
            </w:r>
          </w:p>
        </w:tc>
        <w:tc>
          <w:tcPr>
            <w:tcW w:w="174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2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191.47</w:t>
            </w:r>
          </w:p>
        </w:tc>
        <w:tc>
          <w:tcPr>
            <w:tcW w:w="16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612" w:hRule="atLeast"/>
        </w:trPr>
        <w:tc>
          <w:tcPr>
            <w:tcW w:w="1055" w:type="dxa"/>
          </w:tcPr>
          <w:p>
            <w:pPr>
              <w:pStyle w:val="TableParagraph"/>
              <w:spacing w:before="53"/>
              <w:ind w:left="1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69" w:type="dxa"/>
          </w:tcPr>
          <w:p>
            <w:pPr>
              <w:pStyle w:val="TableParagraph"/>
              <w:spacing w:before="53"/>
              <w:ind w:left="111"/>
              <w:rPr>
                <w:sz w:val="24"/>
              </w:rPr>
            </w:pPr>
            <w:r>
              <w:rPr>
                <w:sz w:val="24"/>
              </w:rPr>
              <w:t>124.15</w:t>
            </w:r>
          </w:p>
        </w:tc>
        <w:tc>
          <w:tcPr>
            <w:tcW w:w="1577" w:type="dxa"/>
          </w:tcPr>
          <w:p>
            <w:pPr>
              <w:pStyle w:val="TableParagraph"/>
              <w:spacing w:line="280" w:lineRule="atLeast" w:before="32"/>
              <w:ind w:left="107" w:right="278"/>
              <w:rPr>
                <w:sz w:val="24"/>
              </w:rPr>
            </w:pPr>
            <w:r>
              <w:rPr>
                <w:sz w:val="24"/>
              </w:rPr>
              <w:t>7.42(d,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J=16Hz,1H)</w:t>
            </w:r>
          </w:p>
        </w:tc>
        <w:tc>
          <w:tcPr>
            <w:tcW w:w="979" w:type="dxa"/>
          </w:tcPr>
          <w:p>
            <w:pPr>
              <w:pStyle w:val="TableParagraph"/>
              <w:spacing w:before="53"/>
              <w:ind w:left="110"/>
              <w:rPr>
                <w:sz w:val="24"/>
              </w:rPr>
            </w:pPr>
            <w:r>
              <w:rPr>
                <w:sz w:val="24"/>
              </w:rPr>
              <w:t>128.36</w:t>
            </w:r>
          </w:p>
        </w:tc>
        <w:tc>
          <w:tcPr>
            <w:tcW w:w="1742" w:type="dxa"/>
          </w:tcPr>
          <w:p>
            <w:pPr>
              <w:pStyle w:val="TableParagraph"/>
              <w:spacing w:line="280" w:lineRule="atLeast" w:before="32"/>
              <w:ind w:left="120" w:right="430"/>
              <w:rPr>
                <w:sz w:val="24"/>
              </w:rPr>
            </w:pPr>
            <w:r>
              <w:rPr>
                <w:sz w:val="24"/>
              </w:rPr>
              <w:t>7.48(d,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J=14Hz,1H)</w:t>
            </w:r>
          </w:p>
        </w:tc>
        <w:tc>
          <w:tcPr>
            <w:tcW w:w="1020" w:type="dxa"/>
          </w:tcPr>
          <w:p>
            <w:pPr>
              <w:pStyle w:val="TableParagraph"/>
              <w:spacing w:before="53"/>
              <w:ind w:left="112"/>
              <w:rPr>
                <w:sz w:val="24"/>
              </w:rPr>
            </w:pPr>
            <w:r>
              <w:rPr>
                <w:sz w:val="24"/>
              </w:rPr>
              <w:t>125.47</w:t>
            </w:r>
          </w:p>
        </w:tc>
        <w:tc>
          <w:tcPr>
            <w:tcW w:w="1628" w:type="dxa"/>
          </w:tcPr>
          <w:p>
            <w:pPr>
              <w:pStyle w:val="TableParagraph"/>
              <w:spacing w:line="280" w:lineRule="atLeast" w:before="32"/>
              <w:ind w:left="163" w:right="273"/>
              <w:rPr>
                <w:sz w:val="24"/>
              </w:rPr>
            </w:pPr>
            <w:r>
              <w:rPr>
                <w:sz w:val="24"/>
              </w:rPr>
              <w:t>7.93(d,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J=16Hz,1H)</w:t>
            </w:r>
          </w:p>
        </w:tc>
      </w:tr>
      <w:tr>
        <w:trPr>
          <w:trHeight w:val="552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69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142.55</w:t>
            </w:r>
          </w:p>
        </w:tc>
        <w:tc>
          <w:tcPr>
            <w:tcW w:w="157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8.33(d,</w:t>
            </w:r>
          </w:p>
          <w:p>
            <w:pPr>
              <w:pStyle w:val="TableParagraph"/>
              <w:spacing w:line="260" w:lineRule="exact" w:before="2"/>
              <w:ind w:left="107"/>
              <w:rPr>
                <w:sz w:val="24"/>
              </w:rPr>
            </w:pPr>
            <w:r>
              <w:rPr>
                <w:sz w:val="24"/>
              </w:rPr>
              <w:t>J=16.0Hz,1H)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140.53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8.04(d,</w:t>
            </w:r>
          </w:p>
          <w:p>
            <w:pPr>
              <w:pStyle w:val="TableParagraph"/>
              <w:spacing w:line="260" w:lineRule="exact" w:before="2"/>
              <w:ind w:left="120"/>
              <w:rPr>
                <w:sz w:val="24"/>
              </w:rPr>
            </w:pPr>
            <w:r>
              <w:rPr>
                <w:sz w:val="24"/>
              </w:rPr>
              <w:t>J=16.0Hz,1H)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138.84</w:t>
            </w:r>
          </w:p>
        </w:tc>
        <w:tc>
          <w:tcPr>
            <w:tcW w:w="1628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sz w:val="24"/>
              </w:rPr>
              <w:t>8.46(d,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J=15.9Hz,1H)</w:t>
            </w:r>
          </w:p>
        </w:tc>
      </w:tr>
      <w:tr>
        <w:trPr>
          <w:trHeight w:val="273" w:hRule="atLeast"/>
        </w:trPr>
        <w:tc>
          <w:tcPr>
            <w:tcW w:w="1055" w:type="dxa"/>
          </w:tcPr>
          <w:p>
            <w:pPr>
              <w:pStyle w:val="TableParagraph"/>
              <w:spacing w:line="254" w:lineRule="exact"/>
              <w:ind w:left="119"/>
              <w:rPr>
                <w:sz w:val="24"/>
              </w:rPr>
            </w:pPr>
            <w:r>
              <w:rPr>
                <w:sz w:val="24"/>
              </w:rPr>
              <w:t>1‘</w:t>
            </w:r>
          </w:p>
        </w:tc>
        <w:tc>
          <w:tcPr>
            <w:tcW w:w="969" w:type="dxa"/>
          </w:tcPr>
          <w:p>
            <w:pPr>
              <w:pStyle w:val="TableParagraph"/>
              <w:spacing w:line="254" w:lineRule="exact"/>
              <w:ind w:left="111"/>
              <w:rPr>
                <w:sz w:val="24"/>
              </w:rPr>
            </w:pPr>
            <w:r>
              <w:rPr>
                <w:sz w:val="24"/>
              </w:rPr>
              <w:t>136.31</w:t>
            </w:r>
          </w:p>
        </w:tc>
        <w:tc>
          <w:tcPr>
            <w:tcW w:w="1577" w:type="dxa"/>
          </w:tcPr>
          <w:p>
            <w:pPr>
              <w:pStyle w:val="TableParagraph"/>
              <w:spacing w:line="254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138.78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spacing w:line="254" w:lineRule="exact"/>
              <w:ind w:left="112"/>
              <w:rPr>
                <w:sz w:val="24"/>
              </w:rPr>
            </w:pPr>
            <w:r>
              <w:rPr>
                <w:sz w:val="24"/>
              </w:rPr>
              <w:t>117.04</w:t>
            </w:r>
          </w:p>
        </w:tc>
        <w:tc>
          <w:tcPr>
            <w:tcW w:w="1628" w:type="dxa"/>
          </w:tcPr>
          <w:p>
            <w:pPr>
              <w:pStyle w:val="TableParagraph"/>
              <w:spacing w:line="254" w:lineRule="exact"/>
              <w:ind w:left="2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</w:t>
            </w:r>
          </w:p>
        </w:tc>
        <w:tc>
          <w:tcPr>
            <w:tcW w:w="969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138.08</w:t>
            </w:r>
          </w:p>
        </w:tc>
        <w:tc>
          <w:tcPr>
            <w:tcW w:w="1577" w:type="dxa"/>
          </w:tcPr>
          <w:p>
            <w:pPr>
              <w:pStyle w:val="TableParagraph"/>
              <w:spacing w:line="270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128.89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7.98(dd,</w:t>
            </w:r>
          </w:p>
          <w:p>
            <w:pPr>
              <w:pStyle w:val="TableParagraph"/>
              <w:spacing w:line="274" w:lineRule="exact"/>
              <w:ind w:left="120" w:right="100"/>
              <w:rPr>
                <w:sz w:val="24"/>
              </w:rPr>
            </w:pPr>
            <w:r>
              <w:rPr>
                <w:spacing w:val="-1"/>
                <w:sz w:val="24"/>
              </w:rPr>
              <w:t>J=8.0Hz;2.1Hz,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156.50</w:t>
            </w:r>
          </w:p>
        </w:tc>
        <w:tc>
          <w:tcPr>
            <w:tcW w:w="1628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</w:t>
            </w:r>
          </w:p>
        </w:tc>
        <w:tc>
          <w:tcPr>
            <w:tcW w:w="969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130.06</w:t>
            </w:r>
          </w:p>
        </w:tc>
        <w:tc>
          <w:tcPr>
            <w:tcW w:w="1577" w:type="dxa"/>
          </w:tcPr>
          <w:p>
            <w:pPr>
              <w:pStyle w:val="TableParagraph"/>
              <w:spacing w:line="237" w:lineRule="auto"/>
              <w:ind w:left="107" w:right="159"/>
              <w:rPr>
                <w:sz w:val="24"/>
              </w:rPr>
            </w:pPr>
            <w:r>
              <w:rPr>
                <w:sz w:val="24"/>
              </w:rPr>
              <w:t>7.72(d,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J=1.8Hz,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128.49</w:t>
            </w:r>
          </w:p>
        </w:tc>
        <w:tc>
          <w:tcPr>
            <w:tcW w:w="1742" w:type="dxa"/>
          </w:tcPr>
          <w:p>
            <w:pPr>
              <w:pStyle w:val="TableParagraph"/>
              <w:spacing w:line="237" w:lineRule="auto"/>
              <w:ind w:left="120" w:right="100"/>
              <w:rPr>
                <w:sz w:val="24"/>
              </w:rPr>
            </w:pPr>
            <w:r>
              <w:rPr>
                <w:sz w:val="24"/>
              </w:rPr>
              <w:t>7.54(dd,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J=8.2Hz:8.1Hz,</w:t>
            </w:r>
          </w:p>
          <w:p>
            <w:pPr>
              <w:pStyle w:val="TableParagraph"/>
              <w:spacing w:line="260" w:lineRule="exact" w:before="2"/>
              <w:ind w:left="120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z w:val="24"/>
              </w:rPr>
              <w:t>153.38</w:t>
            </w:r>
          </w:p>
        </w:tc>
        <w:tc>
          <w:tcPr>
            <w:tcW w:w="1628" w:type="dxa"/>
          </w:tcPr>
          <w:p>
            <w:pPr>
              <w:pStyle w:val="TableParagraph"/>
              <w:spacing w:line="272" w:lineRule="exact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7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</w:t>
            </w:r>
          </w:p>
        </w:tc>
        <w:tc>
          <w:tcPr>
            <w:tcW w:w="969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132.29</w:t>
            </w:r>
          </w:p>
        </w:tc>
        <w:tc>
          <w:tcPr>
            <w:tcW w:w="1577" w:type="dxa"/>
          </w:tcPr>
          <w:p>
            <w:pPr>
              <w:pStyle w:val="TableParagraph"/>
              <w:spacing w:line="270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132.34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7.45(dd,</w:t>
            </w:r>
          </w:p>
          <w:p>
            <w:pPr>
              <w:pStyle w:val="TableParagraph"/>
              <w:spacing w:line="274" w:lineRule="exact"/>
              <w:ind w:left="120" w:right="537"/>
              <w:rPr>
                <w:sz w:val="24"/>
              </w:rPr>
            </w:pPr>
            <w:r>
              <w:rPr>
                <w:sz w:val="24"/>
              </w:rPr>
              <w:t>J=8.6Hz;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2.0Hz,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162.89</w:t>
            </w:r>
          </w:p>
        </w:tc>
        <w:tc>
          <w:tcPr>
            <w:tcW w:w="1628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5‘</w:t>
            </w:r>
          </w:p>
        </w:tc>
        <w:tc>
          <w:tcPr>
            <w:tcW w:w="969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127.09</w:t>
            </w:r>
          </w:p>
        </w:tc>
        <w:tc>
          <w:tcPr>
            <w:tcW w:w="1577" w:type="dxa"/>
          </w:tcPr>
          <w:p>
            <w:pPr>
              <w:pStyle w:val="TableParagraph"/>
              <w:spacing w:line="237" w:lineRule="auto"/>
              <w:ind w:left="107" w:right="582"/>
              <w:rPr>
                <w:sz w:val="24"/>
              </w:rPr>
            </w:pPr>
            <w:r>
              <w:rPr>
                <w:sz w:val="24"/>
              </w:rPr>
              <w:t>7.56(d,d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J=8.2Hz;</w:t>
            </w:r>
          </w:p>
          <w:p>
            <w:pPr>
              <w:pStyle w:val="TableParagraph"/>
              <w:spacing w:line="260" w:lineRule="exact" w:before="2"/>
              <w:ind w:left="107"/>
              <w:rPr>
                <w:sz w:val="24"/>
              </w:rPr>
            </w:pPr>
            <w:r>
              <w:rPr>
                <w:sz w:val="24"/>
              </w:rPr>
              <w:t>1.8Hz,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128.42</w:t>
            </w:r>
          </w:p>
        </w:tc>
        <w:tc>
          <w:tcPr>
            <w:tcW w:w="1742" w:type="dxa"/>
          </w:tcPr>
          <w:p>
            <w:pPr>
              <w:pStyle w:val="TableParagraph"/>
              <w:spacing w:line="237" w:lineRule="auto"/>
              <w:ind w:left="120" w:right="734"/>
              <w:rPr>
                <w:sz w:val="24"/>
              </w:rPr>
            </w:pPr>
            <w:r>
              <w:rPr>
                <w:sz w:val="24"/>
              </w:rPr>
              <w:t>7.54(dd,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J=8.2Hz;</w:t>
            </w:r>
          </w:p>
          <w:p>
            <w:pPr>
              <w:pStyle w:val="TableParagraph"/>
              <w:spacing w:line="260" w:lineRule="exact" w:before="2"/>
              <w:ind w:left="120"/>
              <w:rPr>
                <w:sz w:val="24"/>
              </w:rPr>
            </w:pPr>
            <w:r>
              <w:rPr>
                <w:sz w:val="24"/>
              </w:rPr>
              <w:t>8.1Hz,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z w:val="24"/>
              </w:rPr>
              <w:t>107.19</w:t>
            </w:r>
          </w:p>
        </w:tc>
        <w:tc>
          <w:tcPr>
            <w:tcW w:w="1628" w:type="dxa"/>
          </w:tcPr>
          <w:p>
            <w:pPr>
              <w:pStyle w:val="TableParagraph"/>
              <w:spacing w:line="237" w:lineRule="auto"/>
              <w:ind w:left="163" w:right="155"/>
              <w:rPr>
                <w:sz w:val="24"/>
              </w:rPr>
            </w:pPr>
            <w:r>
              <w:rPr>
                <w:sz w:val="24"/>
              </w:rPr>
              <w:t>7.25(d,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J=8.1Hz,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6‘</w:t>
            </w:r>
          </w:p>
        </w:tc>
        <w:tc>
          <w:tcPr>
            <w:tcW w:w="969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130.32</w:t>
            </w:r>
          </w:p>
        </w:tc>
        <w:tc>
          <w:tcPr>
            <w:tcW w:w="1577" w:type="dxa"/>
          </w:tcPr>
          <w:p>
            <w:pPr>
              <w:pStyle w:val="TableParagraph"/>
              <w:spacing w:line="242" w:lineRule="auto"/>
              <w:ind w:left="107" w:right="159"/>
              <w:rPr>
                <w:sz w:val="24"/>
              </w:rPr>
            </w:pPr>
            <w:r>
              <w:rPr>
                <w:sz w:val="24"/>
              </w:rPr>
              <w:t>7.77(d,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J=8.2Hz,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128.82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7.98(dd,</w:t>
            </w:r>
          </w:p>
          <w:p>
            <w:pPr>
              <w:pStyle w:val="TableParagraph"/>
              <w:spacing w:line="274" w:lineRule="exact"/>
              <w:ind w:left="120" w:right="100"/>
              <w:rPr>
                <w:sz w:val="24"/>
              </w:rPr>
            </w:pPr>
            <w:r>
              <w:rPr>
                <w:spacing w:val="-1"/>
                <w:sz w:val="24"/>
              </w:rPr>
              <w:t>J=8.0Hz;2.1Hz,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124.59</w:t>
            </w:r>
          </w:p>
        </w:tc>
        <w:tc>
          <w:tcPr>
            <w:tcW w:w="1628" w:type="dxa"/>
          </w:tcPr>
          <w:p>
            <w:pPr>
              <w:pStyle w:val="TableParagraph"/>
              <w:spacing w:line="242" w:lineRule="auto"/>
              <w:ind w:left="163" w:right="155"/>
              <w:rPr>
                <w:sz w:val="24"/>
              </w:rPr>
            </w:pPr>
            <w:r>
              <w:rPr>
                <w:sz w:val="24"/>
              </w:rPr>
              <w:t>8.06(d,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J=7.8Hz,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5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1‖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116.40</w:t>
            </w:r>
          </w:p>
        </w:tc>
        <w:tc>
          <w:tcPr>
            <w:tcW w:w="1577" w:type="dxa"/>
          </w:tcPr>
          <w:p>
            <w:pPr>
              <w:pStyle w:val="TableParagraph"/>
              <w:spacing w:line="256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116.97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127.29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2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2‖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160.46</w:t>
            </w:r>
          </w:p>
        </w:tc>
        <w:tc>
          <w:tcPr>
            <w:tcW w:w="1577" w:type="dxa"/>
          </w:tcPr>
          <w:p>
            <w:pPr>
              <w:pStyle w:val="TableParagraph"/>
              <w:spacing w:line="256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160.37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142.05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2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2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3‖</w:t>
            </w:r>
          </w:p>
        </w:tc>
        <w:tc>
          <w:tcPr>
            <w:tcW w:w="969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98.42</w:t>
            </w:r>
          </w:p>
        </w:tc>
        <w:tc>
          <w:tcPr>
            <w:tcW w:w="1577" w:type="dxa"/>
          </w:tcPr>
          <w:p>
            <w:pPr>
              <w:pStyle w:val="TableParagraph"/>
              <w:spacing w:line="274" w:lineRule="exact"/>
              <w:ind w:left="107" w:right="159"/>
              <w:rPr>
                <w:sz w:val="24"/>
              </w:rPr>
            </w:pPr>
            <w:r>
              <w:rPr>
                <w:sz w:val="24"/>
              </w:rPr>
              <w:t>6.53(d,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J=2.2Hz,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98.34</w:t>
            </w:r>
          </w:p>
        </w:tc>
        <w:tc>
          <w:tcPr>
            <w:tcW w:w="1742" w:type="dxa"/>
          </w:tcPr>
          <w:p>
            <w:pPr>
              <w:pStyle w:val="TableParagraph"/>
              <w:spacing w:line="274" w:lineRule="exact"/>
              <w:ind w:left="120" w:right="311"/>
              <w:rPr>
                <w:sz w:val="24"/>
              </w:rPr>
            </w:pPr>
            <w:r>
              <w:rPr>
                <w:sz w:val="24"/>
              </w:rPr>
              <w:t>6.43(d,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J=2.0Hz,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z w:val="24"/>
              </w:rPr>
              <w:t>98.27</w:t>
            </w:r>
          </w:p>
        </w:tc>
        <w:tc>
          <w:tcPr>
            <w:tcW w:w="1628" w:type="dxa"/>
          </w:tcPr>
          <w:p>
            <w:pPr>
              <w:pStyle w:val="TableParagraph"/>
              <w:spacing w:line="274" w:lineRule="exact"/>
              <w:ind w:left="163" w:right="155"/>
              <w:rPr>
                <w:sz w:val="24"/>
              </w:rPr>
            </w:pPr>
            <w:r>
              <w:rPr>
                <w:sz w:val="24"/>
              </w:rPr>
              <w:t>6.96(d,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J=4.0Hz,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4‖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163.61</w:t>
            </w:r>
          </w:p>
        </w:tc>
        <w:tc>
          <w:tcPr>
            <w:tcW w:w="157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163.04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160.13</w:t>
            </w:r>
          </w:p>
        </w:tc>
        <w:tc>
          <w:tcPr>
            <w:tcW w:w="162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5‖</w:t>
            </w:r>
          </w:p>
        </w:tc>
        <w:tc>
          <w:tcPr>
            <w:tcW w:w="969" w:type="dxa"/>
          </w:tcPr>
          <w:p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105.62</w:t>
            </w:r>
          </w:p>
        </w:tc>
        <w:tc>
          <w:tcPr>
            <w:tcW w:w="1577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6.76(d,</w:t>
            </w:r>
          </w:p>
          <w:p>
            <w:pPr>
              <w:pStyle w:val="TableParagraph"/>
              <w:spacing w:line="274" w:lineRule="exact"/>
              <w:ind w:left="107" w:right="385"/>
              <w:rPr>
                <w:sz w:val="24"/>
              </w:rPr>
            </w:pPr>
            <w:r>
              <w:rPr>
                <w:sz w:val="24"/>
              </w:rPr>
              <w:t>J=8.6Hz;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2.2Hz,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105.39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20"/>
              <w:rPr>
                <w:sz w:val="24"/>
              </w:rPr>
            </w:pPr>
            <w:r>
              <w:rPr>
                <w:sz w:val="24"/>
              </w:rPr>
              <w:t>6.50(d,</w:t>
            </w:r>
          </w:p>
          <w:p>
            <w:pPr>
              <w:pStyle w:val="TableParagraph"/>
              <w:spacing w:line="274" w:lineRule="exact"/>
              <w:ind w:left="120" w:right="537"/>
              <w:rPr>
                <w:sz w:val="24"/>
              </w:rPr>
            </w:pPr>
            <w:r>
              <w:rPr>
                <w:sz w:val="24"/>
              </w:rPr>
              <w:t>J=8.6Hz;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2.2Hz,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105.49</w:t>
            </w:r>
          </w:p>
        </w:tc>
        <w:tc>
          <w:tcPr>
            <w:tcW w:w="1628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sz w:val="24"/>
              </w:rPr>
              <w:t>7.02(d,</w:t>
            </w:r>
          </w:p>
          <w:p>
            <w:pPr>
              <w:pStyle w:val="TableParagraph"/>
              <w:spacing w:line="274" w:lineRule="exact"/>
              <w:ind w:left="163" w:right="178"/>
              <w:rPr>
                <w:sz w:val="24"/>
              </w:rPr>
            </w:pPr>
            <w:r>
              <w:rPr>
                <w:spacing w:val="-1"/>
                <w:sz w:val="24"/>
              </w:rPr>
              <w:t>J=8.6Hz; </w:t>
            </w:r>
            <w:r>
              <w:rPr>
                <w:sz w:val="24"/>
              </w:rPr>
              <w:t>Hz,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828" w:hRule="atLeast"/>
        </w:trPr>
        <w:tc>
          <w:tcPr>
            <w:tcW w:w="1055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6‖</w:t>
            </w:r>
          </w:p>
        </w:tc>
        <w:tc>
          <w:tcPr>
            <w:tcW w:w="969" w:type="dxa"/>
          </w:tcPr>
          <w:p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131.07</w:t>
            </w:r>
          </w:p>
        </w:tc>
        <w:tc>
          <w:tcPr>
            <w:tcW w:w="1577" w:type="dxa"/>
          </w:tcPr>
          <w:p>
            <w:pPr>
              <w:pStyle w:val="TableParagraph"/>
              <w:spacing w:line="237" w:lineRule="auto"/>
              <w:ind w:left="107" w:right="159"/>
              <w:rPr>
                <w:sz w:val="24"/>
              </w:rPr>
            </w:pPr>
            <w:r>
              <w:rPr>
                <w:sz w:val="24"/>
              </w:rPr>
              <w:t>8.05(d,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J=8.6Hz,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979" w:type="dxa"/>
          </w:tcPr>
          <w:p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130.94</w:t>
            </w:r>
          </w:p>
        </w:tc>
        <w:tc>
          <w:tcPr>
            <w:tcW w:w="1742" w:type="dxa"/>
          </w:tcPr>
          <w:p>
            <w:pPr>
              <w:pStyle w:val="TableParagraph"/>
              <w:spacing w:line="237" w:lineRule="auto"/>
              <w:ind w:left="120" w:right="311"/>
              <w:rPr>
                <w:sz w:val="24"/>
              </w:rPr>
            </w:pPr>
            <w:r>
              <w:rPr>
                <w:sz w:val="24"/>
              </w:rPr>
              <w:t>7.55(d,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J=8.1Hz,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20" w:type="dxa"/>
          </w:tcPr>
          <w:p>
            <w:pPr>
              <w:pStyle w:val="TableParagraph"/>
              <w:spacing w:line="272" w:lineRule="exact"/>
              <w:ind w:left="112"/>
              <w:rPr>
                <w:sz w:val="24"/>
              </w:rPr>
            </w:pPr>
            <w:r>
              <w:rPr>
                <w:sz w:val="24"/>
              </w:rPr>
              <w:t>130.27</w:t>
            </w:r>
          </w:p>
        </w:tc>
        <w:tc>
          <w:tcPr>
            <w:tcW w:w="1628" w:type="dxa"/>
          </w:tcPr>
          <w:p>
            <w:pPr>
              <w:pStyle w:val="TableParagraph"/>
              <w:spacing w:line="237" w:lineRule="auto"/>
              <w:ind w:left="163" w:right="474"/>
              <w:rPr>
                <w:sz w:val="24"/>
              </w:rPr>
            </w:pPr>
            <w:r>
              <w:rPr>
                <w:sz w:val="24"/>
              </w:rPr>
              <w:t>7.96(d,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J=11.2Hz,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2‘m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61.92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sz w:val="24"/>
              </w:rPr>
              <w:t>4.43 (3H)</w:t>
            </w:r>
          </w:p>
        </w:tc>
      </w:tr>
      <w:tr>
        <w:trPr>
          <w:trHeight w:val="275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3‘m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60.90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sz w:val="24"/>
              </w:rPr>
              <w:t>4.43 (3H)</w:t>
            </w:r>
          </w:p>
        </w:tc>
      </w:tr>
      <w:tr>
        <w:trPr>
          <w:trHeight w:val="276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4‘m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56.01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sz w:val="24"/>
              </w:rPr>
              <w:t>4.42 (3H)</w:t>
            </w:r>
          </w:p>
        </w:tc>
      </w:tr>
      <w:tr>
        <w:trPr>
          <w:trHeight w:val="276" w:hRule="atLeast"/>
        </w:trPr>
        <w:tc>
          <w:tcPr>
            <w:tcW w:w="1055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2‖m</w:t>
            </w:r>
          </w:p>
        </w:tc>
        <w:tc>
          <w:tcPr>
            <w:tcW w:w="969" w:type="dxa"/>
          </w:tcPr>
          <w:p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55.55</w:t>
            </w:r>
          </w:p>
        </w:tc>
        <w:tc>
          <w:tcPr>
            <w:tcW w:w="1577" w:type="dxa"/>
          </w:tcPr>
          <w:p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3.82 (3H)</w:t>
            </w:r>
          </w:p>
        </w:tc>
        <w:tc>
          <w:tcPr>
            <w:tcW w:w="979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55.48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3.85 (3H)</w:t>
            </w:r>
          </w:p>
        </w:tc>
        <w:tc>
          <w:tcPr>
            <w:tcW w:w="1020" w:type="dxa"/>
          </w:tcPr>
          <w:p>
            <w:pPr>
              <w:pStyle w:val="TableParagraph"/>
              <w:spacing w:line="256" w:lineRule="exact"/>
              <w:ind w:left="112"/>
              <w:rPr>
                <w:sz w:val="24"/>
              </w:rPr>
            </w:pPr>
            <w:r>
              <w:rPr>
                <w:sz w:val="24"/>
              </w:rPr>
              <w:t>55.42</w:t>
            </w:r>
          </w:p>
        </w:tc>
        <w:tc>
          <w:tcPr>
            <w:tcW w:w="1628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sz w:val="24"/>
              </w:rPr>
              <w:t>4.36 (3H)</w:t>
            </w:r>
          </w:p>
        </w:tc>
      </w:tr>
      <w:tr>
        <w:trPr>
          <w:trHeight w:val="279" w:hRule="atLeast"/>
        </w:trPr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4‖m</w:t>
            </w:r>
          </w:p>
        </w:tc>
        <w:tc>
          <w:tcPr>
            <w:tcW w:w="9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11"/>
              <w:rPr>
                <w:sz w:val="24"/>
              </w:rPr>
            </w:pPr>
            <w:r>
              <w:rPr>
                <w:sz w:val="24"/>
              </w:rPr>
              <w:t>55.53</w:t>
            </w:r>
          </w:p>
        </w:tc>
        <w:tc>
          <w:tcPr>
            <w:tcW w:w="157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3.82 (3H)</w:t>
            </w:r>
          </w:p>
        </w:tc>
        <w:tc>
          <w:tcPr>
            <w:tcW w:w="9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10"/>
              <w:rPr>
                <w:sz w:val="24"/>
              </w:rPr>
            </w:pPr>
            <w:r>
              <w:rPr>
                <w:sz w:val="24"/>
              </w:rPr>
              <w:t>55.46</w:t>
            </w:r>
          </w:p>
        </w:tc>
        <w:tc>
          <w:tcPr>
            <w:tcW w:w="174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20"/>
              <w:rPr>
                <w:sz w:val="24"/>
              </w:rPr>
            </w:pPr>
            <w:r>
              <w:rPr>
                <w:sz w:val="24"/>
              </w:rPr>
              <w:t>3.81 (3H)</w:t>
            </w:r>
          </w:p>
        </w:tc>
        <w:tc>
          <w:tcPr>
            <w:tcW w:w="102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12"/>
              <w:rPr>
                <w:sz w:val="24"/>
              </w:rPr>
            </w:pPr>
            <w:r>
              <w:rPr>
                <w:sz w:val="24"/>
              </w:rPr>
              <w:t>55.37</w:t>
            </w:r>
          </w:p>
        </w:tc>
        <w:tc>
          <w:tcPr>
            <w:tcW w:w="16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63"/>
              <w:rPr>
                <w:sz w:val="24"/>
              </w:rPr>
            </w:pPr>
            <w:r>
              <w:rPr>
                <w:sz w:val="24"/>
              </w:rPr>
              <w:t>4.33 (3H)</w:t>
            </w:r>
          </w:p>
        </w:tc>
      </w:tr>
    </w:tbl>
    <w:p>
      <w:pPr>
        <w:spacing w:after="0" w:line="260" w:lineRule="exact"/>
        <w:rPr>
          <w:sz w:val="24"/>
        </w:rPr>
        <w:sectPr>
          <w:headerReference w:type="default" r:id="rId273"/>
          <w:footerReference w:type="default" r:id="rId274"/>
          <w:pgSz w:w="11910" w:h="16840"/>
          <w:pgMar w:header="0" w:footer="878" w:top="1160" w:bottom="1060" w:left="1560" w:right="600"/>
        </w:sectPr>
      </w:pPr>
    </w:p>
    <w:p>
      <w:pPr>
        <w:pStyle w:val="Heading1"/>
        <w:numPr>
          <w:ilvl w:val="2"/>
          <w:numId w:val="18"/>
        </w:numPr>
        <w:tabs>
          <w:tab w:pos="856" w:val="left" w:leader="none"/>
        </w:tabs>
        <w:spacing w:line="240" w:lineRule="auto" w:before="114" w:after="0"/>
        <w:ind w:left="855" w:right="0" w:hanging="544"/>
        <w:jc w:val="left"/>
      </w:pPr>
      <w:bookmarkStart w:name="_TOC_250035" w:id="58"/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-3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2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Data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P15,</w:t>
      </w:r>
      <w:r>
        <w:rPr>
          <w:spacing w:val="2"/>
          <w:vertAlign w:val="baseline"/>
        </w:rPr>
        <w:t> </w:t>
      </w:r>
      <w:bookmarkEnd w:id="58"/>
      <w:r>
        <w:rPr>
          <w:vertAlign w:val="baseline"/>
        </w:rPr>
        <w:t>P16 and P23</w:t>
      </w:r>
    </w:p>
    <w:p>
      <w:pPr>
        <w:pStyle w:val="BodyText"/>
        <w:spacing w:line="480" w:lineRule="auto" w:before="195"/>
        <w:ind w:left="312" w:right="699"/>
      </w:pPr>
      <w:r>
        <w:rPr/>
        <w:t>The</w:t>
      </w:r>
      <w:r>
        <w:rPr>
          <w:spacing w:val="17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20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7"/>
          <w:vertAlign w:val="baseline"/>
        </w:rPr>
        <w:t> </w:t>
      </w:r>
      <w:r>
        <w:rPr>
          <w:vertAlign w:val="baseline"/>
        </w:rPr>
        <w:t>NMR</w:t>
      </w:r>
      <w:r>
        <w:rPr>
          <w:spacing w:val="17"/>
          <w:vertAlign w:val="baseline"/>
        </w:rPr>
        <w:t> </w:t>
      </w:r>
      <w:r>
        <w:rPr>
          <w:vertAlign w:val="baseline"/>
        </w:rPr>
        <w:t>data</w:t>
      </w:r>
      <w:r>
        <w:rPr>
          <w:spacing w:val="18"/>
          <w:vertAlign w:val="baseline"/>
        </w:rPr>
        <w:t> </w:t>
      </w:r>
      <w:r>
        <w:rPr>
          <w:vertAlign w:val="baseline"/>
        </w:rPr>
        <w:t>of</w:t>
      </w:r>
      <w:r>
        <w:rPr>
          <w:spacing w:val="11"/>
          <w:vertAlign w:val="baseline"/>
        </w:rPr>
        <w:t> </w:t>
      </w:r>
      <w:r>
        <w:rPr>
          <w:vertAlign w:val="baseline"/>
        </w:rPr>
        <w:t>compounds</w:t>
      </w:r>
      <w:r>
        <w:rPr>
          <w:spacing w:val="17"/>
          <w:vertAlign w:val="baseline"/>
        </w:rPr>
        <w:t> </w:t>
      </w:r>
      <w:r>
        <w:rPr>
          <w:vertAlign w:val="baseline"/>
        </w:rPr>
        <w:t>P15,</w:t>
      </w:r>
      <w:r>
        <w:rPr>
          <w:spacing w:val="20"/>
          <w:vertAlign w:val="baseline"/>
        </w:rPr>
        <w:t> </w:t>
      </w:r>
      <w:r>
        <w:rPr>
          <w:vertAlign w:val="baseline"/>
        </w:rPr>
        <w:t>P16</w:t>
      </w:r>
      <w:r>
        <w:rPr>
          <w:spacing w:val="19"/>
          <w:vertAlign w:val="baseline"/>
        </w:rPr>
        <w:t> </w:t>
      </w:r>
      <w:r>
        <w:rPr>
          <w:vertAlign w:val="baseline"/>
        </w:rPr>
        <w:t>and</w:t>
      </w:r>
      <w:r>
        <w:rPr>
          <w:spacing w:val="19"/>
          <w:vertAlign w:val="baseline"/>
        </w:rPr>
        <w:t> </w:t>
      </w:r>
      <w:r>
        <w:rPr>
          <w:vertAlign w:val="baseline"/>
        </w:rPr>
        <w:t>P23</w:t>
      </w:r>
      <w:r>
        <w:rPr>
          <w:spacing w:val="19"/>
          <w:vertAlign w:val="baseline"/>
        </w:rPr>
        <w:t> </w:t>
      </w:r>
      <w:r>
        <w:rPr>
          <w:vertAlign w:val="baseline"/>
        </w:rPr>
        <w:t>(Figure</w:t>
      </w:r>
      <w:r>
        <w:rPr>
          <w:spacing w:val="18"/>
          <w:vertAlign w:val="baseline"/>
        </w:rPr>
        <w:t> </w:t>
      </w:r>
      <w:r>
        <w:rPr>
          <w:vertAlign w:val="baseline"/>
        </w:rPr>
        <w:t>4.4)</w:t>
      </w:r>
      <w:r>
        <w:rPr>
          <w:spacing w:val="20"/>
          <w:vertAlign w:val="baseline"/>
        </w:rPr>
        <w:t> </w:t>
      </w:r>
      <w:r>
        <w:rPr>
          <w:vertAlign w:val="baseline"/>
        </w:rPr>
        <w:t>are</w:t>
      </w:r>
      <w:r>
        <w:rPr>
          <w:spacing w:val="17"/>
          <w:vertAlign w:val="baseline"/>
        </w:rPr>
        <w:t> </w:t>
      </w:r>
      <w:r>
        <w:rPr>
          <w:vertAlign w:val="baseline"/>
        </w:rPr>
        <w:t>as</w:t>
      </w:r>
      <w:r>
        <w:rPr>
          <w:spacing w:val="17"/>
          <w:vertAlign w:val="baseline"/>
        </w:rPr>
        <w:t> </w:t>
      </w:r>
      <w:r>
        <w:rPr>
          <w:vertAlign w:val="baseline"/>
        </w:rPr>
        <w:t>shown</w:t>
      </w:r>
      <w:r>
        <w:rPr>
          <w:spacing w:val="18"/>
          <w:vertAlign w:val="baseline"/>
        </w:rPr>
        <w:t> </w:t>
      </w:r>
      <w:r>
        <w:rPr>
          <w:vertAlign w:val="baseline"/>
        </w:rPr>
        <w:t>in</w:t>
      </w:r>
      <w:r>
        <w:rPr>
          <w:spacing w:val="-57"/>
          <w:vertAlign w:val="baseline"/>
        </w:rPr>
        <w:t> </w:t>
      </w:r>
      <w:r>
        <w:rPr>
          <w:vertAlign w:val="baseline"/>
        </w:rPr>
        <w:t>Table 4.9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Appendices64,</w:t>
      </w:r>
      <w:r>
        <w:rPr>
          <w:spacing w:val="4"/>
          <w:vertAlign w:val="baseline"/>
        </w:rPr>
        <w:t> </w:t>
      </w:r>
      <w:r>
        <w:rPr>
          <w:vertAlign w:val="baseline"/>
        </w:rPr>
        <w:t>65,</w:t>
      </w:r>
      <w:r>
        <w:rPr>
          <w:spacing w:val="3"/>
          <w:vertAlign w:val="baseline"/>
        </w:rPr>
        <w:t> </w:t>
      </w:r>
      <w:r>
        <w:rPr>
          <w:vertAlign w:val="baseline"/>
        </w:rPr>
        <w:t>67,</w:t>
      </w:r>
      <w:r>
        <w:rPr>
          <w:spacing w:val="4"/>
          <w:vertAlign w:val="baseline"/>
        </w:rPr>
        <w:t> </w:t>
      </w:r>
      <w:r>
        <w:rPr>
          <w:vertAlign w:val="baseline"/>
        </w:rPr>
        <w:t>69,</w:t>
      </w:r>
      <w:r>
        <w:rPr>
          <w:spacing w:val="3"/>
          <w:vertAlign w:val="baseline"/>
        </w:rPr>
        <w:t> </w:t>
      </w:r>
      <w:r>
        <w:rPr>
          <w:vertAlign w:val="baseline"/>
        </w:rPr>
        <w:t>71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73.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0"/>
        </w:rPr>
      </w:pPr>
    </w:p>
    <w:p>
      <w:pPr>
        <w:pStyle w:val="Heading1"/>
        <w:spacing w:before="0"/>
        <w:ind w:left="305" w:right="690"/>
        <w:jc w:val="center"/>
      </w:pPr>
      <w:r>
        <w:rPr/>
        <w:t>Figure</w:t>
      </w:r>
      <w:r>
        <w:rPr>
          <w:spacing w:val="-3"/>
        </w:rPr>
        <w:t> </w:t>
      </w:r>
      <w:r>
        <w:rPr/>
        <w:t>4.4: 4”-methoxy</w:t>
      </w:r>
      <w:r>
        <w:rPr>
          <w:spacing w:val="-2"/>
        </w:rPr>
        <w:t> </w:t>
      </w:r>
      <w:r>
        <w:rPr/>
        <w:t>substituted</w:t>
      </w:r>
      <w:r>
        <w:rPr>
          <w:spacing w:val="-2"/>
        </w:rPr>
        <w:t> </w:t>
      </w:r>
      <w:r>
        <w:rPr/>
        <w:t>chalcones</w:t>
      </w:r>
      <w:r>
        <w:rPr>
          <w:spacing w:val="-4"/>
        </w:rPr>
        <w:t> </w:t>
      </w:r>
      <w:r>
        <w:rPr/>
        <w:t>(P15,</w:t>
      </w:r>
      <w:r>
        <w:rPr>
          <w:spacing w:val="5"/>
        </w:rPr>
        <w:t> </w:t>
      </w:r>
      <w:r>
        <w:rPr/>
        <w:t>P16</w:t>
      </w:r>
      <w:r>
        <w:rPr>
          <w:spacing w:val="-2"/>
        </w:rPr>
        <w:t> </w:t>
      </w:r>
      <w:r>
        <w:rPr/>
        <w:t>and,</w:t>
      </w:r>
      <w:r>
        <w:rPr>
          <w:spacing w:val="-1"/>
        </w:rPr>
        <w:t> </w:t>
      </w:r>
      <w:r>
        <w:rPr/>
        <w:t>P23)</w:t>
      </w:r>
    </w:p>
    <w:p>
      <w:pPr>
        <w:spacing w:after="0"/>
        <w:jc w:val="center"/>
        <w:sectPr>
          <w:headerReference w:type="default" r:id="rId275"/>
          <w:footerReference w:type="default" r:id="rId276"/>
          <w:pgSz w:w="11910" w:h="16840"/>
          <w:pgMar w:header="0" w:footer="878" w:top="1160" w:bottom="1060" w:left="1560" w:right="600"/>
        </w:sectPr>
      </w:pPr>
    </w:p>
    <w:p>
      <w:pPr>
        <w:spacing w:before="114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4.9:</w:t>
      </w:r>
      <w:r>
        <w:rPr>
          <w:b/>
          <w:spacing w:val="2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Hand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Data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P15,</w:t>
      </w:r>
      <w:r>
        <w:rPr>
          <w:b/>
          <w:spacing w:val="2"/>
          <w:sz w:val="24"/>
          <w:vertAlign w:val="baseline"/>
        </w:rPr>
        <w:t> </w:t>
      </w:r>
      <w:r>
        <w:rPr>
          <w:b/>
          <w:sz w:val="24"/>
          <w:vertAlign w:val="baseline"/>
        </w:rPr>
        <w:t>P16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and P23</w:t>
      </w: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5"/>
        <w:gridCol w:w="981"/>
        <w:gridCol w:w="1958"/>
        <w:gridCol w:w="905"/>
        <w:gridCol w:w="1560"/>
        <w:gridCol w:w="969"/>
        <w:gridCol w:w="1538"/>
      </w:tblGrid>
      <w:tr>
        <w:trPr>
          <w:trHeight w:val="497" w:hRule="atLeast"/>
        </w:trPr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0" w:lineRule="exact"/>
              <w:ind w:left="119" w:right="166"/>
              <w:rPr>
                <w:b/>
                <w:sz w:val="22"/>
              </w:rPr>
            </w:pPr>
            <w:r>
              <w:rPr>
                <w:b/>
                <w:sz w:val="22"/>
              </w:rPr>
              <w:t>Carbon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pacing w:val="-1"/>
                <w:sz w:val="22"/>
              </w:rPr>
              <w:t>Position</w:t>
            </w:r>
          </w:p>
        </w:tc>
        <w:tc>
          <w:tcPr>
            <w:tcW w:w="9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1" w:lineRule="exact" w:before="1"/>
              <w:ind w:left="178"/>
              <w:rPr>
                <w:b/>
                <w:sz w:val="22"/>
              </w:rPr>
            </w:pPr>
            <w:r>
              <w:rPr>
                <w:b/>
                <w:sz w:val="22"/>
              </w:rPr>
              <w:t>P15</w:t>
            </w:r>
          </w:p>
          <w:p>
            <w:pPr>
              <w:pStyle w:val="TableParagraph"/>
              <w:tabs>
                <w:tab w:pos="7964" w:val="left" w:leader="none"/>
              </w:tabs>
              <w:spacing w:line="225" w:lineRule="exact"/>
              <w:ind w:left="72" w:right="-6984"/>
              <w:rPr>
                <w:b/>
                <w:sz w:val="22"/>
              </w:rPr>
            </w:pPr>
            <w:r>
              <w:rPr>
                <w:b/>
                <w:w w:val="100"/>
                <w:sz w:val="22"/>
                <w:u w:val="single"/>
              </w:rPr>
              <w:t> </w:t>
            </w:r>
            <w:r>
              <w:rPr>
                <w:b/>
                <w:sz w:val="22"/>
                <w:u w:val="single"/>
              </w:rPr>
              <w:tab/>
            </w:r>
          </w:p>
        </w:tc>
        <w:tc>
          <w:tcPr>
            <w:tcW w:w="195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06"/>
              <w:rPr>
                <w:b/>
                <w:sz w:val="22"/>
              </w:rPr>
            </w:pPr>
            <w:r>
              <w:rPr>
                <w:b/>
                <w:sz w:val="22"/>
              </w:rPr>
              <w:t>P16</w:t>
            </w:r>
          </w:p>
        </w:tc>
        <w:tc>
          <w:tcPr>
            <w:tcW w:w="156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09"/>
              <w:rPr>
                <w:b/>
                <w:sz w:val="22"/>
              </w:rPr>
            </w:pPr>
            <w:r>
              <w:rPr>
                <w:b/>
                <w:sz w:val="22"/>
              </w:rPr>
              <w:t>P23</w:t>
            </w:r>
          </w:p>
        </w:tc>
        <w:tc>
          <w:tcPr>
            <w:tcW w:w="153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22" w:hRule="atLeast"/>
        </w:trPr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32"/>
              <w:ind w:left="178"/>
              <w:rPr>
                <w:b/>
                <w:sz w:val="22"/>
              </w:rPr>
            </w:pPr>
            <w:r>
              <w:rPr>
                <w:b/>
                <w:sz w:val="14"/>
              </w:rPr>
              <w:t>13</w:t>
            </w:r>
            <w:r>
              <w:rPr>
                <w:b/>
                <w:position w:val="-9"/>
                <w:sz w:val="22"/>
              </w:rPr>
              <w:t>C</w:t>
            </w:r>
          </w:p>
          <w:p>
            <w:pPr>
              <w:pStyle w:val="TableParagraph"/>
              <w:spacing w:line="233" w:lineRule="exact" w:before="65"/>
              <w:ind w:left="178"/>
              <w:rPr>
                <w:b/>
                <w:sz w:val="22"/>
              </w:rPr>
            </w:pPr>
            <w:r>
              <w:rPr>
                <w:b/>
                <w:sz w:val="22"/>
              </w:rPr>
              <w:t>δ(ppm)</w:t>
            </w:r>
          </w:p>
        </w:tc>
        <w:tc>
          <w:tcPr>
            <w:tcW w:w="195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"/>
              <w:ind w:left="119"/>
              <w:rPr>
                <w:b/>
                <w:sz w:val="22"/>
              </w:rPr>
            </w:pPr>
            <w:r>
              <w:rPr>
                <w:b/>
                <w:sz w:val="22"/>
                <w:vertAlign w:val="superscript"/>
              </w:rPr>
              <w:t>1</w:t>
            </w:r>
            <w:r>
              <w:rPr>
                <w:b/>
                <w:sz w:val="22"/>
                <w:vertAlign w:val="baseline"/>
              </w:rPr>
              <w:t>H</w:t>
            </w:r>
            <w:r>
              <w:rPr>
                <w:b/>
                <w:spacing w:val="-5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δ(ppm)</w:t>
            </w:r>
          </w:p>
        </w:tc>
        <w:tc>
          <w:tcPr>
            <w:tcW w:w="90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32"/>
              <w:ind w:left="106"/>
              <w:rPr>
                <w:b/>
                <w:sz w:val="22"/>
              </w:rPr>
            </w:pPr>
            <w:r>
              <w:rPr>
                <w:b/>
                <w:sz w:val="14"/>
              </w:rPr>
              <w:t>13</w:t>
            </w:r>
            <w:r>
              <w:rPr>
                <w:b/>
                <w:position w:val="-9"/>
                <w:sz w:val="22"/>
              </w:rPr>
              <w:t>C</w:t>
            </w:r>
          </w:p>
          <w:p>
            <w:pPr>
              <w:pStyle w:val="TableParagraph"/>
              <w:spacing w:line="233" w:lineRule="exact" w:before="65"/>
              <w:ind w:left="106"/>
              <w:rPr>
                <w:b/>
                <w:sz w:val="22"/>
              </w:rPr>
            </w:pPr>
            <w:r>
              <w:rPr>
                <w:b/>
                <w:sz w:val="22"/>
              </w:rPr>
              <w:t>δ(ppm)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"/>
              <w:ind w:left="118"/>
              <w:rPr>
                <w:b/>
                <w:sz w:val="22"/>
              </w:rPr>
            </w:pPr>
            <w:r>
              <w:rPr>
                <w:b/>
                <w:sz w:val="22"/>
                <w:vertAlign w:val="superscript"/>
              </w:rPr>
              <w:t>1</w:t>
            </w:r>
            <w:r>
              <w:rPr>
                <w:b/>
                <w:sz w:val="22"/>
                <w:vertAlign w:val="baseline"/>
              </w:rPr>
              <w:t>H</w:t>
            </w:r>
            <w:r>
              <w:rPr>
                <w:b/>
                <w:spacing w:val="-5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δ(ppm)</w:t>
            </w:r>
          </w:p>
        </w:tc>
        <w:tc>
          <w:tcPr>
            <w:tcW w:w="9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32"/>
              <w:ind w:left="109"/>
              <w:rPr>
                <w:b/>
                <w:sz w:val="22"/>
              </w:rPr>
            </w:pPr>
            <w:r>
              <w:rPr>
                <w:b/>
                <w:sz w:val="14"/>
              </w:rPr>
              <w:t>13</w:t>
            </w:r>
            <w:r>
              <w:rPr>
                <w:b/>
                <w:position w:val="-9"/>
                <w:sz w:val="22"/>
              </w:rPr>
              <w:t>C</w:t>
            </w:r>
          </w:p>
          <w:p>
            <w:pPr>
              <w:pStyle w:val="TableParagraph"/>
              <w:spacing w:line="233" w:lineRule="exact" w:before="65"/>
              <w:ind w:left="109"/>
              <w:rPr>
                <w:b/>
                <w:sz w:val="22"/>
              </w:rPr>
            </w:pPr>
            <w:r>
              <w:rPr>
                <w:b/>
                <w:sz w:val="22"/>
              </w:rPr>
              <w:t>δ(ppm)</w:t>
            </w:r>
          </w:p>
        </w:tc>
        <w:tc>
          <w:tcPr>
            <w:tcW w:w="153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4"/>
              <w:ind w:left="182"/>
              <w:rPr>
                <w:b/>
                <w:sz w:val="22"/>
              </w:rPr>
            </w:pPr>
            <w:r>
              <w:rPr>
                <w:b/>
                <w:sz w:val="22"/>
                <w:vertAlign w:val="superscript"/>
              </w:rPr>
              <w:t>1</w:t>
            </w:r>
            <w:r>
              <w:rPr>
                <w:b/>
                <w:sz w:val="22"/>
                <w:vertAlign w:val="baseline"/>
              </w:rPr>
              <w:t>H</w:t>
            </w:r>
            <w:r>
              <w:rPr>
                <w:b/>
                <w:spacing w:val="-5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δ(ppm)</w:t>
            </w:r>
          </w:p>
        </w:tc>
      </w:tr>
      <w:tr>
        <w:trPr>
          <w:trHeight w:val="323" w:hRule="atLeast"/>
        </w:trPr>
        <w:tc>
          <w:tcPr>
            <w:tcW w:w="10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9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78"/>
              <w:rPr>
                <w:sz w:val="22"/>
              </w:rPr>
            </w:pPr>
            <w:r>
              <w:rPr>
                <w:sz w:val="22"/>
              </w:rPr>
              <w:t>189.81</w:t>
            </w:r>
          </w:p>
        </w:tc>
        <w:tc>
          <w:tcPr>
            <w:tcW w:w="195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0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189.96</w:t>
            </w:r>
          </w:p>
        </w:tc>
        <w:tc>
          <w:tcPr>
            <w:tcW w:w="15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18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191.31</w:t>
            </w:r>
          </w:p>
        </w:tc>
        <w:tc>
          <w:tcPr>
            <w:tcW w:w="153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/>
              <w:ind w:left="18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  <w:tr>
        <w:trPr>
          <w:trHeight w:val="575" w:hRule="atLeast"/>
        </w:trPr>
        <w:tc>
          <w:tcPr>
            <w:tcW w:w="1055" w:type="dxa"/>
          </w:tcPr>
          <w:p>
            <w:pPr>
              <w:pStyle w:val="TableParagraph"/>
              <w:spacing w:before="66"/>
              <w:ind w:left="119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981" w:type="dxa"/>
          </w:tcPr>
          <w:p>
            <w:pPr>
              <w:pStyle w:val="TableParagraph"/>
              <w:spacing w:before="66"/>
              <w:ind w:left="178"/>
              <w:rPr>
                <w:sz w:val="22"/>
              </w:rPr>
            </w:pPr>
            <w:r>
              <w:rPr>
                <w:sz w:val="22"/>
              </w:rPr>
              <w:t>124.21</w:t>
            </w:r>
          </w:p>
        </w:tc>
        <w:tc>
          <w:tcPr>
            <w:tcW w:w="1958" w:type="dxa"/>
          </w:tcPr>
          <w:p>
            <w:pPr>
              <w:pStyle w:val="TableParagraph"/>
              <w:spacing w:line="250" w:lineRule="atLeast" w:before="50"/>
              <w:ind w:left="119" w:right="570"/>
              <w:rPr>
                <w:sz w:val="22"/>
              </w:rPr>
            </w:pPr>
            <w:r>
              <w:rPr>
                <w:sz w:val="22"/>
              </w:rPr>
              <w:t>7.36(d,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J=15.7Hz,1H)</w:t>
            </w:r>
          </w:p>
        </w:tc>
        <w:tc>
          <w:tcPr>
            <w:tcW w:w="905" w:type="dxa"/>
          </w:tcPr>
          <w:p>
            <w:pPr>
              <w:pStyle w:val="TableParagraph"/>
              <w:spacing w:before="66"/>
              <w:ind w:left="106"/>
              <w:rPr>
                <w:sz w:val="22"/>
              </w:rPr>
            </w:pPr>
            <w:r>
              <w:rPr>
                <w:sz w:val="22"/>
              </w:rPr>
              <w:t>119.24</w:t>
            </w:r>
          </w:p>
        </w:tc>
        <w:tc>
          <w:tcPr>
            <w:tcW w:w="1560" w:type="dxa"/>
          </w:tcPr>
          <w:p>
            <w:pPr>
              <w:pStyle w:val="TableParagraph"/>
              <w:spacing w:line="250" w:lineRule="atLeast" w:before="50"/>
              <w:ind w:left="118" w:right="173"/>
              <w:rPr>
                <w:sz w:val="22"/>
              </w:rPr>
            </w:pPr>
            <w:r>
              <w:rPr>
                <w:sz w:val="22"/>
              </w:rPr>
              <w:t>7.39(d,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J=16.0Hz,1H)</w:t>
            </w:r>
          </w:p>
        </w:tc>
        <w:tc>
          <w:tcPr>
            <w:tcW w:w="969" w:type="dxa"/>
          </w:tcPr>
          <w:p>
            <w:pPr>
              <w:pStyle w:val="TableParagraph"/>
              <w:spacing w:before="66"/>
              <w:ind w:left="109"/>
              <w:rPr>
                <w:sz w:val="22"/>
              </w:rPr>
            </w:pPr>
            <w:r>
              <w:rPr>
                <w:sz w:val="22"/>
              </w:rPr>
              <w:t>124.61</w:t>
            </w:r>
          </w:p>
        </w:tc>
        <w:tc>
          <w:tcPr>
            <w:tcW w:w="1538" w:type="dxa"/>
          </w:tcPr>
          <w:p>
            <w:pPr>
              <w:pStyle w:val="TableParagraph"/>
              <w:spacing w:line="250" w:lineRule="atLeast" w:before="50"/>
              <w:ind w:left="182" w:right="87"/>
              <w:rPr>
                <w:sz w:val="22"/>
              </w:rPr>
            </w:pPr>
            <w:r>
              <w:rPr>
                <w:sz w:val="22"/>
              </w:rPr>
              <w:t>6.31(d,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J=15.8Hz,1H)</w:t>
            </w:r>
          </w:p>
        </w:tc>
      </w:tr>
      <w:tr>
        <w:trPr>
          <w:trHeight w:val="506" w:hRule="atLeast"/>
        </w:trPr>
        <w:tc>
          <w:tcPr>
            <w:tcW w:w="1055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981" w:type="dxa"/>
          </w:tcPr>
          <w:p>
            <w:pPr>
              <w:pStyle w:val="TableParagraph"/>
              <w:spacing w:line="247" w:lineRule="exact"/>
              <w:ind w:left="178"/>
              <w:rPr>
                <w:sz w:val="22"/>
              </w:rPr>
            </w:pPr>
            <w:r>
              <w:rPr>
                <w:sz w:val="22"/>
              </w:rPr>
              <w:t>141.23</w:t>
            </w:r>
          </w:p>
        </w:tc>
        <w:tc>
          <w:tcPr>
            <w:tcW w:w="1958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sz w:val="22"/>
              </w:rPr>
              <w:t>7.65(d,</w:t>
            </w:r>
          </w:p>
          <w:p>
            <w:pPr>
              <w:pStyle w:val="TableParagraph"/>
              <w:spacing w:line="238" w:lineRule="exact" w:before="1"/>
              <w:ind w:left="119"/>
              <w:rPr>
                <w:sz w:val="22"/>
              </w:rPr>
            </w:pPr>
            <w:r>
              <w:rPr>
                <w:sz w:val="22"/>
              </w:rPr>
              <w:t>J=15.7Hz,1H)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144.20</w:t>
            </w:r>
          </w:p>
        </w:tc>
        <w:tc>
          <w:tcPr>
            <w:tcW w:w="1560" w:type="dxa"/>
          </w:tcPr>
          <w:p>
            <w:pPr>
              <w:pStyle w:val="TableParagraph"/>
              <w:spacing w:line="247" w:lineRule="exact"/>
              <w:ind w:left="118"/>
              <w:rPr>
                <w:sz w:val="22"/>
              </w:rPr>
            </w:pPr>
            <w:r>
              <w:rPr>
                <w:sz w:val="22"/>
              </w:rPr>
              <w:t>7.76(d,</w:t>
            </w:r>
          </w:p>
          <w:p>
            <w:pPr>
              <w:pStyle w:val="TableParagraph"/>
              <w:spacing w:line="238" w:lineRule="exact" w:before="1"/>
              <w:ind w:left="118"/>
              <w:rPr>
                <w:sz w:val="22"/>
              </w:rPr>
            </w:pPr>
            <w:r>
              <w:rPr>
                <w:sz w:val="22"/>
              </w:rPr>
              <w:t>J=15.5Hz,1H)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143.45</w:t>
            </w:r>
          </w:p>
        </w:tc>
        <w:tc>
          <w:tcPr>
            <w:tcW w:w="1538" w:type="dxa"/>
          </w:tcPr>
          <w:p>
            <w:pPr>
              <w:pStyle w:val="TableParagraph"/>
              <w:spacing w:line="247" w:lineRule="exact"/>
              <w:ind w:left="182"/>
              <w:rPr>
                <w:sz w:val="22"/>
              </w:rPr>
            </w:pPr>
            <w:r>
              <w:rPr>
                <w:sz w:val="22"/>
              </w:rPr>
              <w:t>6.59(d,</w:t>
            </w:r>
          </w:p>
          <w:p>
            <w:pPr>
              <w:pStyle w:val="TableParagraph"/>
              <w:spacing w:line="238" w:lineRule="exact" w:before="1"/>
              <w:ind w:left="182"/>
              <w:rPr>
                <w:sz w:val="22"/>
              </w:rPr>
            </w:pPr>
            <w:r>
              <w:rPr>
                <w:sz w:val="22"/>
              </w:rPr>
              <w:t>J=15.7Hz,1H)</w:t>
            </w:r>
          </w:p>
        </w:tc>
      </w:tr>
      <w:tr>
        <w:trPr>
          <w:trHeight w:val="252" w:hRule="atLeast"/>
        </w:trPr>
        <w:tc>
          <w:tcPr>
            <w:tcW w:w="1055" w:type="dxa"/>
          </w:tcPr>
          <w:p>
            <w:pPr>
              <w:pStyle w:val="TableParagraph"/>
              <w:spacing w:line="232" w:lineRule="exact"/>
              <w:ind w:left="119"/>
              <w:rPr>
                <w:sz w:val="22"/>
              </w:rPr>
            </w:pPr>
            <w:r>
              <w:rPr>
                <w:sz w:val="22"/>
              </w:rPr>
              <w:t>1‘</w:t>
            </w:r>
          </w:p>
        </w:tc>
        <w:tc>
          <w:tcPr>
            <w:tcW w:w="981" w:type="dxa"/>
          </w:tcPr>
          <w:p>
            <w:pPr>
              <w:pStyle w:val="TableParagraph"/>
              <w:spacing w:line="232" w:lineRule="exact"/>
              <w:ind w:left="178"/>
              <w:rPr>
                <w:sz w:val="22"/>
              </w:rPr>
            </w:pPr>
            <w:r>
              <w:rPr>
                <w:sz w:val="22"/>
              </w:rPr>
              <w:t>121.67</w:t>
            </w:r>
          </w:p>
        </w:tc>
        <w:tc>
          <w:tcPr>
            <w:tcW w:w="1958" w:type="dxa"/>
          </w:tcPr>
          <w:p>
            <w:pPr>
              <w:pStyle w:val="TableParagraph"/>
              <w:spacing w:line="232" w:lineRule="exact"/>
              <w:ind w:left="17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05" w:type="dxa"/>
          </w:tcPr>
          <w:p>
            <w:pPr>
              <w:pStyle w:val="TableParagraph"/>
              <w:spacing w:line="232" w:lineRule="exact"/>
              <w:ind w:left="106"/>
              <w:rPr>
                <w:sz w:val="22"/>
              </w:rPr>
            </w:pPr>
            <w:r>
              <w:rPr>
                <w:sz w:val="22"/>
              </w:rPr>
              <w:t>138.05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69" w:type="dxa"/>
          </w:tcPr>
          <w:p>
            <w:pPr>
              <w:pStyle w:val="TableParagraph"/>
              <w:spacing w:line="232" w:lineRule="exact"/>
              <w:ind w:left="109"/>
              <w:rPr>
                <w:sz w:val="22"/>
              </w:rPr>
            </w:pPr>
            <w:r>
              <w:rPr>
                <w:sz w:val="22"/>
              </w:rPr>
              <w:t>127.32</w:t>
            </w:r>
          </w:p>
        </w:tc>
        <w:tc>
          <w:tcPr>
            <w:tcW w:w="1538" w:type="dxa"/>
          </w:tcPr>
          <w:p>
            <w:pPr>
              <w:pStyle w:val="TableParagraph"/>
              <w:spacing w:line="232" w:lineRule="exact"/>
              <w:ind w:left="240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  <w:tr>
        <w:trPr>
          <w:trHeight w:val="506" w:hRule="atLeast"/>
        </w:trPr>
        <w:tc>
          <w:tcPr>
            <w:tcW w:w="1055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sz w:val="22"/>
              </w:rPr>
              <w:t>2‘</w:t>
            </w:r>
          </w:p>
        </w:tc>
        <w:tc>
          <w:tcPr>
            <w:tcW w:w="981" w:type="dxa"/>
          </w:tcPr>
          <w:p>
            <w:pPr>
              <w:pStyle w:val="TableParagraph"/>
              <w:spacing w:line="247" w:lineRule="exact"/>
              <w:ind w:left="178"/>
              <w:rPr>
                <w:sz w:val="22"/>
              </w:rPr>
            </w:pPr>
            <w:r>
              <w:rPr>
                <w:sz w:val="22"/>
              </w:rPr>
              <w:t>160.42</w:t>
            </w:r>
          </w:p>
        </w:tc>
        <w:tc>
          <w:tcPr>
            <w:tcW w:w="1958" w:type="dxa"/>
          </w:tcPr>
          <w:p>
            <w:pPr>
              <w:pStyle w:val="TableParagraph"/>
              <w:spacing w:line="247" w:lineRule="exact"/>
              <w:ind w:left="17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0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128.78</w:t>
            </w:r>
          </w:p>
        </w:tc>
        <w:tc>
          <w:tcPr>
            <w:tcW w:w="1560" w:type="dxa"/>
          </w:tcPr>
          <w:p>
            <w:pPr>
              <w:pStyle w:val="TableParagraph"/>
              <w:spacing w:line="247" w:lineRule="exact"/>
              <w:ind w:left="118"/>
              <w:rPr>
                <w:sz w:val="22"/>
              </w:rPr>
            </w:pPr>
            <w:r>
              <w:rPr>
                <w:sz w:val="22"/>
              </w:rPr>
              <w:t>7.98(d,</w:t>
            </w:r>
          </w:p>
          <w:p>
            <w:pPr>
              <w:pStyle w:val="TableParagraph"/>
              <w:spacing w:line="238" w:lineRule="exact" w:before="1"/>
              <w:ind w:left="118"/>
              <w:rPr>
                <w:sz w:val="22"/>
              </w:rPr>
            </w:pPr>
            <w:r>
              <w:rPr>
                <w:sz w:val="22"/>
              </w:rPr>
              <w:t>J=8.0Hz,1H)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153.93</w:t>
            </w:r>
          </w:p>
        </w:tc>
        <w:tc>
          <w:tcPr>
            <w:tcW w:w="1538" w:type="dxa"/>
          </w:tcPr>
          <w:p>
            <w:pPr>
              <w:pStyle w:val="TableParagraph"/>
              <w:spacing w:line="247" w:lineRule="exact"/>
              <w:ind w:left="18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  <w:tr>
        <w:trPr>
          <w:trHeight w:val="504" w:hRule="atLeast"/>
        </w:trPr>
        <w:tc>
          <w:tcPr>
            <w:tcW w:w="1055" w:type="dxa"/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sz w:val="22"/>
              </w:rPr>
              <w:t>3‘</w:t>
            </w:r>
          </w:p>
        </w:tc>
        <w:tc>
          <w:tcPr>
            <w:tcW w:w="981" w:type="dxa"/>
          </w:tcPr>
          <w:p>
            <w:pPr>
              <w:pStyle w:val="TableParagraph"/>
              <w:spacing w:line="249" w:lineRule="exact"/>
              <w:ind w:left="178"/>
              <w:rPr>
                <w:sz w:val="22"/>
              </w:rPr>
            </w:pPr>
            <w:r>
              <w:rPr>
                <w:sz w:val="22"/>
              </w:rPr>
              <w:t>97.85</w:t>
            </w:r>
          </w:p>
        </w:tc>
        <w:tc>
          <w:tcPr>
            <w:tcW w:w="1958" w:type="dxa"/>
          </w:tcPr>
          <w:p>
            <w:pPr>
              <w:pStyle w:val="TableParagraph"/>
              <w:spacing w:line="248" w:lineRule="exact"/>
              <w:ind w:left="119"/>
              <w:rPr>
                <w:sz w:val="22"/>
              </w:rPr>
            </w:pPr>
            <w:r>
              <w:rPr>
                <w:sz w:val="22"/>
              </w:rPr>
              <w:t>6.48(d, J=1.8Hz,</w:t>
            </w:r>
          </w:p>
          <w:p>
            <w:pPr>
              <w:pStyle w:val="TableParagraph"/>
              <w:spacing w:line="236" w:lineRule="exact"/>
              <w:ind w:left="119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128.05</w:t>
            </w:r>
          </w:p>
        </w:tc>
        <w:tc>
          <w:tcPr>
            <w:tcW w:w="1560" w:type="dxa"/>
          </w:tcPr>
          <w:p>
            <w:pPr>
              <w:pStyle w:val="TableParagraph"/>
              <w:spacing w:line="250" w:lineRule="exact"/>
              <w:ind w:left="118" w:right="292"/>
              <w:rPr>
                <w:sz w:val="22"/>
              </w:rPr>
            </w:pPr>
            <w:r>
              <w:rPr>
                <w:sz w:val="22"/>
              </w:rPr>
              <w:t>7.51(d,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J=12Hz,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142.40</w:t>
            </w:r>
          </w:p>
        </w:tc>
        <w:tc>
          <w:tcPr>
            <w:tcW w:w="1538" w:type="dxa"/>
          </w:tcPr>
          <w:p>
            <w:pPr>
              <w:pStyle w:val="TableParagraph"/>
              <w:spacing w:line="249" w:lineRule="exact"/>
              <w:ind w:left="18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  <w:tr>
        <w:trPr>
          <w:trHeight w:val="761" w:hRule="atLeast"/>
        </w:trPr>
        <w:tc>
          <w:tcPr>
            <w:tcW w:w="1055" w:type="dxa"/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sz w:val="22"/>
              </w:rPr>
              <w:t>4‘</w:t>
            </w:r>
          </w:p>
        </w:tc>
        <w:tc>
          <w:tcPr>
            <w:tcW w:w="981" w:type="dxa"/>
          </w:tcPr>
          <w:p>
            <w:pPr>
              <w:pStyle w:val="TableParagraph"/>
              <w:spacing w:line="249" w:lineRule="exact"/>
              <w:ind w:left="178"/>
              <w:rPr>
                <w:sz w:val="22"/>
              </w:rPr>
            </w:pPr>
            <w:r>
              <w:rPr>
                <w:sz w:val="22"/>
              </w:rPr>
              <w:t>163.14</w:t>
            </w:r>
          </w:p>
        </w:tc>
        <w:tc>
          <w:tcPr>
            <w:tcW w:w="1958" w:type="dxa"/>
          </w:tcPr>
          <w:p>
            <w:pPr>
              <w:pStyle w:val="TableParagraph"/>
              <w:spacing w:line="249" w:lineRule="exact"/>
              <w:ind w:left="17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0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132.13</w:t>
            </w:r>
          </w:p>
        </w:tc>
        <w:tc>
          <w:tcPr>
            <w:tcW w:w="1560" w:type="dxa"/>
          </w:tcPr>
          <w:p>
            <w:pPr>
              <w:pStyle w:val="TableParagraph"/>
              <w:spacing w:line="242" w:lineRule="auto"/>
              <w:ind w:left="118" w:right="88"/>
              <w:rPr>
                <w:sz w:val="22"/>
              </w:rPr>
            </w:pPr>
            <w:r>
              <w:rPr>
                <w:sz w:val="22"/>
              </w:rPr>
              <w:t>7.55(dd,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J=7.2Hz;12Hz,</w:t>
            </w:r>
          </w:p>
          <w:p>
            <w:pPr>
              <w:pStyle w:val="TableParagraph"/>
              <w:spacing w:line="234" w:lineRule="exact"/>
              <w:ind w:left="118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161.74</w:t>
            </w:r>
          </w:p>
        </w:tc>
        <w:tc>
          <w:tcPr>
            <w:tcW w:w="1538" w:type="dxa"/>
          </w:tcPr>
          <w:p>
            <w:pPr>
              <w:pStyle w:val="TableParagraph"/>
              <w:spacing w:line="249" w:lineRule="exact"/>
              <w:ind w:left="182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</w:tr>
      <w:tr>
        <w:trPr>
          <w:trHeight w:val="506" w:hRule="atLeast"/>
        </w:trPr>
        <w:tc>
          <w:tcPr>
            <w:tcW w:w="1055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sz w:val="22"/>
              </w:rPr>
              <w:t>5‘</w:t>
            </w:r>
          </w:p>
        </w:tc>
        <w:tc>
          <w:tcPr>
            <w:tcW w:w="981" w:type="dxa"/>
          </w:tcPr>
          <w:p>
            <w:pPr>
              <w:pStyle w:val="TableParagraph"/>
              <w:spacing w:line="247" w:lineRule="exact"/>
              <w:ind w:left="178"/>
              <w:rPr>
                <w:sz w:val="22"/>
              </w:rPr>
            </w:pPr>
            <w:r>
              <w:rPr>
                <w:sz w:val="22"/>
              </w:rPr>
              <w:t>104.32</w:t>
            </w:r>
          </w:p>
        </w:tc>
        <w:tc>
          <w:tcPr>
            <w:tcW w:w="1958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sz w:val="22"/>
              </w:rPr>
              <w:t>6.54(dd,</w:t>
            </w:r>
          </w:p>
          <w:p>
            <w:pPr>
              <w:pStyle w:val="TableParagraph"/>
              <w:spacing w:line="238" w:lineRule="exact" w:before="1"/>
              <w:ind w:left="119"/>
              <w:rPr>
                <w:sz w:val="22"/>
              </w:rPr>
            </w:pPr>
            <w:r>
              <w:rPr>
                <w:sz w:val="22"/>
              </w:rPr>
              <w:t>J=8.2Hz;1.4Hz,1H)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127.98</w:t>
            </w:r>
          </w:p>
        </w:tc>
        <w:tc>
          <w:tcPr>
            <w:tcW w:w="1560" w:type="dxa"/>
          </w:tcPr>
          <w:p>
            <w:pPr>
              <w:pStyle w:val="TableParagraph"/>
              <w:spacing w:line="247" w:lineRule="exact"/>
              <w:ind w:left="118"/>
              <w:rPr>
                <w:sz w:val="22"/>
              </w:rPr>
            </w:pPr>
            <w:r>
              <w:rPr>
                <w:sz w:val="22"/>
              </w:rPr>
              <w:t>7.51(d,</w:t>
            </w:r>
          </w:p>
          <w:p>
            <w:pPr>
              <w:pStyle w:val="TableParagraph"/>
              <w:spacing w:line="238" w:lineRule="exact" w:before="1"/>
              <w:ind w:left="118"/>
              <w:rPr>
                <w:sz w:val="22"/>
              </w:rPr>
            </w:pPr>
            <w:r>
              <w:rPr>
                <w:sz w:val="22"/>
              </w:rPr>
              <w:t>J=12Hz,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107.57</w:t>
            </w:r>
          </w:p>
        </w:tc>
        <w:tc>
          <w:tcPr>
            <w:tcW w:w="1538" w:type="dxa"/>
          </w:tcPr>
          <w:p>
            <w:pPr>
              <w:pStyle w:val="TableParagraph"/>
              <w:spacing w:line="247" w:lineRule="exact"/>
              <w:ind w:left="182"/>
              <w:rPr>
                <w:sz w:val="22"/>
              </w:rPr>
            </w:pPr>
            <w:r>
              <w:rPr>
                <w:sz w:val="22"/>
              </w:rPr>
              <w:t>5.69(d,</w:t>
            </w:r>
          </w:p>
          <w:p>
            <w:pPr>
              <w:pStyle w:val="TableParagraph"/>
              <w:spacing w:line="238" w:lineRule="exact" w:before="1"/>
              <w:ind w:left="182"/>
              <w:rPr>
                <w:sz w:val="22"/>
              </w:rPr>
            </w:pPr>
            <w:r>
              <w:rPr>
                <w:sz w:val="22"/>
              </w:rPr>
              <w:t>J=8.8Hz,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</w:tr>
      <w:tr>
        <w:trPr>
          <w:trHeight w:val="504" w:hRule="atLeast"/>
        </w:trPr>
        <w:tc>
          <w:tcPr>
            <w:tcW w:w="1055" w:type="dxa"/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sz w:val="22"/>
              </w:rPr>
              <w:t>6‘</w:t>
            </w:r>
          </w:p>
        </w:tc>
        <w:tc>
          <w:tcPr>
            <w:tcW w:w="981" w:type="dxa"/>
          </w:tcPr>
          <w:p>
            <w:pPr>
              <w:pStyle w:val="TableParagraph"/>
              <w:spacing w:line="249" w:lineRule="exact"/>
              <w:ind w:left="178"/>
              <w:rPr>
                <w:sz w:val="22"/>
              </w:rPr>
            </w:pPr>
            <w:r>
              <w:rPr>
                <w:sz w:val="22"/>
              </w:rPr>
              <w:t>131.90</w:t>
            </w:r>
          </w:p>
        </w:tc>
        <w:tc>
          <w:tcPr>
            <w:tcW w:w="1958" w:type="dxa"/>
          </w:tcPr>
          <w:p>
            <w:pPr>
              <w:pStyle w:val="TableParagraph"/>
              <w:spacing w:line="248" w:lineRule="exact"/>
              <w:ind w:left="119"/>
              <w:rPr>
                <w:sz w:val="22"/>
              </w:rPr>
            </w:pPr>
            <w:r>
              <w:rPr>
                <w:sz w:val="22"/>
              </w:rPr>
              <w:t>7.74(d, J=8.4Hz,</w:t>
            </w:r>
          </w:p>
          <w:p>
            <w:pPr>
              <w:pStyle w:val="TableParagraph"/>
              <w:spacing w:line="236" w:lineRule="exact"/>
              <w:ind w:left="119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128.13</w:t>
            </w:r>
          </w:p>
        </w:tc>
        <w:tc>
          <w:tcPr>
            <w:tcW w:w="1560" w:type="dxa"/>
          </w:tcPr>
          <w:p>
            <w:pPr>
              <w:pStyle w:val="TableParagraph"/>
              <w:spacing w:line="250" w:lineRule="exact"/>
              <w:ind w:left="118" w:right="239"/>
              <w:rPr>
                <w:sz w:val="22"/>
              </w:rPr>
            </w:pPr>
            <w:r>
              <w:rPr>
                <w:sz w:val="22"/>
              </w:rPr>
              <w:t>7.98(d,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J=8.0Hz,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126.05</w:t>
            </w:r>
          </w:p>
        </w:tc>
        <w:tc>
          <w:tcPr>
            <w:tcW w:w="1538" w:type="dxa"/>
          </w:tcPr>
          <w:p>
            <w:pPr>
              <w:pStyle w:val="TableParagraph"/>
              <w:spacing w:line="250" w:lineRule="exact"/>
              <w:ind w:left="182" w:right="153"/>
              <w:rPr>
                <w:sz w:val="22"/>
              </w:rPr>
            </w:pPr>
            <w:r>
              <w:rPr>
                <w:sz w:val="22"/>
              </w:rPr>
              <w:t>6.40(d,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J=8.2Hz,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</w:tr>
      <w:tr>
        <w:trPr>
          <w:trHeight w:val="254" w:hRule="atLeast"/>
        </w:trPr>
        <w:tc>
          <w:tcPr>
            <w:tcW w:w="1055" w:type="dxa"/>
          </w:tcPr>
          <w:p>
            <w:pPr>
              <w:pStyle w:val="TableParagraph"/>
              <w:spacing w:line="235" w:lineRule="exact"/>
              <w:ind w:left="119"/>
              <w:rPr>
                <w:sz w:val="22"/>
              </w:rPr>
            </w:pPr>
            <w:r>
              <w:rPr>
                <w:w w:val="120"/>
                <w:sz w:val="22"/>
              </w:rPr>
              <w:t>1‖</w:t>
            </w:r>
          </w:p>
        </w:tc>
        <w:tc>
          <w:tcPr>
            <w:tcW w:w="981" w:type="dxa"/>
          </w:tcPr>
          <w:p>
            <w:pPr>
              <w:pStyle w:val="TableParagraph"/>
              <w:spacing w:line="235" w:lineRule="exact"/>
              <w:ind w:left="178"/>
              <w:rPr>
                <w:sz w:val="22"/>
              </w:rPr>
            </w:pPr>
            <w:r>
              <w:rPr>
                <w:sz w:val="22"/>
              </w:rPr>
              <w:t>127.35</w:t>
            </w:r>
          </w:p>
        </w:tc>
        <w:tc>
          <w:tcPr>
            <w:tcW w:w="1958" w:type="dxa"/>
          </w:tcPr>
          <w:p>
            <w:pPr>
              <w:pStyle w:val="TableParagraph"/>
              <w:spacing w:line="235" w:lineRule="exact"/>
              <w:ind w:left="177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05" w:type="dxa"/>
          </w:tcPr>
          <w:p>
            <w:pPr>
              <w:pStyle w:val="TableParagraph"/>
              <w:spacing w:line="235" w:lineRule="exact"/>
              <w:ind w:left="106"/>
              <w:rPr>
                <w:sz w:val="22"/>
              </w:rPr>
            </w:pPr>
            <w:r>
              <w:rPr>
                <w:sz w:val="22"/>
              </w:rPr>
              <w:t>127.14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69" w:type="dxa"/>
          </w:tcPr>
          <w:p>
            <w:pPr>
              <w:pStyle w:val="TableParagraph"/>
              <w:spacing w:line="235" w:lineRule="exact"/>
              <w:ind w:left="109"/>
              <w:rPr>
                <w:sz w:val="22"/>
              </w:rPr>
            </w:pPr>
            <w:r>
              <w:rPr>
                <w:sz w:val="22"/>
              </w:rPr>
              <w:t>128.13</w:t>
            </w:r>
          </w:p>
        </w:tc>
        <w:tc>
          <w:tcPr>
            <w:tcW w:w="1538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506" w:hRule="atLeast"/>
        </w:trPr>
        <w:tc>
          <w:tcPr>
            <w:tcW w:w="1055" w:type="dxa"/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w w:val="120"/>
                <w:sz w:val="22"/>
              </w:rPr>
              <w:t>2‖</w:t>
            </w:r>
          </w:p>
        </w:tc>
        <w:tc>
          <w:tcPr>
            <w:tcW w:w="981" w:type="dxa"/>
          </w:tcPr>
          <w:p>
            <w:pPr>
              <w:pStyle w:val="TableParagraph"/>
              <w:spacing w:line="249" w:lineRule="exact"/>
              <w:ind w:left="178"/>
              <w:rPr>
                <w:sz w:val="22"/>
              </w:rPr>
            </w:pPr>
            <w:r>
              <w:rPr>
                <w:sz w:val="22"/>
              </w:rPr>
              <w:t>129.45</w:t>
            </w:r>
          </w:p>
        </w:tc>
        <w:tc>
          <w:tcPr>
            <w:tcW w:w="1958" w:type="dxa"/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sz w:val="22"/>
              </w:rPr>
              <w:t>7.54(d, J=8.5Hz,</w:t>
            </w:r>
          </w:p>
          <w:p>
            <w:pPr>
              <w:pStyle w:val="TableParagraph"/>
              <w:spacing w:line="236" w:lineRule="exact" w:before="1"/>
              <w:ind w:left="119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129.82</w:t>
            </w:r>
          </w:p>
        </w:tc>
        <w:tc>
          <w:tcPr>
            <w:tcW w:w="1560" w:type="dxa"/>
          </w:tcPr>
          <w:p>
            <w:pPr>
              <w:pStyle w:val="TableParagraph"/>
              <w:spacing w:line="249" w:lineRule="exact"/>
              <w:ind w:left="118"/>
              <w:rPr>
                <w:sz w:val="22"/>
              </w:rPr>
            </w:pPr>
            <w:r>
              <w:rPr>
                <w:sz w:val="22"/>
              </w:rPr>
              <w:t>7.45(d,</w:t>
            </w:r>
          </w:p>
          <w:p>
            <w:pPr>
              <w:pStyle w:val="TableParagraph"/>
              <w:spacing w:line="236" w:lineRule="exact" w:before="1"/>
              <w:ind w:left="118"/>
              <w:rPr>
                <w:sz w:val="22"/>
              </w:rPr>
            </w:pPr>
            <w:r>
              <w:rPr>
                <w:sz w:val="22"/>
              </w:rPr>
              <w:t>J=14.6Hz,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130.92</w:t>
            </w:r>
          </w:p>
        </w:tc>
        <w:tc>
          <w:tcPr>
            <w:tcW w:w="1538" w:type="dxa"/>
          </w:tcPr>
          <w:p>
            <w:pPr>
              <w:pStyle w:val="TableParagraph"/>
              <w:spacing w:line="249" w:lineRule="exact"/>
              <w:ind w:left="182"/>
              <w:rPr>
                <w:sz w:val="22"/>
              </w:rPr>
            </w:pPr>
            <w:r>
              <w:rPr>
                <w:sz w:val="22"/>
              </w:rPr>
              <w:t>6.50d,</w:t>
            </w:r>
          </w:p>
          <w:p>
            <w:pPr>
              <w:pStyle w:val="TableParagraph"/>
              <w:spacing w:line="236" w:lineRule="exact" w:before="1"/>
              <w:ind w:left="182"/>
              <w:rPr>
                <w:sz w:val="22"/>
              </w:rPr>
            </w:pPr>
            <w:r>
              <w:rPr>
                <w:sz w:val="22"/>
              </w:rPr>
              <w:t>J=8.0Hz,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</w:tr>
      <w:tr>
        <w:trPr>
          <w:trHeight w:val="506" w:hRule="atLeast"/>
        </w:trPr>
        <w:tc>
          <w:tcPr>
            <w:tcW w:w="1055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w w:val="120"/>
                <w:sz w:val="22"/>
              </w:rPr>
              <w:t>3‖</w:t>
            </w:r>
          </w:p>
        </w:tc>
        <w:tc>
          <w:tcPr>
            <w:tcW w:w="981" w:type="dxa"/>
          </w:tcPr>
          <w:p>
            <w:pPr>
              <w:pStyle w:val="TableParagraph"/>
              <w:spacing w:line="247" w:lineRule="exact"/>
              <w:ind w:left="178"/>
              <w:rPr>
                <w:sz w:val="22"/>
              </w:rPr>
            </w:pPr>
            <w:r>
              <w:rPr>
                <w:sz w:val="22"/>
              </w:rPr>
              <w:t>113.81</w:t>
            </w:r>
          </w:p>
        </w:tc>
        <w:tc>
          <w:tcPr>
            <w:tcW w:w="1958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sz w:val="22"/>
              </w:rPr>
              <w:t>6.90(d, J=8.4Hz,</w:t>
            </w:r>
          </w:p>
          <w:p>
            <w:pPr>
              <w:pStyle w:val="TableParagraph"/>
              <w:spacing w:line="238" w:lineRule="exact" w:before="1"/>
              <w:ind w:left="119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114.30</w:t>
            </w:r>
          </w:p>
        </w:tc>
        <w:tc>
          <w:tcPr>
            <w:tcW w:w="1560" w:type="dxa"/>
          </w:tcPr>
          <w:p>
            <w:pPr>
              <w:pStyle w:val="TableParagraph"/>
              <w:spacing w:line="247" w:lineRule="exact"/>
              <w:ind w:left="118"/>
              <w:rPr>
                <w:sz w:val="22"/>
              </w:rPr>
            </w:pPr>
            <w:r>
              <w:rPr>
                <w:sz w:val="22"/>
              </w:rPr>
              <w:t>6.88(d,</w:t>
            </w:r>
          </w:p>
          <w:p>
            <w:pPr>
              <w:pStyle w:val="TableParagraph"/>
              <w:spacing w:line="238" w:lineRule="exact" w:before="1"/>
              <w:ind w:left="118"/>
              <w:rPr>
                <w:sz w:val="22"/>
              </w:rPr>
            </w:pPr>
            <w:r>
              <w:rPr>
                <w:sz w:val="22"/>
              </w:rPr>
              <w:t>J=8.0Hz,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115.11</w:t>
            </w:r>
          </w:p>
        </w:tc>
        <w:tc>
          <w:tcPr>
            <w:tcW w:w="1538" w:type="dxa"/>
          </w:tcPr>
          <w:p>
            <w:pPr>
              <w:pStyle w:val="TableParagraph"/>
              <w:spacing w:line="247" w:lineRule="exact"/>
              <w:ind w:left="182"/>
              <w:rPr>
                <w:sz w:val="22"/>
              </w:rPr>
            </w:pPr>
            <w:r>
              <w:rPr>
                <w:sz w:val="22"/>
              </w:rPr>
              <w:t>5.85(d,</w:t>
            </w:r>
          </w:p>
          <w:p>
            <w:pPr>
              <w:pStyle w:val="TableParagraph"/>
              <w:spacing w:line="238" w:lineRule="exact" w:before="1"/>
              <w:ind w:left="182"/>
              <w:rPr>
                <w:sz w:val="22"/>
              </w:rPr>
            </w:pPr>
            <w:r>
              <w:rPr>
                <w:sz w:val="22"/>
              </w:rPr>
              <w:t>J=7.2Hz,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</w:tr>
      <w:tr>
        <w:trPr>
          <w:trHeight w:val="252" w:hRule="atLeast"/>
        </w:trPr>
        <w:tc>
          <w:tcPr>
            <w:tcW w:w="1055" w:type="dxa"/>
          </w:tcPr>
          <w:p>
            <w:pPr>
              <w:pStyle w:val="TableParagraph"/>
              <w:spacing w:line="232" w:lineRule="exact"/>
              <w:ind w:left="119"/>
              <w:rPr>
                <w:sz w:val="22"/>
              </w:rPr>
            </w:pPr>
            <w:r>
              <w:rPr>
                <w:w w:val="120"/>
                <w:sz w:val="22"/>
              </w:rPr>
              <w:t>4‖</w:t>
            </w:r>
          </w:p>
        </w:tc>
        <w:tc>
          <w:tcPr>
            <w:tcW w:w="981" w:type="dxa"/>
          </w:tcPr>
          <w:p>
            <w:pPr>
              <w:pStyle w:val="TableParagraph"/>
              <w:spacing w:line="232" w:lineRule="exact"/>
              <w:ind w:left="178"/>
              <w:rPr>
                <w:sz w:val="22"/>
              </w:rPr>
            </w:pPr>
            <w:r>
              <w:rPr>
                <w:sz w:val="22"/>
              </w:rPr>
              <w:t>159.43</w:t>
            </w:r>
          </w:p>
        </w:tc>
        <w:tc>
          <w:tcPr>
            <w:tcW w:w="19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spacing w:line="232" w:lineRule="exact"/>
              <w:ind w:left="106"/>
              <w:rPr>
                <w:sz w:val="22"/>
              </w:rPr>
            </w:pPr>
            <w:r>
              <w:rPr>
                <w:sz w:val="22"/>
              </w:rPr>
              <w:t>161.25</w:t>
            </w:r>
          </w:p>
        </w:tc>
        <w:tc>
          <w:tcPr>
            <w:tcW w:w="156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69" w:type="dxa"/>
          </w:tcPr>
          <w:p>
            <w:pPr>
              <w:pStyle w:val="TableParagraph"/>
              <w:spacing w:line="232" w:lineRule="exact"/>
              <w:ind w:left="109"/>
              <w:rPr>
                <w:sz w:val="22"/>
              </w:rPr>
            </w:pPr>
            <w:r>
              <w:rPr>
                <w:sz w:val="22"/>
              </w:rPr>
              <w:t>157.12</w:t>
            </w:r>
          </w:p>
        </w:tc>
        <w:tc>
          <w:tcPr>
            <w:tcW w:w="1538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506" w:hRule="atLeast"/>
        </w:trPr>
        <w:tc>
          <w:tcPr>
            <w:tcW w:w="1055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w w:val="120"/>
                <w:sz w:val="22"/>
              </w:rPr>
              <w:t>5‖</w:t>
            </w:r>
          </w:p>
        </w:tc>
        <w:tc>
          <w:tcPr>
            <w:tcW w:w="981" w:type="dxa"/>
          </w:tcPr>
          <w:p>
            <w:pPr>
              <w:pStyle w:val="TableParagraph"/>
              <w:spacing w:line="247" w:lineRule="exact"/>
              <w:ind w:left="178"/>
              <w:rPr>
                <w:sz w:val="22"/>
              </w:rPr>
            </w:pPr>
            <w:r>
              <w:rPr>
                <w:sz w:val="22"/>
              </w:rPr>
              <w:t>113.48</w:t>
            </w:r>
          </w:p>
        </w:tc>
        <w:tc>
          <w:tcPr>
            <w:tcW w:w="1958" w:type="dxa"/>
          </w:tcPr>
          <w:p>
            <w:pPr>
              <w:pStyle w:val="TableParagraph"/>
              <w:spacing w:line="247" w:lineRule="exact"/>
              <w:ind w:left="119"/>
              <w:rPr>
                <w:sz w:val="22"/>
              </w:rPr>
            </w:pPr>
            <w:r>
              <w:rPr>
                <w:sz w:val="22"/>
              </w:rPr>
              <w:t>6.90(d, J=8.4Hz,</w:t>
            </w:r>
          </w:p>
          <w:p>
            <w:pPr>
              <w:pStyle w:val="TableParagraph"/>
              <w:spacing w:line="238" w:lineRule="exact" w:before="1"/>
              <w:ind w:left="119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113.99</w:t>
            </w:r>
          </w:p>
        </w:tc>
        <w:tc>
          <w:tcPr>
            <w:tcW w:w="1560" w:type="dxa"/>
          </w:tcPr>
          <w:p>
            <w:pPr>
              <w:pStyle w:val="TableParagraph"/>
              <w:spacing w:line="247" w:lineRule="exact"/>
              <w:ind w:left="118"/>
              <w:rPr>
                <w:sz w:val="22"/>
              </w:rPr>
            </w:pPr>
            <w:r>
              <w:rPr>
                <w:sz w:val="22"/>
              </w:rPr>
              <w:t>6.88(d,</w:t>
            </w:r>
          </w:p>
          <w:p>
            <w:pPr>
              <w:pStyle w:val="TableParagraph"/>
              <w:spacing w:line="238" w:lineRule="exact" w:before="1"/>
              <w:ind w:left="118"/>
              <w:rPr>
                <w:sz w:val="22"/>
              </w:rPr>
            </w:pPr>
            <w:r>
              <w:rPr>
                <w:sz w:val="22"/>
              </w:rPr>
              <w:t>J=8.0Hz,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114.66</w:t>
            </w:r>
          </w:p>
        </w:tc>
        <w:tc>
          <w:tcPr>
            <w:tcW w:w="1538" w:type="dxa"/>
          </w:tcPr>
          <w:p>
            <w:pPr>
              <w:pStyle w:val="TableParagraph"/>
              <w:spacing w:line="247" w:lineRule="exact"/>
              <w:ind w:left="182"/>
              <w:rPr>
                <w:sz w:val="22"/>
              </w:rPr>
            </w:pPr>
            <w:r>
              <w:rPr>
                <w:sz w:val="22"/>
              </w:rPr>
              <w:t>5.85(d,</w:t>
            </w:r>
          </w:p>
          <w:p>
            <w:pPr>
              <w:pStyle w:val="TableParagraph"/>
              <w:spacing w:line="238" w:lineRule="exact" w:before="1"/>
              <w:ind w:left="182"/>
              <w:rPr>
                <w:sz w:val="22"/>
              </w:rPr>
            </w:pPr>
            <w:r>
              <w:rPr>
                <w:sz w:val="22"/>
              </w:rPr>
              <w:t>J=7.2Hz,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</w:tr>
      <w:tr>
        <w:trPr>
          <w:trHeight w:val="504" w:hRule="atLeast"/>
        </w:trPr>
        <w:tc>
          <w:tcPr>
            <w:tcW w:w="1055" w:type="dxa"/>
          </w:tcPr>
          <w:p>
            <w:pPr>
              <w:pStyle w:val="TableParagraph"/>
              <w:spacing w:line="249" w:lineRule="exact"/>
              <w:ind w:left="119"/>
              <w:rPr>
                <w:sz w:val="22"/>
              </w:rPr>
            </w:pPr>
            <w:r>
              <w:rPr>
                <w:w w:val="120"/>
                <w:sz w:val="22"/>
              </w:rPr>
              <w:t>6‖</w:t>
            </w:r>
          </w:p>
        </w:tc>
        <w:tc>
          <w:tcPr>
            <w:tcW w:w="981" w:type="dxa"/>
          </w:tcPr>
          <w:p>
            <w:pPr>
              <w:pStyle w:val="TableParagraph"/>
              <w:spacing w:line="249" w:lineRule="exact"/>
              <w:ind w:left="178"/>
              <w:rPr>
                <w:sz w:val="22"/>
              </w:rPr>
            </w:pPr>
            <w:r>
              <w:rPr>
                <w:sz w:val="22"/>
              </w:rPr>
              <w:t>129.16</w:t>
            </w:r>
          </w:p>
        </w:tc>
        <w:tc>
          <w:tcPr>
            <w:tcW w:w="1958" w:type="dxa"/>
          </w:tcPr>
          <w:p>
            <w:pPr>
              <w:pStyle w:val="TableParagraph"/>
              <w:spacing w:line="248" w:lineRule="exact"/>
              <w:ind w:left="119"/>
              <w:rPr>
                <w:sz w:val="22"/>
              </w:rPr>
            </w:pPr>
            <w:r>
              <w:rPr>
                <w:sz w:val="22"/>
              </w:rPr>
              <w:t>7.54(d, J=8.5Hz,</w:t>
            </w:r>
          </w:p>
          <w:p>
            <w:pPr>
              <w:pStyle w:val="TableParagraph"/>
              <w:spacing w:line="236" w:lineRule="exact"/>
              <w:ind w:left="119"/>
              <w:rPr>
                <w:sz w:val="22"/>
              </w:rPr>
            </w:pPr>
            <w:r>
              <w:rPr>
                <w:sz w:val="22"/>
              </w:rPr>
              <w:t>1H)</w:t>
            </w:r>
          </w:p>
        </w:tc>
        <w:tc>
          <w:tcPr>
            <w:tcW w:w="90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129.50</w:t>
            </w:r>
          </w:p>
        </w:tc>
        <w:tc>
          <w:tcPr>
            <w:tcW w:w="1560" w:type="dxa"/>
          </w:tcPr>
          <w:p>
            <w:pPr>
              <w:pStyle w:val="TableParagraph"/>
              <w:spacing w:line="250" w:lineRule="exact"/>
              <w:ind w:left="118" w:right="129"/>
              <w:rPr>
                <w:sz w:val="22"/>
              </w:rPr>
            </w:pPr>
            <w:r>
              <w:rPr>
                <w:sz w:val="22"/>
              </w:rPr>
              <w:t>7.45(d,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J=14.6Hz,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  <w:tc>
          <w:tcPr>
            <w:tcW w:w="969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130.46</w:t>
            </w:r>
          </w:p>
        </w:tc>
        <w:tc>
          <w:tcPr>
            <w:tcW w:w="1538" w:type="dxa"/>
          </w:tcPr>
          <w:p>
            <w:pPr>
              <w:pStyle w:val="TableParagraph"/>
              <w:spacing w:line="250" w:lineRule="exact"/>
              <w:ind w:left="182" w:right="153"/>
              <w:rPr>
                <w:sz w:val="22"/>
              </w:rPr>
            </w:pPr>
            <w:r>
              <w:rPr>
                <w:sz w:val="22"/>
              </w:rPr>
              <w:t>6.50d,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J=8.0Hz,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1H)</w:t>
            </w:r>
          </w:p>
        </w:tc>
      </w:tr>
      <w:tr>
        <w:trPr>
          <w:trHeight w:val="254" w:hRule="atLeast"/>
        </w:trPr>
        <w:tc>
          <w:tcPr>
            <w:tcW w:w="1055" w:type="dxa"/>
          </w:tcPr>
          <w:p>
            <w:pPr>
              <w:pStyle w:val="TableParagraph"/>
              <w:spacing w:line="234" w:lineRule="exact"/>
              <w:ind w:left="119"/>
              <w:rPr>
                <w:sz w:val="22"/>
              </w:rPr>
            </w:pPr>
            <w:r>
              <w:rPr>
                <w:sz w:val="22"/>
              </w:rPr>
              <w:t>2‘m</w:t>
            </w:r>
          </w:p>
        </w:tc>
        <w:tc>
          <w:tcPr>
            <w:tcW w:w="981" w:type="dxa"/>
          </w:tcPr>
          <w:p>
            <w:pPr>
              <w:pStyle w:val="TableParagraph"/>
              <w:spacing w:line="234" w:lineRule="exact"/>
              <w:ind w:left="178"/>
              <w:rPr>
                <w:sz w:val="22"/>
              </w:rPr>
            </w:pPr>
            <w:r>
              <w:rPr>
                <w:sz w:val="22"/>
              </w:rPr>
              <w:t>54.92</w:t>
            </w:r>
          </w:p>
        </w:tc>
        <w:tc>
          <w:tcPr>
            <w:tcW w:w="1958" w:type="dxa"/>
          </w:tcPr>
          <w:p>
            <w:pPr>
              <w:pStyle w:val="TableParagraph"/>
              <w:spacing w:line="234" w:lineRule="exact"/>
              <w:ind w:left="119"/>
              <w:rPr>
                <w:sz w:val="22"/>
              </w:rPr>
            </w:pPr>
            <w:r>
              <w:rPr>
                <w:sz w:val="22"/>
              </w:rPr>
              <w:t>3.88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  <w:tc>
          <w:tcPr>
            <w:tcW w:w="905" w:type="dxa"/>
          </w:tcPr>
          <w:p>
            <w:pPr>
              <w:pStyle w:val="TableParagraph"/>
              <w:spacing w:line="234" w:lineRule="exact"/>
              <w:ind w:left="106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60" w:type="dxa"/>
          </w:tcPr>
          <w:p>
            <w:pPr>
              <w:pStyle w:val="TableParagraph"/>
              <w:spacing w:line="234" w:lineRule="exact"/>
              <w:ind w:left="118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spacing w:line="234" w:lineRule="exact"/>
              <w:ind w:left="109"/>
              <w:rPr>
                <w:sz w:val="22"/>
              </w:rPr>
            </w:pPr>
            <w:r>
              <w:rPr>
                <w:sz w:val="22"/>
              </w:rPr>
              <w:t>62.47</w:t>
            </w:r>
          </w:p>
        </w:tc>
        <w:tc>
          <w:tcPr>
            <w:tcW w:w="1538" w:type="dxa"/>
          </w:tcPr>
          <w:p>
            <w:pPr>
              <w:pStyle w:val="TableParagraph"/>
              <w:spacing w:line="234" w:lineRule="exact"/>
              <w:ind w:left="182"/>
              <w:rPr>
                <w:sz w:val="22"/>
              </w:rPr>
            </w:pPr>
            <w:r>
              <w:rPr>
                <w:sz w:val="22"/>
              </w:rPr>
              <w:t>2.85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</w:tr>
      <w:tr>
        <w:trPr>
          <w:trHeight w:val="254" w:hRule="atLeast"/>
        </w:trPr>
        <w:tc>
          <w:tcPr>
            <w:tcW w:w="1055" w:type="dxa"/>
          </w:tcPr>
          <w:p>
            <w:pPr>
              <w:pStyle w:val="TableParagraph"/>
              <w:spacing w:line="234" w:lineRule="exact"/>
              <w:ind w:left="119"/>
              <w:rPr>
                <w:sz w:val="22"/>
              </w:rPr>
            </w:pPr>
            <w:r>
              <w:rPr>
                <w:sz w:val="22"/>
              </w:rPr>
              <w:t>3‘m</w:t>
            </w:r>
          </w:p>
        </w:tc>
        <w:tc>
          <w:tcPr>
            <w:tcW w:w="98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spacing w:line="234" w:lineRule="exact"/>
              <w:ind w:left="119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05" w:type="dxa"/>
          </w:tcPr>
          <w:p>
            <w:pPr>
              <w:pStyle w:val="TableParagraph"/>
              <w:spacing w:line="234" w:lineRule="exact"/>
              <w:ind w:left="106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60" w:type="dxa"/>
          </w:tcPr>
          <w:p>
            <w:pPr>
              <w:pStyle w:val="TableParagraph"/>
              <w:spacing w:line="234" w:lineRule="exact"/>
              <w:ind w:left="118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spacing w:line="234" w:lineRule="exact"/>
              <w:ind w:left="109"/>
              <w:rPr>
                <w:sz w:val="22"/>
              </w:rPr>
            </w:pPr>
            <w:r>
              <w:rPr>
                <w:sz w:val="22"/>
              </w:rPr>
              <w:t>61.42</w:t>
            </w:r>
          </w:p>
        </w:tc>
        <w:tc>
          <w:tcPr>
            <w:tcW w:w="1538" w:type="dxa"/>
          </w:tcPr>
          <w:p>
            <w:pPr>
              <w:pStyle w:val="TableParagraph"/>
              <w:spacing w:line="234" w:lineRule="exact"/>
              <w:ind w:left="182"/>
              <w:rPr>
                <w:sz w:val="22"/>
              </w:rPr>
            </w:pPr>
            <w:r>
              <w:rPr>
                <w:sz w:val="22"/>
              </w:rPr>
              <w:t>2.85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</w:tr>
      <w:tr>
        <w:trPr>
          <w:trHeight w:val="251" w:hRule="atLeast"/>
        </w:trPr>
        <w:tc>
          <w:tcPr>
            <w:tcW w:w="1055" w:type="dxa"/>
          </w:tcPr>
          <w:p>
            <w:pPr>
              <w:pStyle w:val="TableParagraph"/>
              <w:spacing w:line="232" w:lineRule="exact"/>
              <w:ind w:left="119"/>
              <w:rPr>
                <w:sz w:val="22"/>
              </w:rPr>
            </w:pPr>
            <w:r>
              <w:rPr>
                <w:sz w:val="22"/>
              </w:rPr>
              <w:t>4‘m</w:t>
            </w:r>
          </w:p>
        </w:tc>
        <w:tc>
          <w:tcPr>
            <w:tcW w:w="981" w:type="dxa"/>
          </w:tcPr>
          <w:p>
            <w:pPr>
              <w:pStyle w:val="TableParagraph"/>
              <w:spacing w:line="232" w:lineRule="exact"/>
              <w:ind w:left="178"/>
              <w:rPr>
                <w:sz w:val="22"/>
              </w:rPr>
            </w:pPr>
            <w:r>
              <w:rPr>
                <w:sz w:val="22"/>
              </w:rPr>
              <w:t>54.70</w:t>
            </w:r>
          </w:p>
        </w:tc>
        <w:tc>
          <w:tcPr>
            <w:tcW w:w="1958" w:type="dxa"/>
          </w:tcPr>
          <w:p>
            <w:pPr>
              <w:pStyle w:val="TableParagraph"/>
              <w:spacing w:line="232" w:lineRule="exact"/>
              <w:ind w:left="119"/>
              <w:rPr>
                <w:sz w:val="22"/>
              </w:rPr>
            </w:pPr>
            <w:r>
              <w:rPr>
                <w:sz w:val="22"/>
              </w:rPr>
              <w:t>3.86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  <w:tc>
          <w:tcPr>
            <w:tcW w:w="905" w:type="dxa"/>
          </w:tcPr>
          <w:p>
            <w:pPr>
              <w:pStyle w:val="TableParagraph"/>
              <w:spacing w:line="232" w:lineRule="exact"/>
              <w:ind w:left="106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1560" w:type="dxa"/>
          </w:tcPr>
          <w:p>
            <w:pPr>
              <w:pStyle w:val="TableParagraph"/>
              <w:spacing w:line="232" w:lineRule="exact"/>
              <w:ind w:left="118"/>
              <w:rPr>
                <w:sz w:val="22"/>
              </w:rPr>
            </w:pPr>
            <w:r>
              <w:rPr>
                <w:w w:val="100"/>
                <w:sz w:val="22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spacing w:line="232" w:lineRule="exact"/>
              <w:ind w:left="109"/>
              <w:rPr>
                <w:sz w:val="22"/>
              </w:rPr>
            </w:pPr>
            <w:r>
              <w:rPr>
                <w:sz w:val="22"/>
              </w:rPr>
              <w:t>56.44</w:t>
            </w:r>
          </w:p>
        </w:tc>
        <w:tc>
          <w:tcPr>
            <w:tcW w:w="1538" w:type="dxa"/>
          </w:tcPr>
          <w:p>
            <w:pPr>
              <w:pStyle w:val="TableParagraph"/>
              <w:spacing w:line="232" w:lineRule="exact"/>
              <w:ind w:left="182"/>
              <w:rPr>
                <w:sz w:val="22"/>
              </w:rPr>
            </w:pPr>
            <w:r>
              <w:rPr>
                <w:sz w:val="22"/>
              </w:rPr>
              <w:t>2.85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</w:tr>
      <w:tr>
        <w:trPr>
          <w:trHeight w:val="256" w:hRule="atLeast"/>
        </w:trPr>
        <w:tc>
          <w:tcPr>
            <w:tcW w:w="10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19"/>
              <w:rPr>
                <w:sz w:val="22"/>
              </w:rPr>
            </w:pPr>
            <w:r>
              <w:rPr>
                <w:w w:val="115"/>
                <w:sz w:val="22"/>
              </w:rPr>
              <w:t>4‖m</w:t>
            </w:r>
          </w:p>
        </w:tc>
        <w:tc>
          <w:tcPr>
            <w:tcW w:w="98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78"/>
              <w:rPr>
                <w:sz w:val="22"/>
              </w:rPr>
            </w:pPr>
            <w:r>
              <w:rPr>
                <w:sz w:val="22"/>
              </w:rPr>
              <w:t>54.54</w:t>
            </w:r>
          </w:p>
        </w:tc>
        <w:tc>
          <w:tcPr>
            <w:tcW w:w="195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19"/>
              <w:rPr>
                <w:sz w:val="22"/>
              </w:rPr>
            </w:pPr>
            <w:r>
              <w:rPr>
                <w:sz w:val="22"/>
              </w:rPr>
              <w:t>3.81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  <w:tc>
          <w:tcPr>
            <w:tcW w:w="90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06"/>
              <w:rPr>
                <w:sz w:val="22"/>
              </w:rPr>
            </w:pPr>
            <w:r>
              <w:rPr>
                <w:sz w:val="22"/>
              </w:rPr>
              <w:t>54.90</w:t>
            </w:r>
          </w:p>
        </w:tc>
        <w:tc>
          <w:tcPr>
            <w:tcW w:w="15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18"/>
              <w:rPr>
                <w:sz w:val="22"/>
              </w:rPr>
            </w:pPr>
            <w:r>
              <w:rPr>
                <w:sz w:val="22"/>
              </w:rPr>
              <w:t>3.78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  <w:tc>
          <w:tcPr>
            <w:tcW w:w="9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09"/>
              <w:rPr>
                <w:sz w:val="22"/>
              </w:rPr>
            </w:pPr>
            <w:r>
              <w:rPr>
                <w:sz w:val="22"/>
              </w:rPr>
              <w:t>55.72</w:t>
            </w:r>
          </w:p>
        </w:tc>
        <w:tc>
          <w:tcPr>
            <w:tcW w:w="153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exact"/>
              <w:ind w:left="182"/>
              <w:rPr>
                <w:sz w:val="22"/>
              </w:rPr>
            </w:pPr>
            <w:r>
              <w:rPr>
                <w:sz w:val="22"/>
              </w:rPr>
              <w:t>2.77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(3H)</w:t>
            </w:r>
          </w:p>
        </w:tc>
      </w:tr>
    </w:tbl>
    <w:p>
      <w:pPr>
        <w:spacing w:after="0" w:line="237" w:lineRule="exact"/>
        <w:rPr>
          <w:sz w:val="22"/>
        </w:rPr>
        <w:sectPr>
          <w:headerReference w:type="default" r:id="rId277"/>
          <w:footerReference w:type="default" r:id="rId278"/>
          <w:pgSz w:w="11910" w:h="16840"/>
          <w:pgMar w:header="0" w:footer="878" w:top="1160" w:bottom="1060" w:left="1560" w:right="600"/>
        </w:sectPr>
      </w:pPr>
    </w:p>
    <w:p>
      <w:pPr>
        <w:pStyle w:val="Heading1"/>
        <w:numPr>
          <w:ilvl w:val="2"/>
          <w:numId w:val="18"/>
        </w:numPr>
        <w:tabs>
          <w:tab w:pos="856" w:val="left" w:leader="none"/>
        </w:tabs>
        <w:spacing w:line="240" w:lineRule="auto" w:before="114" w:after="0"/>
        <w:ind w:left="855" w:right="0" w:hanging="544"/>
        <w:jc w:val="left"/>
      </w:pPr>
      <w:bookmarkStart w:name="_TOC_250034" w:id="59"/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6"/>
          <w:vertAlign w:val="baseline"/>
        </w:rPr>
        <w:t> </w:t>
      </w:r>
      <w:r>
        <w:rPr>
          <w:vertAlign w:val="baseline"/>
        </w:rPr>
        <w:t>assignment of</w:t>
      </w:r>
      <w:r>
        <w:rPr>
          <w:spacing w:val="-4"/>
          <w:vertAlign w:val="baseline"/>
        </w:rPr>
        <w:t> </w:t>
      </w:r>
      <w:r>
        <w:rPr>
          <w:vertAlign w:val="baseline"/>
        </w:rPr>
        <w:t>P19,</w:t>
      </w:r>
      <w:r>
        <w:rPr>
          <w:spacing w:val="2"/>
          <w:vertAlign w:val="baseline"/>
        </w:rPr>
        <w:t> </w:t>
      </w:r>
      <w:r>
        <w:rPr>
          <w:vertAlign w:val="baseline"/>
        </w:rPr>
        <w:t>P24</w:t>
      </w:r>
      <w:r>
        <w:rPr>
          <w:spacing w:val="-1"/>
          <w:vertAlign w:val="baseline"/>
        </w:rPr>
        <w:t> </w:t>
      </w:r>
      <w:bookmarkEnd w:id="59"/>
      <w:r>
        <w:rPr>
          <w:vertAlign w:val="baseline"/>
        </w:rPr>
        <w:t>and P25</w:t>
      </w:r>
    </w:p>
    <w:p>
      <w:pPr>
        <w:pStyle w:val="BodyText"/>
        <w:spacing w:line="480" w:lineRule="auto" w:before="195"/>
        <w:ind w:left="312" w:right="699"/>
      </w:pPr>
      <w:r>
        <w:rPr/>
        <w:t>The</w:t>
      </w:r>
      <w:r>
        <w:rPr>
          <w:spacing w:val="17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20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7"/>
          <w:vertAlign w:val="baseline"/>
        </w:rPr>
        <w:t> </w:t>
      </w:r>
      <w:r>
        <w:rPr>
          <w:vertAlign w:val="baseline"/>
        </w:rPr>
        <w:t>NMR</w:t>
      </w:r>
      <w:r>
        <w:rPr>
          <w:spacing w:val="17"/>
          <w:vertAlign w:val="baseline"/>
        </w:rPr>
        <w:t> </w:t>
      </w:r>
      <w:r>
        <w:rPr>
          <w:vertAlign w:val="baseline"/>
        </w:rPr>
        <w:t>data</w:t>
      </w:r>
      <w:r>
        <w:rPr>
          <w:spacing w:val="18"/>
          <w:vertAlign w:val="baseline"/>
        </w:rPr>
        <w:t> </w:t>
      </w:r>
      <w:r>
        <w:rPr>
          <w:vertAlign w:val="baseline"/>
        </w:rPr>
        <w:t>of</w:t>
      </w:r>
      <w:r>
        <w:rPr>
          <w:spacing w:val="11"/>
          <w:vertAlign w:val="baseline"/>
        </w:rPr>
        <w:t> </w:t>
      </w:r>
      <w:r>
        <w:rPr>
          <w:vertAlign w:val="baseline"/>
        </w:rPr>
        <w:t>compounds</w:t>
      </w:r>
      <w:r>
        <w:rPr>
          <w:spacing w:val="17"/>
          <w:vertAlign w:val="baseline"/>
        </w:rPr>
        <w:t> </w:t>
      </w:r>
      <w:r>
        <w:rPr>
          <w:vertAlign w:val="baseline"/>
        </w:rPr>
        <w:t>P19,</w:t>
      </w:r>
      <w:r>
        <w:rPr>
          <w:spacing w:val="20"/>
          <w:vertAlign w:val="baseline"/>
        </w:rPr>
        <w:t> </w:t>
      </w:r>
      <w:r>
        <w:rPr>
          <w:vertAlign w:val="baseline"/>
        </w:rPr>
        <w:t>P24</w:t>
      </w:r>
      <w:r>
        <w:rPr>
          <w:spacing w:val="19"/>
          <w:vertAlign w:val="baseline"/>
        </w:rPr>
        <w:t> </w:t>
      </w:r>
      <w:r>
        <w:rPr>
          <w:vertAlign w:val="baseline"/>
        </w:rPr>
        <w:t>and</w:t>
      </w:r>
      <w:r>
        <w:rPr>
          <w:spacing w:val="19"/>
          <w:vertAlign w:val="baseline"/>
        </w:rPr>
        <w:t> </w:t>
      </w:r>
      <w:r>
        <w:rPr>
          <w:vertAlign w:val="baseline"/>
        </w:rPr>
        <w:t>P25</w:t>
      </w:r>
      <w:r>
        <w:rPr>
          <w:spacing w:val="19"/>
          <w:vertAlign w:val="baseline"/>
        </w:rPr>
        <w:t> </w:t>
      </w:r>
      <w:r>
        <w:rPr>
          <w:vertAlign w:val="baseline"/>
        </w:rPr>
        <w:t>(Figure</w:t>
      </w:r>
      <w:r>
        <w:rPr>
          <w:spacing w:val="18"/>
          <w:vertAlign w:val="baseline"/>
        </w:rPr>
        <w:t> </w:t>
      </w:r>
      <w:r>
        <w:rPr>
          <w:vertAlign w:val="baseline"/>
        </w:rPr>
        <w:t>4.5)</w:t>
      </w:r>
      <w:r>
        <w:rPr>
          <w:spacing w:val="20"/>
          <w:vertAlign w:val="baseline"/>
        </w:rPr>
        <w:t> </w:t>
      </w:r>
      <w:r>
        <w:rPr>
          <w:vertAlign w:val="baseline"/>
        </w:rPr>
        <w:t>are</w:t>
      </w:r>
      <w:r>
        <w:rPr>
          <w:spacing w:val="17"/>
          <w:vertAlign w:val="baseline"/>
        </w:rPr>
        <w:t> </w:t>
      </w:r>
      <w:r>
        <w:rPr>
          <w:vertAlign w:val="baseline"/>
        </w:rPr>
        <w:t>as</w:t>
      </w:r>
      <w:r>
        <w:rPr>
          <w:spacing w:val="17"/>
          <w:vertAlign w:val="baseline"/>
        </w:rPr>
        <w:t> </w:t>
      </w:r>
      <w:r>
        <w:rPr>
          <w:vertAlign w:val="baseline"/>
        </w:rPr>
        <w:t>shown</w:t>
      </w:r>
      <w:r>
        <w:rPr>
          <w:spacing w:val="18"/>
          <w:vertAlign w:val="baseline"/>
        </w:rPr>
        <w:t> </w:t>
      </w:r>
      <w:r>
        <w:rPr>
          <w:vertAlign w:val="baseline"/>
        </w:rPr>
        <w:t>in</w:t>
      </w:r>
      <w:r>
        <w:rPr>
          <w:spacing w:val="-57"/>
          <w:vertAlign w:val="baseline"/>
        </w:rPr>
        <w:t> </w:t>
      </w:r>
      <w:r>
        <w:rPr>
          <w:vertAlign w:val="baseline"/>
        </w:rPr>
        <w:t>Table 4.10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Appendices77,</w:t>
      </w:r>
      <w:r>
        <w:rPr>
          <w:spacing w:val="4"/>
          <w:vertAlign w:val="baseline"/>
        </w:rPr>
        <w:t> </w:t>
      </w:r>
      <w:r>
        <w:rPr>
          <w:vertAlign w:val="baseline"/>
        </w:rPr>
        <w:t>79,</w:t>
      </w:r>
      <w:r>
        <w:rPr>
          <w:spacing w:val="3"/>
          <w:vertAlign w:val="baseline"/>
        </w:rPr>
        <w:t> </w:t>
      </w:r>
      <w:r>
        <w:rPr>
          <w:vertAlign w:val="baseline"/>
        </w:rPr>
        <w:t>81,</w:t>
      </w:r>
      <w:r>
        <w:rPr>
          <w:spacing w:val="4"/>
          <w:vertAlign w:val="baseline"/>
        </w:rPr>
        <w:t> </w:t>
      </w:r>
      <w:r>
        <w:rPr>
          <w:vertAlign w:val="baseline"/>
        </w:rPr>
        <w:t>82,</w:t>
      </w:r>
      <w:r>
        <w:rPr>
          <w:spacing w:val="5"/>
          <w:vertAlign w:val="baseline"/>
        </w:rPr>
        <w:t> </w:t>
      </w:r>
      <w:r>
        <w:rPr>
          <w:vertAlign w:val="baseline"/>
        </w:rPr>
        <w:t>75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76.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179"/>
        <w:ind w:left="1013" w:right="1596"/>
      </w:pPr>
      <w:r>
        <w:rPr/>
        <w:t>Figure 4.5: 4”-methoxy substituted chalcone (P25) and un-substituted</w:t>
      </w:r>
      <w:r>
        <w:rPr>
          <w:spacing w:val="-57"/>
        </w:rPr>
        <w:t> </w:t>
      </w:r>
      <w:r>
        <w:rPr/>
        <w:t>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chalcones (P19</w:t>
      </w:r>
      <w:r>
        <w:rPr>
          <w:spacing w:val="1"/>
        </w:rPr>
        <w:t> </w:t>
      </w:r>
      <w:r>
        <w:rPr/>
        <w:t>and,</w:t>
      </w:r>
      <w:r>
        <w:rPr>
          <w:spacing w:val="4"/>
        </w:rPr>
        <w:t> </w:t>
      </w:r>
      <w:r>
        <w:rPr/>
        <w:t>P24)</w:t>
      </w:r>
    </w:p>
    <w:p>
      <w:pPr>
        <w:spacing w:after="0"/>
        <w:sectPr>
          <w:headerReference w:type="default" r:id="rId279"/>
          <w:footerReference w:type="default" r:id="rId280"/>
          <w:pgSz w:w="11910" w:h="16840"/>
          <w:pgMar w:header="0" w:footer="878" w:top="1160" w:bottom="1060" w:left="1560" w:right="600"/>
        </w:sectPr>
      </w:pPr>
    </w:p>
    <w:p>
      <w:pPr>
        <w:spacing w:before="114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4.10:</w:t>
      </w:r>
      <w:r>
        <w:rPr>
          <w:b/>
          <w:spacing w:val="2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Hand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Data</w:t>
      </w:r>
      <w:r>
        <w:rPr>
          <w:b/>
          <w:spacing w:val="-5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P19,</w:t>
      </w:r>
      <w:r>
        <w:rPr>
          <w:b/>
          <w:spacing w:val="2"/>
          <w:sz w:val="24"/>
          <w:vertAlign w:val="baseline"/>
        </w:rPr>
        <w:t> </w:t>
      </w:r>
      <w:r>
        <w:rPr>
          <w:b/>
          <w:sz w:val="24"/>
          <w:vertAlign w:val="baseline"/>
        </w:rPr>
        <w:t>P24 and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P25</w:t>
      </w: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2"/>
        <w:gridCol w:w="1054"/>
        <w:gridCol w:w="1827"/>
        <w:gridCol w:w="1065"/>
        <w:gridCol w:w="1742"/>
        <w:gridCol w:w="1128"/>
        <w:gridCol w:w="1080"/>
      </w:tblGrid>
      <w:tr>
        <w:trPr>
          <w:trHeight w:val="539" w:hRule="atLeast"/>
        </w:trPr>
        <w:tc>
          <w:tcPr>
            <w:tcW w:w="10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4" w:lineRule="exact"/>
              <w:ind w:left="119" w:right="124"/>
              <w:rPr>
                <w:b/>
                <w:sz w:val="24"/>
              </w:rPr>
            </w:pPr>
            <w:r>
              <w:rPr>
                <w:b/>
                <w:sz w:val="24"/>
              </w:rPr>
              <w:t>Carbon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Position</w:t>
            </w:r>
          </w:p>
        </w:tc>
        <w:tc>
          <w:tcPr>
            <w:tcW w:w="10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 w:before="1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P19</w:t>
            </w:r>
          </w:p>
          <w:p>
            <w:pPr>
              <w:pStyle w:val="TableParagraph"/>
              <w:tabs>
                <w:tab w:pos="7947" w:val="left" w:leader="none"/>
              </w:tabs>
              <w:spacing w:line="243" w:lineRule="exact"/>
              <w:ind w:left="26" w:right="-6898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 </w:t>
              <w:tab/>
            </w:r>
          </w:p>
        </w:tc>
        <w:tc>
          <w:tcPr>
            <w:tcW w:w="182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51"/>
              <w:rPr>
                <w:b/>
                <w:sz w:val="24"/>
              </w:rPr>
            </w:pPr>
            <w:r>
              <w:rPr>
                <w:b/>
                <w:sz w:val="24"/>
              </w:rPr>
              <w:t>P24</w:t>
            </w:r>
          </w:p>
        </w:tc>
        <w:tc>
          <w:tcPr>
            <w:tcW w:w="174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25"/>
              <w:rPr>
                <w:b/>
                <w:sz w:val="24"/>
              </w:rPr>
            </w:pPr>
            <w:r>
              <w:rPr>
                <w:b/>
                <w:sz w:val="24"/>
              </w:rPr>
              <w:t>P25</w:t>
            </w:r>
          </w:p>
        </w:tc>
        <w:tc>
          <w:tcPr>
            <w:tcW w:w="108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43" w:hRule="atLeast"/>
        </w:trPr>
        <w:tc>
          <w:tcPr>
            <w:tcW w:w="108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37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before="68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82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63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06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51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before="68"/>
              <w:ind w:left="151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74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157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1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25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before="68"/>
              <w:ind w:left="125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10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245"/>
              <w:rPr>
                <w:b/>
                <w:sz w:val="24"/>
              </w:rPr>
            </w:pPr>
            <w:r>
              <w:rPr>
                <w:b/>
                <w:sz w:val="16"/>
              </w:rPr>
              <w:t>1</w:t>
            </w:r>
            <w:r>
              <w:rPr>
                <w:b/>
                <w:position w:val="-10"/>
                <w:sz w:val="24"/>
              </w:rPr>
              <w:t>H</w:t>
            </w:r>
          </w:p>
          <w:p>
            <w:pPr>
              <w:pStyle w:val="TableParagraph"/>
              <w:spacing w:before="68"/>
              <w:ind w:left="245"/>
              <w:rPr>
                <w:b/>
                <w:sz w:val="24"/>
              </w:rPr>
            </w:pPr>
            <w:r>
              <w:rPr>
                <w:b/>
                <w:sz w:val="24"/>
              </w:rPr>
              <w:t>δ(ppm</w:t>
            </w:r>
          </w:p>
          <w:p>
            <w:pPr>
              <w:pStyle w:val="TableParagraph"/>
              <w:spacing w:line="257" w:lineRule="exact" w:before="3"/>
              <w:ind w:left="245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)</w:t>
            </w:r>
          </w:p>
        </w:tc>
      </w:tr>
      <w:tr>
        <w:trPr>
          <w:trHeight w:val="334" w:hRule="atLeast"/>
        </w:trPr>
        <w:tc>
          <w:tcPr>
            <w:tcW w:w="10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37"/>
              <w:rPr>
                <w:sz w:val="24"/>
              </w:rPr>
            </w:pPr>
            <w:r>
              <w:rPr>
                <w:sz w:val="24"/>
              </w:rPr>
              <w:t>190.47</w:t>
            </w:r>
          </w:p>
        </w:tc>
        <w:tc>
          <w:tcPr>
            <w:tcW w:w="182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51"/>
              <w:rPr>
                <w:sz w:val="24"/>
              </w:rPr>
            </w:pPr>
            <w:r>
              <w:rPr>
                <w:sz w:val="24"/>
              </w:rPr>
              <w:t>190.80</w:t>
            </w:r>
          </w:p>
        </w:tc>
        <w:tc>
          <w:tcPr>
            <w:tcW w:w="1742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25"/>
              <w:rPr>
                <w:sz w:val="24"/>
              </w:rPr>
            </w:pPr>
            <w:r>
              <w:rPr>
                <w:sz w:val="24"/>
              </w:rPr>
              <w:t>192.60</w:t>
            </w:r>
          </w:p>
        </w:tc>
        <w:tc>
          <w:tcPr>
            <w:tcW w:w="108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11" w:hRule="atLeast"/>
        </w:trPr>
        <w:tc>
          <w:tcPr>
            <w:tcW w:w="1082" w:type="dxa"/>
          </w:tcPr>
          <w:p>
            <w:pPr>
              <w:pStyle w:val="TableParagraph"/>
              <w:spacing w:before="56"/>
              <w:ind w:left="1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54" w:type="dxa"/>
          </w:tcPr>
          <w:p>
            <w:pPr>
              <w:pStyle w:val="TableParagraph"/>
              <w:spacing w:before="56"/>
              <w:ind w:left="137"/>
              <w:rPr>
                <w:sz w:val="24"/>
              </w:rPr>
            </w:pPr>
            <w:r>
              <w:rPr>
                <w:sz w:val="24"/>
              </w:rPr>
              <w:t>127.48</w:t>
            </w:r>
          </w:p>
        </w:tc>
        <w:tc>
          <w:tcPr>
            <w:tcW w:w="1827" w:type="dxa"/>
          </w:tcPr>
          <w:p>
            <w:pPr>
              <w:pStyle w:val="TableParagraph"/>
              <w:spacing w:line="274" w:lineRule="exact" w:before="44"/>
              <w:ind w:left="163" w:right="472"/>
              <w:rPr>
                <w:sz w:val="24"/>
              </w:rPr>
            </w:pPr>
            <w:r>
              <w:rPr>
                <w:sz w:val="24"/>
              </w:rPr>
              <w:t>7.03(d,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J=16Hz,1H)</w:t>
            </w:r>
          </w:p>
        </w:tc>
        <w:tc>
          <w:tcPr>
            <w:tcW w:w="1065" w:type="dxa"/>
          </w:tcPr>
          <w:p>
            <w:pPr>
              <w:pStyle w:val="TableParagraph"/>
              <w:spacing w:before="56"/>
              <w:ind w:left="151"/>
              <w:rPr>
                <w:sz w:val="24"/>
              </w:rPr>
            </w:pPr>
            <w:r>
              <w:rPr>
                <w:sz w:val="24"/>
              </w:rPr>
              <w:t>125.87</w:t>
            </w:r>
          </w:p>
        </w:tc>
        <w:tc>
          <w:tcPr>
            <w:tcW w:w="1742" w:type="dxa"/>
          </w:tcPr>
          <w:p>
            <w:pPr>
              <w:pStyle w:val="TableParagraph"/>
              <w:spacing w:line="274" w:lineRule="exact" w:before="44"/>
              <w:ind w:left="157" w:right="393"/>
              <w:rPr>
                <w:sz w:val="24"/>
              </w:rPr>
            </w:pPr>
            <w:r>
              <w:rPr>
                <w:sz w:val="24"/>
              </w:rPr>
              <w:t>7.78(d,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J=16Hz,1H)</w:t>
            </w:r>
          </w:p>
        </w:tc>
        <w:tc>
          <w:tcPr>
            <w:tcW w:w="1128" w:type="dxa"/>
          </w:tcPr>
          <w:p>
            <w:pPr>
              <w:pStyle w:val="TableParagraph"/>
              <w:spacing w:before="56"/>
              <w:ind w:left="125"/>
              <w:rPr>
                <w:sz w:val="24"/>
              </w:rPr>
            </w:pPr>
            <w:r>
              <w:rPr>
                <w:sz w:val="24"/>
              </w:rPr>
              <w:t>123.60</w:t>
            </w:r>
          </w:p>
        </w:tc>
        <w:tc>
          <w:tcPr>
            <w:tcW w:w="1080" w:type="dxa"/>
          </w:tcPr>
          <w:p>
            <w:pPr>
              <w:pStyle w:val="TableParagraph"/>
              <w:spacing w:before="56"/>
              <w:ind w:left="245"/>
              <w:rPr>
                <w:sz w:val="24"/>
              </w:rPr>
            </w:pPr>
            <w:r>
              <w:rPr>
                <w:sz w:val="24"/>
              </w:rPr>
              <w:t>7.52</w:t>
            </w:r>
          </w:p>
        </w:tc>
      </w:tr>
      <w:tr>
        <w:trPr>
          <w:trHeight w:val="550" w:hRule="atLeast"/>
        </w:trPr>
        <w:tc>
          <w:tcPr>
            <w:tcW w:w="1082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54" w:type="dxa"/>
          </w:tcPr>
          <w:p>
            <w:pPr>
              <w:pStyle w:val="TableParagraph"/>
              <w:spacing w:line="272" w:lineRule="exact"/>
              <w:ind w:left="137"/>
              <w:rPr>
                <w:sz w:val="24"/>
              </w:rPr>
            </w:pPr>
            <w:r>
              <w:rPr>
                <w:sz w:val="24"/>
              </w:rPr>
              <w:t>142.07</w:t>
            </w:r>
          </w:p>
        </w:tc>
        <w:tc>
          <w:tcPr>
            <w:tcW w:w="1827" w:type="dxa"/>
          </w:tcPr>
          <w:p>
            <w:pPr>
              <w:pStyle w:val="TableParagraph"/>
              <w:spacing w:line="274" w:lineRule="exact"/>
              <w:ind w:left="163" w:right="282"/>
              <w:rPr>
                <w:sz w:val="24"/>
              </w:rPr>
            </w:pPr>
            <w:r>
              <w:rPr>
                <w:sz w:val="24"/>
              </w:rPr>
              <w:t>7.19(d,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J=15.8Hz,1H)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sz w:val="24"/>
              </w:rPr>
              <w:t>142.98</w:t>
            </w:r>
          </w:p>
        </w:tc>
        <w:tc>
          <w:tcPr>
            <w:tcW w:w="1742" w:type="dxa"/>
          </w:tcPr>
          <w:p>
            <w:pPr>
              <w:pStyle w:val="TableParagraph"/>
              <w:spacing w:line="274" w:lineRule="exact"/>
              <w:ind w:left="157" w:right="203"/>
              <w:rPr>
                <w:sz w:val="24"/>
              </w:rPr>
            </w:pPr>
            <w:r>
              <w:rPr>
                <w:sz w:val="24"/>
              </w:rPr>
              <w:t>7.79(d,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J=15.0Hz,1H)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2" w:lineRule="exact"/>
              <w:ind w:left="125"/>
              <w:rPr>
                <w:sz w:val="24"/>
              </w:rPr>
            </w:pPr>
            <w:r>
              <w:rPr>
                <w:sz w:val="24"/>
              </w:rPr>
              <w:t>146.71</w:t>
            </w:r>
          </w:p>
        </w:tc>
        <w:tc>
          <w:tcPr>
            <w:tcW w:w="1080" w:type="dxa"/>
          </w:tcPr>
          <w:p>
            <w:pPr>
              <w:pStyle w:val="TableParagraph"/>
              <w:spacing w:line="272" w:lineRule="exact"/>
              <w:ind w:left="245"/>
              <w:rPr>
                <w:sz w:val="24"/>
              </w:rPr>
            </w:pPr>
            <w:r>
              <w:rPr>
                <w:sz w:val="24"/>
              </w:rPr>
              <w:t>8.04</w:t>
            </w:r>
          </w:p>
        </w:tc>
      </w:tr>
      <w:tr>
        <w:trPr>
          <w:trHeight w:val="275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1‘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122.25</w:t>
            </w:r>
          </w:p>
        </w:tc>
        <w:tc>
          <w:tcPr>
            <w:tcW w:w="1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135.10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sz w:val="24"/>
              </w:rPr>
              <w:t>136.58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160.80</w:t>
            </w:r>
          </w:p>
        </w:tc>
        <w:tc>
          <w:tcPr>
            <w:tcW w:w="1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153.77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sz w:val="24"/>
              </w:rPr>
              <w:t>137.68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2" w:hRule="atLeast"/>
        </w:trPr>
        <w:tc>
          <w:tcPr>
            <w:tcW w:w="1082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</w:t>
            </w:r>
          </w:p>
        </w:tc>
        <w:tc>
          <w:tcPr>
            <w:tcW w:w="1054" w:type="dxa"/>
          </w:tcPr>
          <w:p>
            <w:pPr>
              <w:pStyle w:val="TableParagraph"/>
              <w:spacing w:line="270" w:lineRule="exact"/>
              <w:ind w:left="137"/>
              <w:rPr>
                <w:sz w:val="24"/>
              </w:rPr>
            </w:pPr>
            <w:r>
              <w:rPr>
                <w:sz w:val="24"/>
              </w:rPr>
              <w:t>98.78</w:t>
            </w:r>
          </w:p>
        </w:tc>
        <w:tc>
          <w:tcPr>
            <w:tcW w:w="1827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sz w:val="24"/>
              </w:rPr>
              <w:t>5.96(d,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J=2.0Hz,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0" w:lineRule="exact"/>
              <w:ind w:left="151"/>
              <w:rPr>
                <w:sz w:val="24"/>
              </w:rPr>
            </w:pPr>
            <w:r>
              <w:rPr>
                <w:sz w:val="24"/>
              </w:rPr>
              <w:t>142.07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28" w:type="dxa"/>
          </w:tcPr>
          <w:p>
            <w:pPr>
              <w:pStyle w:val="TableParagraph"/>
              <w:spacing w:line="270" w:lineRule="exact"/>
              <w:ind w:left="125"/>
              <w:rPr>
                <w:sz w:val="24"/>
              </w:rPr>
            </w:pPr>
            <w:r>
              <w:rPr>
                <w:sz w:val="24"/>
              </w:rPr>
              <w:t>130.10</w:t>
            </w:r>
          </w:p>
        </w:tc>
        <w:tc>
          <w:tcPr>
            <w:tcW w:w="1080" w:type="dxa"/>
          </w:tcPr>
          <w:p>
            <w:pPr>
              <w:pStyle w:val="TableParagraph"/>
              <w:spacing w:line="270" w:lineRule="exact"/>
              <w:ind w:left="245"/>
              <w:rPr>
                <w:sz w:val="24"/>
              </w:rPr>
            </w:pPr>
            <w:r>
              <w:rPr>
                <w:sz w:val="24"/>
              </w:rPr>
              <w:t>7.93</w:t>
            </w:r>
          </w:p>
        </w:tc>
      </w:tr>
      <w:tr>
        <w:trPr>
          <w:trHeight w:val="276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164.62</w:t>
            </w:r>
          </w:p>
        </w:tc>
        <w:tc>
          <w:tcPr>
            <w:tcW w:w="1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157.05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sz w:val="24"/>
              </w:rPr>
              <w:t>132.23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28" w:hRule="atLeast"/>
        </w:trPr>
        <w:tc>
          <w:tcPr>
            <w:tcW w:w="1082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5‘</w:t>
            </w:r>
          </w:p>
        </w:tc>
        <w:tc>
          <w:tcPr>
            <w:tcW w:w="1054" w:type="dxa"/>
          </w:tcPr>
          <w:p>
            <w:pPr>
              <w:pStyle w:val="TableParagraph"/>
              <w:spacing w:line="272" w:lineRule="exact"/>
              <w:ind w:left="137"/>
              <w:rPr>
                <w:sz w:val="24"/>
              </w:rPr>
            </w:pPr>
            <w:r>
              <w:rPr>
                <w:sz w:val="24"/>
              </w:rPr>
              <w:t>105.66</w:t>
            </w:r>
          </w:p>
        </w:tc>
        <w:tc>
          <w:tcPr>
            <w:tcW w:w="1827" w:type="dxa"/>
          </w:tcPr>
          <w:p>
            <w:pPr>
              <w:pStyle w:val="TableParagraph"/>
              <w:spacing w:line="237" w:lineRule="auto"/>
              <w:ind w:left="163" w:right="142"/>
              <w:rPr>
                <w:sz w:val="24"/>
              </w:rPr>
            </w:pPr>
            <w:r>
              <w:rPr>
                <w:sz w:val="24"/>
              </w:rPr>
              <w:t>6.03(dd,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J=8.5Hz;2.2Hz,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sz w:val="24"/>
              </w:rPr>
              <w:t>107.29</w:t>
            </w:r>
          </w:p>
        </w:tc>
        <w:tc>
          <w:tcPr>
            <w:tcW w:w="1742" w:type="dxa"/>
          </w:tcPr>
          <w:p>
            <w:pPr>
              <w:pStyle w:val="TableParagraph"/>
              <w:spacing w:line="237" w:lineRule="auto"/>
              <w:ind w:left="157" w:right="323"/>
              <w:rPr>
                <w:sz w:val="24"/>
              </w:rPr>
            </w:pPr>
            <w:r>
              <w:rPr>
                <w:sz w:val="24"/>
              </w:rPr>
              <w:t>6.89(d,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J=8.2Hz,1H)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2" w:lineRule="exact"/>
              <w:ind w:left="125"/>
              <w:rPr>
                <w:sz w:val="24"/>
              </w:rPr>
            </w:pPr>
            <w:r>
              <w:rPr>
                <w:sz w:val="24"/>
              </w:rPr>
              <w:t>127.23</w:t>
            </w:r>
          </w:p>
        </w:tc>
        <w:tc>
          <w:tcPr>
            <w:tcW w:w="1080" w:type="dxa"/>
          </w:tcPr>
          <w:p>
            <w:pPr>
              <w:pStyle w:val="TableParagraph"/>
              <w:spacing w:line="272" w:lineRule="exact"/>
              <w:ind w:left="245"/>
              <w:rPr>
                <w:sz w:val="24"/>
              </w:rPr>
            </w:pPr>
            <w:r>
              <w:rPr>
                <w:sz w:val="24"/>
              </w:rPr>
              <w:t>7.48</w:t>
            </w:r>
          </w:p>
        </w:tc>
      </w:tr>
      <w:tr>
        <w:trPr>
          <w:trHeight w:val="551" w:hRule="atLeast"/>
        </w:trPr>
        <w:tc>
          <w:tcPr>
            <w:tcW w:w="1082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sz w:val="24"/>
              </w:rPr>
              <w:t>6‘</w:t>
            </w:r>
          </w:p>
        </w:tc>
        <w:tc>
          <w:tcPr>
            <w:tcW w:w="1054" w:type="dxa"/>
          </w:tcPr>
          <w:p>
            <w:pPr>
              <w:pStyle w:val="TableParagraph"/>
              <w:spacing w:line="270" w:lineRule="exact"/>
              <w:ind w:left="137"/>
              <w:rPr>
                <w:sz w:val="24"/>
              </w:rPr>
            </w:pPr>
            <w:r>
              <w:rPr>
                <w:sz w:val="24"/>
              </w:rPr>
              <w:t>133.19</w:t>
            </w:r>
          </w:p>
        </w:tc>
        <w:tc>
          <w:tcPr>
            <w:tcW w:w="1827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sz w:val="24"/>
              </w:rPr>
              <w:t>7.29(d,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J=8.4Hz,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0" w:lineRule="exact"/>
              <w:ind w:left="151"/>
              <w:rPr>
                <w:sz w:val="24"/>
              </w:rPr>
            </w:pPr>
            <w:r>
              <w:rPr>
                <w:sz w:val="24"/>
              </w:rPr>
              <w:t>126.48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57"/>
              <w:rPr>
                <w:sz w:val="24"/>
              </w:rPr>
            </w:pPr>
            <w:r>
              <w:rPr>
                <w:sz w:val="24"/>
              </w:rPr>
              <w:t>7.82(d,</w:t>
            </w:r>
          </w:p>
          <w:p>
            <w:pPr>
              <w:pStyle w:val="TableParagraph"/>
              <w:spacing w:line="260" w:lineRule="exact" w:before="2"/>
              <w:ind w:left="157"/>
              <w:rPr>
                <w:sz w:val="24"/>
              </w:rPr>
            </w:pPr>
            <w:r>
              <w:rPr>
                <w:sz w:val="24"/>
              </w:rPr>
              <w:t>J=8.4Hz,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0" w:lineRule="exact"/>
              <w:ind w:left="125"/>
              <w:rPr>
                <w:sz w:val="24"/>
              </w:rPr>
            </w:pPr>
            <w:r>
              <w:rPr>
                <w:sz w:val="24"/>
              </w:rPr>
              <w:t>130.86</w:t>
            </w:r>
          </w:p>
        </w:tc>
        <w:tc>
          <w:tcPr>
            <w:tcW w:w="1080" w:type="dxa"/>
          </w:tcPr>
          <w:p>
            <w:pPr>
              <w:pStyle w:val="TableParagraph"/>
              <w:spacing w:line="270" w:lineRule="exact"/>
              <w:ind w:left="245"/>
              <w:rPr>
                <w:sz w:val="24"/>
              </w:rPr>
            </w:pPr>
            <w:r>
              <w:rPr>
                <w:sz w:val="24"/>
              </w:rPr>
              <w:t>7.98</w:t>
            </w:r>
          </w:p>
        </w:tc>
      </w:tr>
      <w:tr>
        <w:trPr>
          <w:trHeight w:val="276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1‖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135.70</w:t>
            </w:r>
          </w:p>
        </w:tc>
        <w:tc>
          <w:tcPr>
            <w:tcW w:w="18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126.68</w:t>
            </w:r>
          </w:p>
        </w:tc>
        <w:tc>
          <w:tcPr>
            <w:tcW w:w="1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sz w:val="24"/>
              </w:rPr>
              <w:t>126.85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28" w:hRule="atLeast"/>
        </w:trPr>
        <w:tc>
          <w:tcPr>
            <w:tcW w:w="1082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2‖</w:t>
            </w:r>
          </w:p>
        </w:tc>
        <w:tc>
          <w:tcPr>
            <w:tcW w:w="1054" w:type="dxa"/>
          </w:tcPr>
          <w:p>
            <w:pPr>
              <w:pStyle w:val="TableParagraph"/>
              <w:spacing w:line="272" w:lineRule="exact"/>
              <w:ind w:left="137"/>
              <w:rPr>
                <w:sz w:val="24"/>
              </w:rPr>
            </w:pPr>
            <w:r>
              <w:rPr>
                <w:sz w:val="24"/>
              </w:rPr>
              <w:t>129.19</w:t>
            </w:r>
          </w:p>
        </w:tc>
        <w:tc>
          <w:tcPr>
            <w:tcW w:w="1827" w:type="dxa"/>
          </w:tcPr>
          <w:p>
            <w:pPr>
              <w:pStyle w:val="TableParagraph"/>
              <w:spacing w:line="237" w:lineRule="auto"/>
              <w:ind w:left="163" w:right="142"/>
              <w:rPr>
                <w:sz w:val="24"/>
              </w:rPr>
            </w:pPr>
            <w:r>
              <w:rPr>
                <w:sz w:val="24"/>
              </w:rPr>
              <w:t>7.08(dd,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J=8.5Hz;2.2Hz,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sz w:val="24"/>
              </w:rPr>
              <w:t>128.37</w:t>
            </w:r>
          </w:p>
        </w:tc>
        <w:tc>
          <w:tcPr>
            <w:tcW w:w="1742" w:type="dxa"/>
          </w:tcPr>
          <w:p>
            <w:pPr>
              <w:pStyle w:val="TableParagraph"/>
              <w:spacing w:line="237" w:lineRule="auto"/>
              <w:ind w:left="157" w:right="109"/>
              <w:rPr>
                <w:sz w:val="24"/>
              </w:rPr>
            </w:pPr>
            <w:r>
              <w:rPr>
                <w:sz w:val="24"/>
              </w:rPr>
              <w:t>7.64(dd,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J=11.4Hz;5.6H</w:t>
            </w:r>
          </w:p>
          <w:p>
            <w:pPr>
              <w:pStyle w:val="TableParagraph"/>
              <w:spacing w:line="260" w:lineRule="exact" w:before="2"/>
              <w:ind w:left="157"/>
              <w:rPr>
                <w:sz w:val="24"/>
              </w:rPr>
            </w:pPr>
            <w:r>
              <w:rPr>
                <w:sz w:val="24"/>
              </w:rPr>
              <w:t>z,1H)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2" w:lineRule="exact"/>
              <w:ind w:left="125"/>
              <w:rPr>
                <w:sz w:val="24"/>
              </w:rPr>
            </w:pPr>
            <w:r>
              <w:rPr>
                <w:sz w:val="24"/>
              </w:rPr>
              <w:t>130.55</w:t>
            </w:r>
          </w:p>
        </w:tc>
        <w:tc>
          <w:tcPr>
            <w:tcW w:w="1080" w:type="dxa"/>
          </w:tcPr>
          <w:p>
            <w:pPr>
              <w:pStyle w:val="TableParagraph"/>
              <w:spacing w:line="272" w:lineRule="exact"/>
              <w:ind w:left="245"/>
              <w:rPr>
                <w:sz w:val="24"/>
              </w:rPr>
            </w:pPr>
            <w:r>
              <w:rPr>
                <w:sz w:val="24"/>
              </w:rPr>
              <w:t>7.86</w:t>
            </w:r>
          </w:p>
        </w:tc>
      </w:tr>
      <w:tr>
        <w:trPr>
          <w:trHeight w:val="552" w:hRule="atLeast"/>
        </w:trPr>
        <w:tc>
          <w:tcPr>
            <w:tcW w:w="1082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3‖</w:t>
            </w:r>
          </w:p>
        </w:tc>
        <w:tc>
          <w:tcPr>
            <w:tcW w:w="1054" w:type="dxa"/>
          </w:tcPr>
          <w:p>
            <w:pPr>
              <w:pStyle w:val="TableParagraph"/>
              <w:spacing w:line="270" w:lineRule="exact"/>
              <w:ind w:left="137"/>
              <w:rPr>
                <w:sz w:val="24"/>
              </w:rPr>
            </w:pPr>
            <w:r>
              <w:rPr>
                <w:sz w:val="24"/>
              </w:rPr>
              <w:t>128.61</w:t>
            </w:r>
          </w:p>
        </w:tc>
        <w:tc>
          <w:tcPr>
            <w:tcW w:w="1827" w:type="dxa"/>
          </w:tcPr>
          <w:p>
            <w:pPr>
              <w:pStyle w:val="TableParagraph"/>
              <w:spacing w:line="270" w:lineRule="exact"/>
              <w:ind w:left="163"/>
              <w:rPr>
                <w:sz w:val="24"/>
              </w:rPr>
            </w:pPr>
            <w:r>
              <w:rPr>
                <w:sz w:val="24"/>
              </w:rPr>
              <w:t>6.86(d,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J=8.0Hz,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0" w:lineRule="exact"/>
              <w:ind w:left="151"/>
              <w:rPr>
                <w:sz w:val="24"/>
              </w:rPr>
            </w:pPr>
            <w:r>
              <w:rPr>
                <w:sz w:val="24"/>
              </w:rPr>
              <w:t>128.89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57"/>
              <w:rPr>
                <w:sz w:val="24"/>
              </w:rPr>
            </w:pPr>
            <w:r>
              <w:rPr>
                <w:sz w:val="24"/>
              </w:rPr>
              <w:t>7.62(d,</w:t>
            </w:r>
          </w:p>
          <w:p>
            <w:pPr>
              <w:pStyle w:val="TableParagraph"/>
              <w:spacing w:line="260" w:lineRule="exact" w:before="2"/>
              <w:ind w:left="157"/>
              <w:rPr>
                <w:sz w:val="24"/>
              </w:rPr>
            </w:pPr>
            <w:r>
              <w:rPr>
                <w:sz w:val="24"/>
              </w:rPr>
              <w:t>J=11.4Hz,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0" w:lineRule="exact"/>
              <w:ind w:left="125"/>
              <w:rPr>
                <w:sz w:val="24"/>
              </w:rPr>
            </w:pPr>
            <w:r>
              <w:rPr>
                <w:sz w:val="24"/>
              </w:rPr>
              <w:t>114.83</w:t>
            </w:r>
          </w:p>
        </w:tc>
        <w:tc>
          <w:tcPr>
            <w:tcW w:w="1080" w:type="dxa"/>
          </w:tcPr>
          <w:p>
            <w:pPr>
              <w:pStyle w:val="TableParagraph"/>
              <w:spacing w:line="270" w:lineRule="exact"/>
              <w:ind w:left="245"/>
              <w:rPr>
                <w:sz w:val="24"/>
              </w:rPr>
            </w:pPr>
            <w:r>
              <w:rPr>
                <w:sz w:val="24"/>
              </w:rPr>
              <w:t>7.44</w:t>
            </w:r>
          </w:p>
        </w:tc>
      </w:tr>
      <w:tr>
        <w:trPr>
          <w:trHeight w:val="828" w:hRule="atLeast"/>
        </w:trPr>
        <w:tc>
          <w:tcPr>
            <w:tcW w:w="1082" w:type="dxa"/>
          </w:tcPr>
          <w:p>
            <w:pPr>
              <w:pStyle w:val="TableParagraph"/>
              <w:spacing w:line="270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4‖</w:t>
            </w:r>
          </w:p>
        </w:tc>
        <w:tc>
          <w:tcPr>
            <w:tcW w:w="1054" w:type="dxa"/>
          </w:tcPr>
          <w:p>
            <w:pPr>
              <w:pStyle w:val="TableParagraph"/>
              <w:spacing w:line="270" w:lineRule="exact"/>
              <w:ind w:left="137"/>
              <w:rPr>
                <w:sz w:val="24"/>
              </w:rPr>
            </w:pPr>
            <w:r>
              <w:rPr>
                <w:sz w:val="24"/>
              </w:rPr>
              <w:t>130.33</w:t>
            </w:r>
          </w:p>
        </w:tc>
        <w:tc>
          <w:tcPr>
            <w:tcW w:w="1827" w:type="dxa"/>
          </w:tcPr>
          <w:p>
            <w:pPr>
              <w:pStyle w:val="TableParagraph"/>
              <w:spacing w:line="242" w:lineRule="auto"/>
              <w:ind w:left="163" w:right="353"/>
              <w:rPr>
                <w:sz w:val="24"/>
              </w:rPr>
            </w:pPr>
            <w:r>
              <w:rPr>
                <w:sz w:val="24"/>
              </w:rPr>
              <w:t>6.86(d,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J=8.0Hz,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0" w:lineRule="exact"/>
              <w:ind w:left="151"/>
              <w:rPr>
                <w:sz w:val="24"/>
              </w:rPr>
            </w:pPr>
            <w:r>
              <w:rPr>
                <w:sz w:val="24"/>
              </w:rPr>
              <w:t>130.23</w:t>
            </w:r>
          </w:p>
        </w:tc>
        <w:tc>
          <w:tcPr>
            <w:tcW w:w="1742" w:type="dxa"/>
          </w:tcPr>
          <w:p>
            <w:pPr>
              <w:pStyle w:val="TableParagraph"/>
              <w:spacing w:line="270" w:lineRule="exact"/>
              <w:ind w:left="157"/>
              <w:rPr>
                <w:sz w:val="24"/>
              </w:rPr>
            </w:pPr>
            <w:r>
              <w:rPr>
                <w:sz w:val="24"/>
              </w:rPr>
              <w:t>7.51(dd,</w:t>
            </w:r>
          </w:p>
          <w:p>
            <w:pPr>
              <w:pStyle w:val="TableParagraph"/>
              <w:spacing w:line="274" w:lineRule="exact"/>
              <w:ind w:left="157" w:right="109"/>
              <w:rPr>
                <w:sz w:val="24"/>
              </w:rPr>
            </w:pPr>
            <w:r>
              <w:rPr>
                <w:spacing w:val="-1"/>
                <w:sz w:val="24"/>
              </w:rPr>
              <w:t>J=11.4Hz;1.3H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z,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0" w:lineRule="exact"/>
              <w:ind w:left="125"/>
              <w:rPr>
                <w:sz w:val="24"/>
              </w:rPr>
            </w:pPr>
            <w:r>
              <w:rPr>
                <w:sz w:val="24"/>
              </w:rPr>
              <w:t>162.10</w:t>
            </w:r>
          </w:p>
        </w:tc>
        <w:tc>
          <w:tcPr>
            <w:tcW w:w="108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52" w:hRule="atLeast"/>
        </w:trPr>
        <w:tc>
          <w:tcPr>
            <w:tcW w:w="1082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5‖</w:t>
            </w:r>
          </w:p>
        </w:tc>
        <w:tc>
          <w:tcPr>
            <w:tcW w:w="1054" w:type="dxa"/>
          </w:tcPr>
          <w:p>
            <w:pPr>
              <w:pStyle w:val="TableParagraph"/>
              <w:spacing w:line="272" w:lineRule="exact"/>
              <w:ind w:left="137"/>
              <w:rPr>
                <w:sz w:val="24"/>
              </w:rPr>
            </w:pPr>
            <w:r>
              <w:rPr>
                <w:sz w:val="24"/>
              </w:rPr>
              <w:t>128.03</w:t>
            </w:r>
          </w:p>
        </w:tc>
        <w:tc>
          <w:tcPr>
            <w:tcW w:w="1827" w:type="dxa"/>
          </w:tcPr>
          <w:p>
            <w:pPr>
              <w:pStyle w:val="TableParagraph"/>
              <w:spacing w:line="274" w:lineRule="exact"/>
              <w:ind w:left="163" w:right="353"/>
              <w:rPr>
                <w:sz w:val="24"/>
              </w:rPr>
            </w:pPr>
            <w:r>
              <w:rPr>
                <w:sz w:val="24"/>
              </w:rPr>
              <w:t>6.86(d,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J=8.0Hz,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sz w:val="24"/>
              </w:rPr>
              <w:t>128.89</w:t>
            </w:r>
          </w:p>
        </w:tc>
        <w:tc>
          <w:tcPr>
            <w:tcW w:w="1742" w:type="dxa"/>
          </w:tcPr>
          <w:p>
            <w:pPr>
              <w:pStyle w:val="TableParagraph"/>
              <w:spacing w:line="274" w:lineRule="exact"/>
              <w:ind w:left="157" w:right="164"/>
              <w:rPr>
                <w:sz w:val="24"/>
              </w:rPr>
            </w:pPr>
            <w:r>
              <w:rPr>
                <w:sz w:val="24"/>
              </w:rPr>
              <w:t>7.62(d,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J=11.4Hz,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2" w:lineRule="exact"/>
              <w:ind w:left="125"/>
              <w:rPr>
                <w:sz w:val="24"/>
              </w:rPr>
            </w:pPr>
            <w:r>
              <w:rPr>
                <w:sz w:val="24"/>
              </w:rPr>
              <w:t>114.52</w:t>
            </w:r>
          </w:p>
        </w:tc>
        <w:tc>
          <w:tcPr>
            <w:tcW w:w="1080" w:type="dxa"/>
          </w:tcPr>
          <w:p>
            <w:pPr>
              <w:pStyle w:val="TableParagraph"/>
              <w:spacing w:line="272" w:lineRule="exact"/>
              <w:ind w:left="245"/>
              <w:rPr>
                <w:sz w:val="24"/>
              </w:rPr>
            </w:pPr>
            <w:r>
              <w:rPr>
                <w:sz w:val="24"/>
              </w:rPr>
              <w:t>7.44</w:t>
            </w:r>
          </w:p>
        </w:tc>
      </w:tr>
      <w:tr>
        <w:trPr>
          <w:trHeight w:val="828" w:hRule="atLeast"/>
        </w:trPr>
        <w:tc>
          <w:tcPr>
            <w:tcW w:w="1082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6‖</w:t>
            </w:r>
          </w:p>
        </w:tc>
        <w:tc>
          <w:tcPr>
            <w:tcW w:w="1054" w:type="dxa"/>
          </w:tcPr>
          <w:p>
            <w:pPr>
              <w:pStyle w:val="TableParagraph"/>
              <w:spacing w:line="272" w:lineRule="exact"/>
              <w:ind w:left="137"/>
              <w:rPr>
                <w:sz w:val="24"/>
              </w:rPr>
            </w:pPr>
            <w:r>
              <w:rPr>
                <w:sz w:val="24"/>
              </w:rPr>
              <w:t>128.87</w:t>
            </w:r>
          </w:p>
        </w:tc>
        <w:tc>
          <w:tcPr>
            <w:tcW w:w="1827" w:type="dxa"/>
          </w:tcPr>
          <w:p>
            <w:pPr>
              <w:pStyle w:val="TableParagraph"/>
              <w:spacing w:line="237" w:lineRule="auto"/>
              <w:ind w:left="163" w:right="142"/>
              <w:rPr>
                <w:sz w:val="24"/>
              </w:rPr>
            </w:pPr>
            <w:r>
              <w:rPr>
                <w:sz w:val="24"/>
              </w:rPr>
              <w:t>7.08(dd,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J=8.5Hz;2.2Hz,</w:t>
            </w:r>
          </w:p>
          <w:p>
            <w:pPr>
              <w:pStyle w:val="TableParagraph"/>
              <w:spacing w:line="260" w:lineRule="exact" w:before="2"/>
              <w:ind w:left="163"/>
              <w:rPr>
                <w:sz w:val="24"/>
              </w:rPr>
            </w:pPr>
            <w:r>
              <w:rPr>
                <w:sz w:val="24"/>
              </w:rPr>
              <w:t>1H)</w:t>
            </w:r>
          </w:p>
        </w:tc>
        <w:tc>
          <w:tcPr>
            <w:tcW w:w="1065" w:type="dxa"/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sz w:val="24"/>
              </w:rPr>
              <w:t>128.37</w:t>
            </w:r>
          </w:p>
        </w:tc>
        <w:tc>
          <w:tcPr>
            <w:tcW w:w="1742" w:type="dxa"/>
          </w:tcPr>
          <w:p>
            <w:pPr>
              <w:pStyle w:val="TableParagraph"/>
              <w:spacing w:line="237" w:lineRule="auto"/>
              <w:ind w:left="157" w:right="109"/>
              <w:rPr>
                <w:sz w:val="24"/>
              </w:rPr>
            </w:pPr>
            <w:r>
              <w:rPr>
                <w:sz w:val="24"/>
              </w:rPr>
              <w:t>7.64(dd,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J=11.4Hz;5.6H</w:t>
            </w:r>
          </w:p>
          <w:p>
            <w:pPr>
              <w:pStyle w:val="TableParagraph"/>
              <w:spacing w:line="260" w:lineRule="exact" w:before="2"/>
              <w:ind w:left="157"/>
              <w:rPr>
                <w:sz w:val="24"/>
              </w:rPr>
            </w:pPr>
            <w:r>
              <w:rPr>
                <w:sz w:val="24"/>
              </w:rPr>
              <w:t>z,1H)</w:t>
            </w:r>
          </w:p>
        </w:tc>
        <w:tc>
          <w:tcPr>
            <w:tcW w:w="1128" w:type="dxa"/>
          </w:tcPr>
          <w:p>
            <w:pPr>
              <w:pStyle w:val="TableParagraph"/>
              <w:spacing w:line="272" w:lineRule="exact"/>
              <w:ind w:left="125"/>
              <w:rPr>
                <w:sz w:val="24"/>
              </w:rPr>
            </w:pPr>
            <w:r>
              <w:rPr>
                <w:sz w:val="24"/>
              </w:rPr>
              <w:t>130.34</w:t>
            </w:r>
          </w:p>
        </w:tc>
        <w:tc>
          <w:tcPr>
            <w:tcW w:w="1080" w:type="dxa"/>
          </w:tcPr>
          <w:p>
            <w:pPr>
              <w:pStyle w:val="TableParagraph"/>
              <w:spacing w:line="272" w:lineRule="exact"/>
              <w:ind w:left="245"/>
              <w:rPr>
                <w:sz w:val="24"/>
              </w:rPr>
            </w:pPr>
            <w:r>
              <w:rPr>
                <w:sz w:val="24"/>
              </w:rPr>
              <w:t>7.86</w:t>
            </w:r>
          </w:p>
        </w:tc>
      </w:tr>
      <w:tr>
        <w:trPr>
          <w:trHeight w:val="275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2‘m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55.97</w:t>
            </w:r>
          </w:p>
        </w:tc>
        <w:tc>
          <w:tcPr>
            <w:tcW w:w="1827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sz w:val="24"/>
              </w:rPr>
              <w:t>3.32(3H)</w:t>
            </w: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62.12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57"/>
              <w:rPr>
                <w:sz w:val="24"/>
              </w:rPr>
            </w:pPr>
            <w:r>
              <w:rPr>
                <w:sz w:val="24"/>
              </w:rPr>
              <w:t>4.04 (3H)</w:t>
            </w: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0" w:type="dxa"/>
          </w:tcPr>
          <w:p>
            <w:pPr>
              <w:pStyle w:val="TableParagraph"/>
              <w:spacing w:line="256" w:lineRule="exact"/>
              <w:ind w:left="2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5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3‘m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7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61.07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57"/>
              <w:rPr>
                <w:sz w:val="24"/>
              </w:rPr>
            </w:pPr>
            <w:r>
              <w:rPr>
                <w:sz w:val="24"/>
              </w:rPr>
              <w:t>4.04 (3H)</w:t>
            </w: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0" w:type="dxa"/>
          </w:tcPr>
          <w:p>
            <w:pPr>
              <w:pStyle w:val="TableParagraph"/>
              <w:spacing w:line="256" w:lineRule="exact"/>
              <w:ind w:left="2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082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4‘m</w:t>
            </w:r>
          </w:p>
        </w:tc>
        <w:tc>
          <w:tcPr>
            <w:tcW w:w="1054" w:type="dxa"/>
          </w:tcPr>
          <w:p>
            <w:pPr>
              <w:pStyle w:val="TableParagraph"/>
              <w:spacing w:line="256" w:lineRule="exact"/>
              <w:ind w:left="137"/>
              <w:rPr>
                <w:sz w:val="24"/>
              </w:rPr>
            </w:pPr>
            <w:r>
              <w:rPr>
                <w:sz w:val="24"/>
              </w:rPr>
              <w:t>55.79</w:t>
            </w:r>
          </w:p>
        </w:tc>
        <w:tc>
          <w:tcPr>
            <w:tcW w:w="1827" w:type="dxa"/>
          </w:tcPr>
          <w:p>
            <w:pPr>
              <w:pStyle w:val="TableParagraph"/>
              <w:spacing w:line="256" w:lineRule="exact"/>
              <w:ind w:left="163"/>
              <w:rPr>
                <w:sz w:val="24"/>
              </w:rPr>
            </w:pPr>
            <w:r>
              <w:rPr>
                <w:sz w:val="24"/>
              </w:rPr>
              <w:t>3.29(3H)</w:t>
            </w:r>
          </w:p>
        </w:tc>
        <w:tc>
          <w:tcPr>
            <w:tcW w:w="1065" w:type="dxa"/>
          </w:tcPr>
          <w:p>
            <w:pPr>
              <w:pStyle w:val="TableParagraph"/>
              <w:spacing w:line="256" w:lineRule="exact"/>
              <w:ind w:left="151"/>
              <w:rPr>
                <w:sz w:val="24"/>
              </w:rPr>
            </w:pPr>
            <w:r>
              <w:rPr>
                <w:sz w:val="24"/>
              </w:rPr>
              <w:t>56.11</w:t>
            </w:r>
          </w:p>
        </w:tc>
        <w:tc>
          <w:tcPr>
            <w:tcW w:w="1742" w:type="dxa"/>
          </w:tcPr>
          <w:p>
            <w:pPr>
              <w:pStyle w:val="TableParagraph"/>
              <w:spacing w:line="256" w:lineRule="exact"/>
              <w:ind w:left="157"/>
              <w:rPr>
                <w:sz w:val="24"/>
              </w:rPr>
            </w:pPr>
            <w:r>
              <w:rPr>
                <w:sz w:val="24"/>
              </w:rPr>
              <w:t>4.04 (3H)</w:t>
            </w:r>
          </w:p>
        </w:tc>
        <w:tc>
          <w:tcPr>
            <w:tcW w:w="1128" w:type="dxa"/>
          </w:tcPr>
          <w:p>
            <w:pPr>
              <w:pStyle w:val="TableParagraph"/>
              <w:spacing w:line="256" w:lineRule="exact"/>
              <w:ind w:left="1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80" w:type="dxa"/>
          </w:tcPr>
          <w:p>
            <w:pPr>
              <w:pStyle w:val="TableParagraph"/>
              <w:spacing w:line="256" w:lineRule="exact"/>
              <w:ind w:left="24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3" w:hRule="atLeast"/>
        </w:trPr>
        <w:tc>
          <w:tcPr>
            <w:tcW w:w="108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4‖m</w:t>
            </w:r>
          </w:p>
        </w:tc>
        <w:tc>
          <w:tcPr>
            <w:tcW w:w="105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2" w:lineRule="exact"/>
              <w:ind w:left="1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2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2" w:lineRule="exact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6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2" w:lineRule="exact"/>
              <w:ind w:left="15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2" w:lineRule="exact"/>
              <w:ind w:left="15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2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2" w:lineRule="exact"/>
              <w:ind w:left="125"/>
              <w:rPr>
                <w:sz w:val="24"/>
              </w:rPr>
            </w:pPr>
            <w:r>
              <w:rPr>
                <w:sz w:val="24"/>
              </w:rPr>
              <w:t>55.44</w:t>
            </w:r>
          </w:p>
        </w:tc>
        <w:tc>
          <w:tcPr>
            <w:tcW w:w="108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74" w:lineRule="exact"/>
              <w:ind w:left="245" w:right="361"/>
              <w:rPr>
                <w:sz w:val="24"/>
              </w:rPr>
            </w:pPr>
            <w:r>
              <w:rPr>
                <w:sz w:val="24"/>
              </w:rPr>
              <w:t>4.35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(3H)</w:t>
            </w:r>
          </w:p>
        </w:tc>
      </w:tr>
    </w:tbl>
    <w:p>
      <w:pPr>
        <w:spacing w:after="0" w:line="274" w:lineRule="exact"/>
        <w:rPr>
          <w:sz w:val="24"/>
        </w:rPr>
        <w:sectPr>
          <w:headerReference w:type="default" r:id="rId281"/>
          <w:footerReference w:type="default" r:id="rId282"/>
          <w:pgSz w:w="11910" w:h="16840"/>
          <w:pgMar w:header="0" w:footer="878" w:top="1160" w:bottom="1060" w:left="1560" w:right="600"/>
        </w:sectPr>
      </w:pPr>
    </w:p>
    <w:p>
      <w:pPr>
        <w:pStyle w:val="Heading1"/>
        <w:numPr>
          <w:ilvl w:val="2"/>
          <w:numId w:val="18"/>
        </w:numPr>
        <w:tabs>
          <w:tab w:pos="856" w:val="left" w:leader="none"/>
        </w:tabs>
        <w:spacing w:line="240" w:lineRule="auto" w:before="114" w:after="0"/>
        <w:ind w:left="855" w:right="0" w:hanging="544"/>
        <w:jc w:val="left"/>
      </w:pPr>
      <w:bookmarkStart w:name="_TOC_250033" w:id="60"/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-4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2"/>
          <w:vertAlign w:val="baseline"/>
        </w:rPr>
        <w:t> </w:t>
      </w:r>
      <w:r>
        <w:rPr>
          <w:vertAlign w:val="baseline"/>
        </w:rPr>
        <w:t>data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P21,</w:t>
      </w:r>
      <w:r>
        <w:rPr>
          <w:spacing w:val="1"/>
          <w:vertAlign w:val="baseline"/>
        </w:rPr>
        <w:t> </w:t>
      </w:r>
      <w:bookmarkEnd w:id="60"/>
      <w:r>
        <w:rPr>
          <w:vertAlign w:val="baseline"/>
        </w:rPr>
        <w:t>and P22</w:t>
      </w:r>
    </w:p>
    <w:p>
      <w:pPr>
        <w:pStyle w:val="BodyText"/>
        <w:spacing w:before="195"/>
        <w:ind w:left="304" w:right="696"/>
        <w:jc w:val="center"/>
      </w:pPr>
      <w:r>
        <w:rPr/>
        <w:t>The</w:t>
      </w:r>
      <w:r>
        <w:rPr>
          <w:spacing w:val="10"/>
        </w:rPr>
        <w:t> </w:t>
      </w:r>
      <w:r>
        <w:rPr>
          <w:vertAlign w:val="superscript"/>
        </w:rPr>
        <w:t>1</w:t>
      </w:r>
      <w:r>
        <w:rPr>
          <w:vertAlign w:val="baseline"/>
        </w:rPr>
        <w:t>Hand</w:t>
      </w:r>
      <w:r>
        <w:rPr>
          <w:spacing w:val="12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0"/>
          <w:vertAlign w:val="baseline"/>
        </w:rPr>
        <w:t> </w:t>
      </w:r>
      <w:r>
        <w:rPr>
          <w:vertAlign w:val="baseline"/>
        </w:rPr>
        <w:t>NMR</w:t>
      </w:r>
      <w:r>
        <w:rPr>
          <w:spacing w:val="9"/>
          <w:vertAlign w:val="baseline"/>
        </w:rPr>
        <w:t> </w:t>
      </w:r>
      <w:r>
        <w:rPr>
          <w:vertAlign w:val="baseline"/>
        </w:rPr>
        <w:t>data</w:t>
      </w:r>
      <w:r>
        <w:rPr>
          <w:spacing w:val="10"/>
          <w:vertAlign w:val="baseline"/>
        </w:rPr>
        <w:t> </w:t>
      </w:r>
      <w:r>
        <w:rPr>
          <w:vertAlign w:val="baseline"/>
        </w:rPr>
        <w:t>of</w:t>
      </w:r>
      <w:r>
        <w:rPr>
          <w:spacing w:val="3"/>
          <w:vertAlign w:val="baseline"/>
        </w:rPr>
        <w:t> </w:t>
      </w:r>
      <w:r>
        <w:rPr>
          <w:vertAlign w:val="baseline"/>
        </w:rPr>
        <w:t>compounds</w:t>
      </w:r>
      <w:r>
        <w:rPr>
          <w:spacing w:val="8"/>
          <w:vertAlign w:val="baseline"/>
        </w:rPr>
        <w:t> </w:t>
      </w:r>
      <w:r>
        <w:rPr>
          <w:vertAlign w:val="baseline"/>
        </w:rPr>
        <w:t>P21</w:t>
      </w:r>
      <w:r>
        <w:rPr>
          <w:spacing w:val="11"/>
          <w:vertAlign w:val="baseline"/>
        </w:rPr>
        <w:t> </w:t>
      </w:r>
      <w:r>
        <w:rPr>
          <w:vertAlign w:val="baseline"/>
        </w:rPr>
        <w:t>and</w:t>
      </w:r>
      <w:r>
        <w:rPr>
          <w:spacing w:val="16"/>
          <w:vertAlign w:val="baseline"/>
        </w:rPr>
        <w:t> </w:t>
      </w:r>
      <w:r>
        <w:rPr>
          <w:vertAlign w:val="baseline"/>
        </w:rPr>
        <w:t>P22</w:t>
      </w:r>
      <w:r>
        <w:rPr>
          <w:spacing w:val="11"/>
          <w:vertAlign w:val="baseline"/>
        </w:rPr>
        <w:t> </w:t>
      </w:r>
      <w:r>
        <w:rPr>
          <w:vertAlign w:val="baseline"/>
        </w:rPr>
        <w:t>(Figure</w:t>
      </w:r>
      <w:r>
        <w:rPr>
          <w:spacing w:val="9"/>
          <w:vertAlign w:val="baseline"/>
        </w:rPr>
        <w:t> </w:t>
      </w:r>
      <w:r>
        <w:rPr>
          <w:vertAlign w:val="baseline"/>
        </w:rPr>
        <w:t>4.6)</w:t>
      </w:r>
      <w:r>
        <w:rPr>
          <w:spacing w:val="13"/>
          <w:vertAlign w:val="baseline"/>
        </w:rPr>
        <w:t> </w:t>
      </w:r>
      <w:r>
        <w:rPr>
          <w:vertAlign w:val="baseline"/>
        </w:rPr>
        <w:t>are</w:t>
      </w:r>
      <w:r>
        <w:rPr>
          <w:spacing w:val="10"/>
          <w:vertAlign w:val="baseline"/>
        </w:rPr>
        <w:t> </w:t>
      </w:r>
      <w:r>
        <w:rPr>
          <w:vertAlign w:val="baseline"/>
        </w:rPr>
        <w:t>as</w:t>
      </w:r>
      <w:r>
        <w:rPr>
          <w:spacing w:val="8"/>
          <w:vertAlign w:val="baseline"/>
        </w:rPr>
        <w:t> </w:t>
      </w:r>
      <w:r>
        <w:rPr>
          <w:vertAlign w:val="baseline"/>
        </w:rPr>
        <w:t>shown</w:t>
      </w:r>
      <w:r>
        <w:rPr>
          <w:spacing w:val="11"/>
          <w:vertAlign w:val="baseline"/>
        </w:rPr>
        <w:t> </w:t>
      </w:r>
      <w:r>
        <w:rPr>
          <w:vertAlign w:val="baseline"/>
        </w:rPr>
        <w:t>in</w:t>
      </w:r>
      <w:r>
        <w:rPr>
          <w:spacing w:val="11"/>
          <w:vertAlign w:val="baseline"/>
        </w:rPr>
        <w:t> </w:t>
      </w:r>
      <w:r>
        <w:rPr>
          <w:vertAlign w:val="baseline"/>
        </w:rPr>
        <w:t>Table</w:t>
      </w:r>
    </w:p>
    <w:p>
      <w:pPr>
        <w:pStyle w:val="BodyText"/>
      </w:pPr>
    </w:p>
    <w:p>
      <w:pPr>
        <w:pStyle w:val="BodyText"/>
        <w:spacing w:before="1"/>
        <w:ind w:left="312"/>
      </w:pPr>
      <w:r>
        <w:rPr/>
        <w:t>4.11</w:t>
      </w:r>
      <w:r>
        <w:rPr>
          <w:spacing w:val="-1"/>
        </w:rPr>
        <w:t> </w:t>
      </w:r>
      <w:r>
        <w:rPr/>
        <w:t>and Appendices87,</w:t>
      </w:r>
      <w:r>
        <w:rPr>
          <w:spacing w:val="2"/>
        </w:rPr>
        <w:t> </w:t>
      </w:r>
      <w:r>
        <w:rPr/>
        <w:t>88,</w:t>
      </w:r>
      <w:r>
        <w:rPr>
          <w:spacing w:val="2"/>
        </w:rPr>
        <w:t> </w:t>
      </w:r>
      <w:r>
        <w:rPr/>
        <w:t>91</w:t>
      </w:r>
      <w:r>
        <w:rPr>
          <w:spacing w:val="-6"/>
        </w:rPr>
        <w:t> </w:t>
      </w:r>
      <w:r>
        <w:rPr/>
        <w:t>and 92.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1819019</wp:posOffset>
            </wp:positionH>
            <wp:positionV relativeFrom="paragraph">
              <wp:posOffset>180660</wp:posOffset>
            </wp:positionV>
            <wp:extent cx="3429387" cy="2066925"/>
            <wp:effectExtent l="0" t="0" r="0" b="0"/>
            <wp:wrapTopAndBottom/>
            <wp:docPr id="6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84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387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9"/>
        </w:rPr>
      </w:pPr>
    </w:p>
    <w:p>
      <w:pPr>
        <w:pStyle w:val="Heading1"/>
        <w:spacing w:before="1"/>
        <w:ind w:right="691"/>
        <w:jc w:val="center"/>
      </w:pPr>
      <w:r>
        <w:rPr/>
        <w:t>Figure</w:t>
      </w:r>
      <w:r>
        <w:rPr>
          <w:spacing w:val="-2"/>
        </w:rPr>
        <w:t> </w:t>
      </w:r>
      <w:r>
        <w:rPr/>
        <w:t>4.6:</w:t>
      </w:r>
      <w:r>
        <w:rPr>
          <w:spacing w:val="1"/>
        </w:rPr>
        <w:t> </w:t>
      </w:r>
      <w:r>
        <w:rPr/>
        <w:t>4”</w:t>
      </w:r>
      <w:r>
        <w:rPr>
          <w:spacing w:val="-5"/>
        </w:rPr>
        <w:t> </w:t>
      </w:r>
      <w:r>
        <w:rPr/>
        <w:t>triflouromethyl</w:t>
      </w:r>
      <w:r>
        <w:rPr>
          <w:spacing w:val="-3"/>
        </w:rPr>
        <w:t> </w:t>
      </w:r>
      <w:r>
        <w:rPr/>
        <w:t>-</w:t>
      </w:r>
      <w:r>
        <w:rPr>
          <w:spacing w:val="1"/>
        </w:rPr>
        <w:t> </w:t>
      </w:r>
      <w:r>
        <w:rPr/>
        <w:t>substituted</w:t>
      </w:r>
      <w:r>
        <w:rPr>
          <w:spacing w:val="-2"/>
        </w:rPr>
        <w:t> </w:t>
      </w:r>
      <w:r>
        <w:rPr/>
        <w:t>chalcones</w:t>
      </w:r>
      <w:r>
        <w:rPr>
          <w:spacing w:val="-3"/>
        </w:rPr>
        <w:t> </w:t>
      </w:r>
      <w:r>
        <w:rPr/>
        <w:t>(P21</w:t>
      </w:r>
      <w:r>
        <w:rPr>
          <w:spacing w:val="-1"/>
        </w:rPr>
        <w:t> </w:t>
      </w:r>
      <w:r>
        <w:rPr/>
        <w:t>and,</w:t>
      </w:r>
      <w:r>
        <w:rPr>
          <w:spacing w:val="-4"/>
        </w:rPr>
        <w:t> </w:t>
      </w:r>
      <w:r>
        <w:rPr/>
        <w:t>P22)</w:t>
      </w:r>
    </w:p>
    <w:p>
      <w:pPr>
        <w:spacing w:after="0"/>
        <w:jc w:val="center"/>
        <w:sectPr>
          <w:headerReference w:type="default" r:id="rId283"/>
          <w:footerReference w:type="default" r:id="rId284"/>
          <w:pgSz w:w="11910" w:h="16840"/>
          <w:pgMar w:header="0" w:footer="878" w:top="1160" w:bottom="1060" w:left="1560" w:right="600"/>
        </w:sectPr>
      </w:pPr>
    </w:p>
    <w:p>
      <w:pPr>
        <w:spacing w:before="114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4.11:</w:t>
      </w:r>
      <w:r>
        <w:rPr>
          <w:b/>
          <w:spacing w:val="1"/>
          <w:sz w:val="24"/>
        </w:rPr>
        <w:t> </w:t>
      </w: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Hand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Assignment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P21,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and P22</w:t>
      </w: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9"/>
        <w:gridCol w:w="1210"/>
        <w:gridCol w:w="2547"/>
        <w:gridCol w:w="1244"/>
        <w:gridCol w:w="2825"/>
      </w:tblGrid>
      <w:tr>
        <w:trPr>
          <w:trHeight w:val="539" w:hRule="atLeast"/>
        </w:trPr>
        <w:tc>
          <w:tcPr>
            <w:tcW w:w="11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4" w:lineRule="exact"/>
              <w:ind w:left="119" w:right="191"/>
              <w:rPr>
                <w:b/>
                <w:sz w:val="24"/>
              </w:rPr>
            </w:pPr>
            <w:r>
              <w:rPr>
                <w:b/>
                <w:sz w:val="24"/>
              </w:rPr>
              <w:t>Carbon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Position</w:t>
            </w:r>
          </w:p>
        </w:tc>
        <w:tc>
          <w:tcPr>
            <w:tcW w:w="12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 w:before="1"/>
              <w:ind w:left="204"/>
              <w:rPr>
                <w:b/>
                <w:sz w:val="24"/>
              </w:rPr>
            </w:pPr>
            <w:r>
              <w:rPr>
                <w:b/>
                <w:sz w:val="24"/>
              </w:rPr>
              <w:t>P21</w:t>
            </w:r>
          </w:p>
          <w:p>
            <w:pPr>
              <w:pStyle w:val="TableParagraph"/>
              <w:tabs>
                <w:tab w:pos="7880" w:val="left" w:leader="none"/>
              </w:tabs>
              <w:spacing w:line="243" w:lineRule="exact"/>
              <w:ind w:left="99" w:right="-6682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 </w:t>
              <w:tab/>
            </w:r>
          </w:p>
        </w:tc>
        <w:tc>
          <w:tcPr>
            <w:tcW w:w="254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"/>
              <w:ind w:left="188"/>
              <w:rPr>
                <w:b/>
                <w:sz w:val="24"/>
              </w:rPr>
            </w:pPr>
            <w:r>
              <w:rPr>
                <w:b/>
                <w:sz w:val="24"/>
              </w:rPr>
              <w:t>P22</w:t>
            </w:r>
          </w:p>
        </w:tc>
        <w:tc>
          <w:tcPr>
            <w:tcW w:w="282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70" w:hRule="atLeast"/>
        </w:trPr>
        <w:tc>
          <w:tcPr>
            <w:tcW w:w="114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204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204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25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253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  <w:tc>
          <w:tcPr>
            <w:tcW w:w="12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36" w:lineRule="auto" w:before="28"/>
              <w:ind w:left="188"/>
              <w:rPr>
                <w:b/>
                <w:sz w:val="24"/>
              </w:rPr>
            </w:pPr>
            <w:r>
              <w:rPr>
                <w:b/>
                <w:sz w:val="16"/>
              </w:rPr>
              <w:t>13</w:t>
            </w:r>
            <w:r>
              <w:rPr>
                <w:b/>
                <w:position w:val="-10"/>
                <w:sz w:val="24"/>
              </w:rPr>
              <w:t>C</w:t>
            </w:r>
          </w:p>
          <w:p>
            <w:pPr>
              <w:pStyle w:val="TableParagraph"/>
              <w:spacing w:line="261" w:lineRule="exact" w:before="68"/>
              <w:ind w:left="188"/>
              <w:rPr>
                <w:b/>
                <w:sz w:val="24"/>
              </w:rPr>
            </w:pPr>
            <w:r>
              <w:rPr>
                <w:b/>
                <w:sz w:val="24"/>
              </w:rPr>
              <w:t>δ(ppm)</w:t>
            </w:r>
          </w:p>
        </w:tc>
        <w:tc>
          <w:tcPr>
            <w:tcW w:w="28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"/>
              <w:ind w:left="303"/>
              <w:rPr>
                <w:b/>
                <w:sz w:val="24"/>
              </w:rPr>
            </w:pPr>
            <w:r>
              <w:rPr>
                <w:b/>
                <w:sz w:val="24"/>
                <w:vertAlign w:val="superscript"/>
              </w:rPr>
              <w:t>1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δ(ppm)</w:t>
            </w:r>
          </w:p>
        </w:tc>
      </w:tr>
      <w:tr>
        <w:trPr>
          <w:trHeight w:val="331" w:hRule="atLeast"/>
        </w:trPr>
        <w:tc>
          <w:tcPr>
            <w:tcW w:w="11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04"/>
              <w:rPr>
                <w:sz w:val="24"/>
              </w:rPr>
            </w:pPr>
            <w:r>
              <w:rPr>
                <w:sz w:val="24"/>
              </w:rPr>
              <w:t>189.76</w:t>
            </w:r>
          </w:p>
        </w:tc>
        <w:tc>
          <w:tcPr>
            <w:tcW w:w="25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25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88"/>
              <w:rPr>
                <w:sz w:val="24"/>
              </w:rPr>
            </w:pPr>
            <w:r>
              <w:rPr>
                <w:sz w:val="24"/>
              </w:rPr>
              <w:t>189.46</w:t>
            </w:r>
          </w:p>
        </w:tc>
        <w:tc>
          <w:tcPr>
            <w:tcW w:w="282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3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336" w:hRule="atLeast"/>
        </w:trPr>
        <w:tc>
          <w:tcPr>
            <w:tcW w:w="1149" w:type="dxa"/>
          </w:tcPr>
          <w:p>
            <w:pPr>
              <w:pStyle w:val="TableParagraph"/>
              <w:spacing w:line="262" w:lineRule="exact" w:before="53"/>
              <w:ind w:left="11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10" w:type="dxa"/>
          </w:tcPr>
          <w:p>
            <w:pPr>
              <w:pStyle w:val="TableParagraph"/>
              <w:spacing w:line="262" w:lineRule="exact" w:before="53"/>
              <w:ind w:left="204"/>
              <w:rPr>
                <w:sz w:val="24"/>
              </w:rPr>
            </w:pPr>
            <w:r>
              <w:rPr>
                <w:sz w:val="24"/>
              </w:rPr>
              <w:t>124.75</w:t>
            </w:r>
          </w:p>
        </w:tc>
        <w:tc>
          <w:tcPr>
            <w:tcW w:w="2547" w:type="dxa"/>
          </w:tcPr>
          <w:p>
            <w:pPr>
              <w:pStyle w:val="TableParagraph"/>
              <w:spacing w:line="262" w:lineRule="exact" w:before="53"/>
              <w:ind w:left="253"/>
              <w:rPr>
                <w:sz w:val="24"/>
              </w:rPr>
            </w:pPr>
            <w:r>
              <w:rPr>
                <w:sz w:val="24"/>
              </w:rPr>
              <w:t>7.60(d,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J=16Hz,1H)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62" w:lineRule="exact" w:before="53"/>
              <w:ind w:left="188"/>
              <w:rPr>
                <w:sz w:val="24"/>
              </w:rPr>
            </w:pPr>
            <w:r>
              <w:rPr>
                <w:sz w:val="24"/>
              </w:rPr>
              <w:t>123.73</w:t>
            </w:r>
          </w:p>
        </w:tc>
        <w:tc>
          <w:tcPr>
            <w:tcW w:w="2825" w:type="dxa"/>
          </w:tcPr>
          <w:p>
            <w:pPr>
              <w:pStyle w:val="TableParagraph"/>
              <w:spacing w:line="262" w:lineRule="exact" w:before="53"/>
              <w:ind w:left="303"/>
              <w:rPr>
                <w:sz w:val="24"/>
              </w:rPr>
            </w:pPr>
            <w:r>
              <w:rPr>
                <w:sz w:val="24"/>
              </w:rPr>
              <w:t>7.55(d,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J=14Hz,1H)</w:t>
            </w:r>
          </w:p>
        </w:tc>
      </w:tr>
      <w:tr>
        <w:trPr>
          <w:trHeight w:val="275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139.60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7.80(d,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J=17.0Hz,1H)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142.20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sz w:val="24"/>
              </w:rPr>
              <w:t>7.77(d,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J=15.0Hz,1H)</w:t>
            </w:r>
          </w:p>
        </w:tc>
      </w:tr>
      <w:tr>
        <w:trPr>
          <w:trHeight w:val="275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1‘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125.71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31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137.32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6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0" w:hRule="atLeast"/>
        </w:trPr>
        <w:tc>
          <w:tcPr>
            <w:tcW w:w="1149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</w:t>
            </w:r>
          </w:p>
        </w:tc>
        <w:tc>
          <w:tcPr>
            <w:tcW w:w="1210" w:type="dxa"/>
          </w:tcPr>
          <w:p>
            <w:pPr>
              <w:pStyle w:val="TableParagraph"/>
              <w:spacing w:line="272" w:lineRule="exact"/>
              <w:ind w:left="204"/>
              <w:rPr>
                <w:sz w:val="24"/>
              </w:rPr>
            </w:pPr>
            <w:r>
              <w:rPr>
                <w:sz w:val="24"/>
              </w:rPr>
              <w:t>160.60</w:t>
            </w:r>
          </w:p>
        </w:tc>
        <w:tc>
          <w:tcPr>
            <w:tcW w:w="2547" w:type="dxa"/>
          </w:tcPr>
          <w:p>
            <w:pPr>
              <w:pStyle w:val="TableParagraph"/>
              <w:spacing w:line="272" w:lineRule="exact"/>
              <w:ind w:left="31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</w:tcPr>
          <w:p>
            <w:pPr>
              <w:pStyle w:val="TableParagraph"/>
              <w:spacing w:line="272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128.05</w:t>
            </w:r>
          </w:p>
        </w:tc>
        <w:tc>
          <w:tcPr>
            <w:tcW w:w="2825" w:type="dxa"/>
          </w:tcPr>
          <w:p>
            <w:pPr>
              <w:pStyle w:val="TableParagraph"/>
              <w:spacing w:line="274" w:lineRule="exact"/>
              <w:ind w:left="303" w:right="511"/>
              <w:rPr>
                <w:sz w:val="24"/>
              </w:rPr>
            </w:pPr>
            <w:r>
              <w:rPr>
                <w:sz w:val="24"/>
              </w:rPr>
              <w:t>8.02(dd,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J=13.7Hz;6.7Hz,1H)</w:t>
            </w:r>
          </w:p>
        </w:tc>
      </w:tr>
      <w:tr>
        <w:trPr>
          <w:trHeight w:val="275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3‘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98.52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6.53(d,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J=2.8Hz,1H)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128.27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sz w:val="24"/>
              </w:rPr>
              <w:t>7.61(d,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J=11.0Hz,1H)</w:t>
            </w:r>
          </w:p>
        </w:tc>
      </w:tr>
      <w:tr>
        <w:trPr>
          <w:trHeight w:val="552" w:hRule="atLeast"/>
        </w:trPr>
        <w:tc>
          <w:tcPr>
            <w:tcW w:w="1149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</w:t>
            </w:r>
          </w:p>
        </w:tc>
        <w:tc>
          <w:tcPr>
            <w:tcW w:w="1210" w:type="dxa"/>
          </w:tcPr>
          <w:p>
            <w:pPr>
              <w:pStyle w:val="TableParagraph"/>
              <w:spacing w:line="272" w:lineRule="exact"/>
              <w:ind w:left="204"/>
              <w:rPr>
                <w:sz w:val="24"/>
              </w:rPr>
            </w:pPr>
            <w:r>
              <w:rPr>
                <w:sz w:val="24"/>
              </w:rPr>
              <w:t>164.57</w:t>
            </w:r>
          </w:p>
        </w:tc>
        <w:tc>
          <w:tcPr>
            <w:tcW w:w="2547" w:type="dxa"/>
          </w:tcPr>
          <w:p>
            <w:pPr>
              <w:pStyle w:val="TableParagraph"/>
              <w:spacing w:line="272" w:lineRule="exact"/>
              <w:ind w:left="31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</w:tcPr>
          <w:p>
            <w:pPr>
              <w:pStyle w:val="TableParagraph"/>
              <w:spacing w:line="272" w:lineRule="exact"/>
              <w:ind w:left="188"/>
              <w:rPr>
                <w:sz w:val="24"/>
              </w:rPr>
            </w:pPr>
            <w:r>
              <w:rPr>
                <w:sz w:val="24"/>
              </w:rPr>
              <w:t>132.67</w:t>
            </w:r>
          </w:p>
        </w:tc>
        <w:tc>
          <w:tcPr>
            <w:tcW w:w="2825" w:type="dxa"/>
          </w:tcPr>
          <w:p>
            <w:pPr>
              <w:pStyle w:val="TableParagraph"/>
              <w:spacing w:line="274" w:lineRule="exact"/>
              <w:ind w:left="303" w:right="630"/>
              <w:rPr>
                <w:sz w:val="24"/>
              </w:rPr>
            </w:pPr>
            <w:r>
              <w:rPr>
                <w:sz w:val="24"/>
              </w:rPr>
              <w:t>7.69(dd,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J=8.2Hz;3.2Hz,1H)</w:t>
            </w:r>
          </w:p>
        </w:tc>
      </w:tr>
      <w:tr>
        <w:trPr>
          <w:trHeight w:val="552" w:hRule="atLeast"/>
        </w:trPr>
        <w:tc>
          <w:tcPr>
            <w:tcW w:w="1149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5‘</w:t>
            </w:r>
          </w:p>
        </w:tc>
        <w:tc>
          <w:tcPr>
            <w:tcW w:w="1210" w:type="dxa"/>
          </w:tcPr>
          <w:p>
            <w:pPr>
              <w:pStyle w:val="TableParagraph"/>
              <w:spacing w:line="272" w:lineRule="exact"/>
              <w:ind w:left="204"/>
              <w:rPr>
                <w:sz w:val="24"/>
              </w:rPr>
            </w:pPr>
            <w:r>
              <w:rPr>
                <w:sz w:val="24"/>
              </w:rPr>
              <w:t>105.35</w:t>
            </w:r>
          </w:p>
        </w:tc>
        <w:tc>
          <w:tcPr>
            <w:tcW w:w="2547" w:type="dxa"/>
          </w:tcPr>
          <w:p>
            <w:pPr>
              <w:pStyle w:val="TableParagraph"/>
              <w:spacing w:line="274" w:lineRule="exact"/>
              <w:ind w:left="253" w:right="402"/>
              <w:rPr>
                <w:sz w:val="24"/>
              </w:rPr>
            </w:pPr>
            <w:r>
              <w:rPr>
                <w:sz w:val="24"/>
              </w:rPr>
              <w:t>6.57(dd,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J=8.0Hz;2.8Hz,1H)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72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128.27</w:t>
            </w:r>
          </w:p>
        </w:tc>
        <w:tc>
          <w:tcPr>
            <w:tcW w:w="2825" w:type="dxa"/>
          </w:tcPr>
          <w:p>
            <w:pPr>
              <w:pStyle w:val="TableParagraph"/>
              <w:spacing w:line="272" w:lineRule="exact"/>
              <w:ind w:left="303"/>
              <w:rPr>
                <w:sz w:val="24"/>
              </w:rPr>
            </w:pPr>
            <w:r>
              <w:rPr>
                <w:sz w:val="24"/>
              </w:rPr>
              <w:t>7.61(d,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J=11.0Hz,1H)</w:t>
            </w:r>
          </w:p>
        </w:tc>
      </w:tr>
      <w:tr>
        <w:trPr>
          <w:trHeight w:val="552" w:hRule="atLeast"/>
        </w:trPr>
        <w:tc>
          <w:tcPr>
            <w:tcW w:w="1149" w:type="dxa"/>
          </w:tcPr>
          <w:p>
            <w:pPr>
              <w:pStyle w:val="TableParagraph"/>
              <w:spacing w:line="272" w:lineRule="exact"/>
              <w:ind w:left="119"/>
              <w:rPr>
                <w:sz w:val="24"/>
              </w:rPr>
            </w:pPr>
            <w:r>
              <w:rPr>
                <w:sz w:val="24"/>
              </w:rPr>
              <w:t>6‘</w:t>
            </w:r>
          </w:p>
        </w:tc>
        <w:tc>
          <w:tcPr>
            <w:tcW w:w="1210" w:type="dxa"/>
          </w:tcPr>
          <w:p>
            <w:pPr>
              <w:pStyle w:val="TableParagraph"/>
              <w:spacing w:line="272" w:lineRule="exact"/>
              <w:ind w:left="204"/>
              <w:rPr>
                <w:sz w:val="24"/>
              </w:rPr>
            </w:pPr>
            <w:r>
              <w:rPr>
                <w:sz w:val="24"/>
              </w:rPr>
              <w:t>133.13</w:t>
            </w:r>
          </w:p>
        </w:tc>
        <w:tc>
          <w:tcPr>
            <w:tcW w:w="2547" w:type="dxa"/>
          </w:tcPr>
          <w:p>
            <w:pPr>
              <w:pStyle w:val="TableParagraph"/>
              <w:spacing w:line="272" w:lineRule="exact"/>
              <w:ind w:left="253"/>
              <w:rPr>
                <w:sz w:val="24"/>
              </w:rPr>
            </w:pPr>
            <w:r>
              <w:rPr>
                <w:sz w:val="24"/>
              </w:rPr>
              <w:t>7.82(d,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J=9.0Hz,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72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128.05</w:t>
            </w:r>
          </w:p>
        </w:tc>
        <w:tc>
          <w:tcPr>
            <w:tcW w:w="2825" w:type="dxa"/>
          </w:tcPr>
          <w:p>
            <w:pPr>
              <w:pStyle w:val="TableParagraph"/>
              <w:spacing w:line="274" w:lineRule="exact"/>
              <w:ind w:left="303" w:right="511"/>
              <w:rPr>
                <w:sz w:val="24"/>
              </w:rPr>
            </w:pPr>
            <w:r>
              <w:rPr>
                <w:sz w:val="24"/>
              </w:rPr>
              <w:t>8.01(dd,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J=13.7Hz;6.7Hz,1H)</w:t>
            </w:r>
          </w:p>
        </w:tc>
      </w:tr>
      <w:tr>
        <w:trPr>
          <w:trHeight w:val="275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1‖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138.93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31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137.82</w:t>
            </w:r>
          </w:p>
        </w:tc>
        <w:tc>
          <w:tcPr>
            <w:tcW w:w="28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2‖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128.57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7.68(d,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J=9.0Hz,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128.10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sz w:val="24"/>
              </w:rPr>
              <w:t>7.57(d,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J=8.0Hz,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3‖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128.16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6.59(d,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J=9.3Hz,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127.78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sz w:val="24"/>
              </w:rPr>
              <w:t>7.50(d,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J=8.0Hz,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4‖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129.33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31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128.50</w:t>
            </w:r>
          </w:p>
        </w:tc>
        <w:tc>
          <w:tcPr>
            <w:tcW w:w="28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5‖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127.98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6.59(d,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J=9.3Hz,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127.78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sz w:val="24"/>
              </w:rPr>
              <w:t>7.49(d,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J=8.0Hz,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6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w w:val="120"/>
                <w:sz w:val="24"/>
              </w:rPr>
              <w:t>6‖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128.30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7.68(d,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J=9.0Hz,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sz w:val="24"/>
              </w:rPr>
              <w:t>128.10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sz w:val="24"/>
              </w:rPr>
              <w:t>7.56(d,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J=8.0Hz,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1H)</w:t>
            </w:r>
          </w:p>
        </w:tc>
      </w:tr>
      <w:tr>
        <w:trPr>
          <w:trHeight w:val="275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2‘m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55.73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4.04 (3H)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6" w:hRule="atLeast"/>
        </w:trPr>
        <w:tc>
          <w:tcPr>
            <w:tcW w:w="1149" w:type="dxa"/>
          </w:tcPr>
          <w:p>
            <w:pPr>
              <w:pStyle w:val="TableParagraph"/>
              <w:spacing w:line="256" w:lineRule="exact"/>
              <w:ind w:left="119"/>
              <w:rPr>
                <w:sz w:val="24"/>
              </w:rPr>
            </w:pPr>
            <w:r>
              <w:rPr>
                <w:sz w:val="24"/>
              </w:rPr>
              <w:t>4‘m</w:t>
            </w:r>
          </w:p>
        </w:tc>
        <w:tc>
          <w:tcPr>
            <w:tcW w:w="1210" w:type="dxa"/>
          </w:tcPr>
          <w:p>
            <w:pPr>
              <w:pStyle w:val="TableParagraph"/>
              <w:spacing w:line="256" w:lineRule="exact"/>
              <w:ind w:left="204"/>
              <w:rPr>
                <w:sz w:val="24"/>
              </w:rPr>
            </w:pPr>
            <w:r>
              <w:rPr>
                <w:sz w:val="24"/>
              </w:rPr>
              <w:t>55.57</w:t>
            </w:r>
          </w:p>
        </w:tc>
        <w:tc>
          <w:tcPr>
            <w:tcW w:w="2547" w:type="dxa"/>
          </w:tcPr>
          <w:p>
            <w:pPr>
              <w:pStyle w:val="TableParagraph"/>
              <w:spacing w:line="256" w:lineRule="exact"/>
              <w:ind w:left="253"/>
              <w:rPr>
                <w:sz w:val="24"/>
              </w:rPr>
            </w:pPr>
            <w:r>
              <w:rPr>
                <w:sz w:val="24"/>
              </w:rPr>
              <w:t>3.89 (3H)</w:t>
            </w:r>
          </w:p>
        </w:tc>
        <w:tc>
          <w:tcPr>
            <w:tcW w:w="1244" w:type="dxa"/>
          </w:tcPr>
          <w:p>
            <w:pPr>
              <w:pStyle w:val="TableParagraph"/>
              <w:spacing w:line="256" w:lineRule="exact"/>
              <w:ind w:left="1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825" w:type="dxa"/>
          </w:tcPr>
          <w:p>
            <w:pPr>
              <w:pStyle w:val="TableParagraph"/>
              <w:spacing w:line="256" w:lineRule="exact"/>
              <w:ind w:left="3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7" w:hRule="atLeast"/>
        </w:trPr>
        <w:tc>
          <w:tcPr>
            <w:tcW w:w="11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19"/>
              <w:rPr>
                <w:sz w:val="24"/>
              </w:rPr>
            </w:pPr>
            <w:r>
              <w:rPr>
                <w:w w:val="115"/>
                <w:sz w:val="24"/>
              </w:rPr>
              <w:t>4‖m</w:t>
            </w:r>
          </w:p>
        </w:tc>
        <w:tc>
          <w:tcPr>
            <w:tcW w:w="12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204"/>
              <w:rPr>
                <w:sz w:val="24"/>
              </w:rPr>
            </w:pPr>
            <w:r>
              <w:rPr>
                <w:sz w:val="24"/>
              </w:rPr>
              <w:t>121.66</w:t>
            </w:r>
          </w:p>
        </w:tc>
        <w:tc>
          <w:tcPr>
            <w:tcW w:w="25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25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88"/>
              <w:rPr>
                <w:sz w:val="24"/>
              </w:rPr>
            </w:pPr>
            <w:r>
              <w:rPr>
                <w:sz w:val="24"/>
              </w:rPr>
              <w:t>125.43</w:t>
            </w:r>
          </w:p>
        </w:tc>
        <w:tc>
          <w:tcPr>
            <w:tcW w:w="28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30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>
      <w:pPr>
        <w:spacing w:after="0" w:line="258" w:lineRule="exact"/>
        <w:rPr>
          <w:sz w:val="24"/>
        </w:rPr>
        <w:sectPr>
          <w:headerReference w:type="default" r:id="rId286"/>
          <w:footerReference w:type="default" r:id="rId287"/>
          <w:pgSz w:w="11910" w:h="16840"/>
          <w:pgMar w:header="0" w:footer="878" w:top="1160" w:bottom="1060" w:left="1560" w:right="600"/>
        </w:sectPr>
      </w:pPr>
    </w:p>
    <w:p>
      <w:pPr>
        <w:pStyle w:val="Heading1"/>
        <w:numPr>
          <w:ilvl w:val="2"/>
          <w:numId w:val="18"/>
        </w:numPr>
        <w:tabs>
          <w:tab w:pos="1033" w:val="left" w:leader="none"/>
        </w:tabs>
        <w:spacing w:line="240" w:lineRule="auto" w:before="74" w:after="0"/>
        <w:ind w:left="1033" w:right="0" w:hanging="721"/>
        <w:jc w:val="both"/>
      </w:pPr>
      <w:bookmarkStart w:name="_TOC_250032" w:id="61"/>
      <w:r>
        <w:rPr/>
        <w:t>FT-IR</w:t>
      </w:r>
      <w:r>
        <w:rPr>
          <w:spacing w:val="-3"/>
        </w:rPr>
        <w:t> </w:t>
      </w:r>
      <w:r>
        <w:rPr/>
        <w:t>spectral</w:t>
      </w:r>
      <w:r>
        <w:rPr>
          <w:spacing w:val="-6"/>
        </w:rPr>
        <w:t> </w:t>
      </w:r>
      <w:r>
        <w:rPr/>
        <w:t>data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substituted</w:t>
      </w:r>
      <w:r>
        <w:rPr>
          <w:spacing w:val="-5"/>
        </w:rPr>
        <w:t> </w:t>
      </w:r>
      <w:bookmarkEnd w:id="61"/>
      <w:r>
        <w:rPr/>
        <w:t>chalcones</w:t>
      </w:r>
    </w:p>
    <w:p>
      <w:pPr>
        <w:pStyle w:val="BodyText"/>
        <w:spacing w:line="480" w:lineRule="auto" w:before="195"/>
        <w:ind w:left="312" w:right="692"/>
        <w:jc w:val="both"/>
      </w:pPr>
      <w:r>
        <w:rPr/>
        <w:t>The</w:t>
      </w:r>
      <w:r>
        <w:rPr>
          <w:spacing w:val="19"/>
        </w:rPr>
        <w:t> </w:t>
      </w:r>
      <w:r>
        <w:rPr/>
        <w:t>FT-IR</w:t>
      </w:r>
      <w:r>
        <w:rPr>
          <w:spacing w:val="13"/>
        </w:rPr>
        <w:t> </w:t>
      </w:r>
      <w:r>
        <w:rPr/>
        <w:t>spectral</w:t>
      </w:r>
      <w:r>
        <w:rPr>
          <w:spacing w:val="6"/>
        </w:rPr>
        <w:t> </w:t>
      </w:r>
      <w:r>
        <w:rPr/>
        <w:t>data</w:t>
      </w:r>
      <w:r>
        <w:rPr>
          <w:spacing w:val="14"/>
        </w:rPr>
        <w:t> </w:t>
      </w:r>
      <w:r>
        <w:rPr/>
        <w:t>of</w:t>
      </w:r>
      <w:r>
        <w:rPr>
          <w:spacing w:val="7"/>
        </w:rPr>
        <w:t> </w:t>
      </w:r>
      <w:r>
        <w:rPr/>
        <w:t>all</w:t>
      </w:r>
      <w:r>
        <w:rPr>
          <w:spacing w:val="11"/>
        </w:rPr>
        <w:t> </w:t>
      </w:r>
      <w:r>
        <w:rPr/>
        <w:t>the</w:t>
      </w:r>
      <w:r>
        <w:rPr>
          <w:spacing w:val="14"/>
        </w:rPr>
        <w:t> </w:t>
      </w:r>
      <w:r>
        <w:rPr/>
        <w:t>compounds</w:t>
      </w:r>
      <w:r>
        <w:rPr>
          <w:spacing w:val="18"/>
        </w:rPr>
        <w:t> </w:t>
      </w:r>
      <w:r>
        <w:rPr/>
        <w:t>synthesized</w:t>
      </w:r>
      <w:r>
        <w:rPr>
          <w:spacing w:val="15"/>
        </w:rPr>
        <w:t> </w:t>
      </w:r>
      <w:r>
        <w:rPr/>
        <w:t>are</w:t>
      </w:r>
      <w:r>
        <w:rPr>
          <w:spacing w:val="15"/>
        </w:rPr>
        <w:t> </w:t>
      </w:r>
      <w:r>
        <w:rPr/>
        <w:t>presented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Appendix</w:t>
      </w:r>
      <w:r>
        <w:rPr>
          <w:spacing w:val="15"/>
        </w:rPr>
        <w:t> </w:t>
      </w:r>
      <w:r>
        <w:rPr/>
        <w:t>VI.</w:t>
      </w:r>
      <w:r>
        <w:rPr>
          <w:spacing w:val="-58"/>
        </w:rPr>
        <w:t> </w:t>
      </w:r>
      <w:r>
        <w:rPr/>
        <w:t>In all the spectra, there is appearance of the characteristics strong C=O stretching vibration</w:t>
      </w:r>
      <w:r>
        <w:rPr>
          <w:spacing w:val="-57"/>
        </w:rPr>
        <w:t> </w:t>
      </w:r>
      <w:r>
        <w:rPr/>
        <w:t>at</w:t>
      </w:r>
      <w:r>
        <w:rPr>
          <w:spacing w:val="6"/>
        </w:rPr>
        <w:t> </w:t>
      </w:r>
      <w:r>
        <w:rPr/>
        <w:t>1640cm</w:t>
      </w:r>
      <w:r>
        <w:rPr>
          <w:vertAlign w:val="superscript"/>
        </w:rPr>
        <w:t>-1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an</w:t>
      </w:r>
      <w:r>
        <w:rPr>
          <w:spacing w:val="-4"/>
          <w:vertAlign w:val="baseline"/>
        </w:rPr>
        <w:t> </w:t>
      </w:r>
      <w:r>
        <w:rPr>
          <w:vertAlign w:val="baseline"/>
        </w:rPr>
        <w:t>olefinic</w:t>
      </w:r>
      <w:r>
        <w:rPr>
          <w:spacing w:val="3"/>
          <w:vertAlign w:val="baseline"/>
        </w:rPr>
        <w:t> </w:t>
      </w:r>
      <w:r>
        <w:rPr>
          <w:vertAlign w:val="baseline"/>
        </w:rPr>
        <w:t>peak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6"/>
          <w:vertAlign w:val="baseline"/>
        </w:rPr>
        <w:t> </w:t>
      </w:r>
      <w:r>
        <w:rPr>
          <w:vertAlign w:val="baseline"/>
        </w:rPr>
        <w:t>2995-3008cm</w:t>
      </w:r>
      <w:r>
        <w:rPr>
          <w:vertAlign w:val="superscript"/>
        </w:rPr>
        <w:t>-1</w:t>
      </w:r>
      <w:r>
        <w:rPr>
          <w:vertAlign w:val="baseline"/>
        </w:rPr>
        <w:t>.</w:t>
      </w:r>
    </w:p>
    <w:p>
      <w:pPr>
        <w:pStyle w:val="Heading1"/>
        <w:numPr>
          <w:ilvl w:val="2"/>
          <w:numId w:val="18"/>
        </w:numPr>
        <w:tabs>
          <w:tab w:pos="1033" w:val="left" w:leader="none"/>
        </w:tabs>
        <w:spacing w:line="240" w:lineRule="auto" w:before="207" w:after="0"/>
        <w:ind w:left="1033" w:right="0" w:hanging="721"/>
        <w:jc w:val="both"/>
      </w:pPr>
      <w:bookmarkStart w:name="_TOC_250031" w:id="62"/>
      <w:r>
        <w:rPr/>
        <w:t>Mass</w:t>
      </w:r>
      <w:r>
        <w:rPr>
          <w:spacing w:val="-3"/>
        </w:rPr>
        <w:t> </w:t>
      </w:r>
      <w:r>
        <w:rPr/>
        <w:t>spectral</w:t>
      </w:r>
      <w:r>
        <w:rPr>
          <w:spacing w:val="-6"/>
        </w:rPr>
        <w:t> </w:t>
      </w:r>
      <w:r>
        <w:rPr/>
        <w:t>data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substituted</w:t>
      </w:r>
      <w:r>
        <w:rPr>
          <w:spacing w:val="-5"/>
        </w:rPr>
        <w:t> </w:t>
      </w:r>
      <w:bookmarkEnd w:id="62"/>
      <w:r>
        <w:rPr/>
        <w:t>chalcones</w:t>
      </w:r>
    </w:p>
    <w:p>
      <w:pPr>
        <w:pStyle w:val="BodyText"/>
        <w:spacing w:line="480" w:lineRule="auto" w:before="195"/>
        <w:ind w:left="312" w:right="701"/>
        <w:jc w:val="both"/>
      </w:pPr>
      <w:r>
        <w:rPr/>
        <w:t>The mass spectral data of all the compounds is also presented in Appendix V. Each mass</w:t>
      </w:r>
      <w:r>
        <w:rPr>
          <w:spacing w:val="1"/>
        </w:rPr>
        <w:t> </w:t>
      </w:r>
      <w:r>
        <w:rPr/>
        <w:t>spectrum present molecular ion peak (M</w:t>
      </w:r>
      <w:r>
        <w:rPr>
          <w:vertAlign w:val="superscript"/>
        </w:rPr>
        <w:t>+1</w:t>
      </w:r>
      <w:r>
        <w:rPr>
          <w:vertAlign w:val="baseline"/>
        </w:rPr>
        <w:t>) corresponding to the molecular weight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</w:t>
      </w:r>
      <w:r>
        <w:rPr>
          <w:spacing w:val="1"/>
          <w:vertAlign w:val="baseline"/>
        </w:rPr>
        <w:t> </w:t>
      </w:r>
      <w:r>
        <w:rPr>
          <w:vertAlign w:val="baseline"/>
        </w:rPr>
        <w:t>compound.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molecular</w:t>
      </w:r>
      <w:r>
        <w:rPr>
          <w:spacing w:val="1"/>
          <w:vertAlign w:val="baseline"/>
        </w:rPr>
        <w:t> </w:t>
      </w:r>
      <w:r>
        <w:rPr>
          <w:vertAlign w:val="baseline"/>
        </w:rPr>
        <w:t>ion</w:t>
      </w:r>
      <w:r>
        <w:rPr>
          <w:spacing w:val="1"/>
          <w:vertAlign w:val="baseline"/>
        </w:rPr>
        <w:t> </w:t>
      </w:r>
      <w:r>
        <w:rPr>
          <w:vertAlign w:val="baseline"/>
        </w:rPr>
        <w:t>peak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most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spectrum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most</w:t>
      </w:r>
      <w:r>
        <w:rPr>
          <w:spacing w:val="1"/>
          <w:vertAlign w:val="baseline"/>
        </w:rPr>
        <w:t> </w:t>
      </w:r>
      <w:r>
        <w:rPr>
          <w:vertAlign w:val="baseline"/>
        </w:rPr>
        <w:t>abundant</w:t>
      </w:r>
      <w:r>
        <w:rPr>
          <w:spacing w:val="6"/>
          <w:vertAlign w:val="baseline"/>
        </w:rPr>
        <w:t> </w:t>
      </w:r>
      <w:r>
        <w:rPr>
          <w:vertAlign w:val="baseline"/>
        </w:rPr>
        <w:t>peak.</w:t>
      </w:r>
    </w:p>
    <w:p>
      <w:pPr>
        <w:spacing w:after="0" w:line="480" w:lineRule="auto"/>
        <w:jc w:val="both"/>
        <w:sectPr>
          <w:headerReference w:type="default" r:id="rId288"/>
          <w:footerReference w:type="default" r:id="rId289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1"/>
          <w:numId w:val="19"/>
        </w:numPr>
        <w:tabs>
          <w:tab w:pos="1743" w:val="left" w:leader="none"/>
        </w:tabs>
        <w:spacing w:line="240" w:lineRule="auto" w:before="74" w:after="0"/>
        <w:ind w:left="1742" w:right="0" w:hanging="365"/>
        <w:jc w:val="left"/>
      </w:pPr>
      <w:bookmarkStart w:name="_TOC_250030" w:id="63"/>
      <w:r>
        <w:rPr/>
        <w:t>Antiplasmodial</w:t>
      </w:r>
      <w:r>
        <w:rPr>
          <w:spacing w:val="-7"/>
        </w:rPr>
        <w:t> </w:t>
      </w:r>
      <w:r>
        <w:rPr/>
        <w:t>Studies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Substituted</w:t>
      </w:r>
      <w:r>
        <w:rPr>
          <w:spacing w:val="-1"/>
        </w:rPr>
        <w:t> </w:t>
      </w:r>
      <w:r>
        <w:rPr/>
        <w:t>Chalcones</w:t>
      </w:r>
      <w:r>
        <w:rPr>
          <w:spacing w:val="-4"/>
        </w:rPr>
        <w:t> </w:t>
      </w:r>
      <w:bookmarkEnd w:id="63"/>
      <w:r>
        <w:rPr/>
        <w:t>in Mice</w:t>
      </w:r>
    </w:p>
    <w:p>
      <w:pPr>
        <w:pStyle w:val="Heading1"/>
        <w:numPr>
          <w:ilvl w:val="2"/>
          <w:numId w:val="20"/>
        </w:numPr>
        <w:tabs>
          <w:tab w:pos="870" w:val="left" w:leader="none"/>
        </w:tabs>
        <w:spacing w:line="242" w:lineRule="auto" w:before="200" w:after="0"/>
        <w:ind w:left="312" w:right="704" w:firstLine="0"/>
        <w:jc w:val="both"/>
      </w:pPr>
      <w:bookmarkStart w:name="_TOC_250029" w:id="64"/>
      <w:r>
        <w:rPr/>
        <w:t>Effect of P1, P2, P3, P4, P23, P24 and P25 on established P. berghiiinfection in</w:t>
      </w:r>
      <w:r>
        <w:rPr>
          <w:spacing w:val="1"/>
        </w:rPr>
        <w:t> </w:t>
      </w:r>
      <w:bookmarkEnd w:id="64"/>
      <w:r>
        <w:rPr/>
        <w:t>mice</w:t>
      </w:r>
    </w:p>
    <w:p>
      <w:pPr>
        <w:pStyle w:val="BodyText"/>
        <w:spacing w:line="480" w:lineRule="auto" w:before="192"/>
        <w:ind w:left="312" w:right="690"/>
        <w:jc w:val="both"/>
      </w:pPr>
      <w:r>
        <w:rPr/>
        <w:t>The test compounds showed promising activity with some producing a chemo-suppression</w:t>
      </w:r>
      <w:r>
        <w:rPr>
          <w:spacing w:val="-57"/>
        </w:rPr>
        <w:t> </w:t>
      </w:r>
      <w:r>
        <w:rPr/>
        <w:t>comparable to the standard drugs (Figure 4.7). P2 has the highest</w:t>
      </w:r>
      <w:r>
        <w:rPr>
          <w:spacing w:val="60"/>
        </w:rPr>
        <w:t> </w:t>
      </w:r>
      <w:r>
        <w:rPr/>
        <w:t>suppression at</w:t>
      </w:r>
      <w:r>
        <w:rPr>
          <w:spacing w:val="60"/>
        </w:rPr>
        <w:t> </w:t>
      </w:r>
      <w:r>
        <w:rPr/>
        <w:t>25, 50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100mg/kg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62.4%</w:t>
      </w:r>
      <w:r>
        <w:rPr>
          <w:spacing w:val="1"/>
        </w:rPr>
        <w:t> </w:t>
      </w:r>
      <w:r>
        <w:rPr/>
        <w:t>(p˂0.05),</w:t>
      </w:r>
      <w:r>
        <w:rPr>
          <w:spacing w:val="1"/>
        </w:rPr>
        <w:t> </w:t>
      </w:r>
      <w:r>
        <w:rPr/>
        <w:t>79%</w:t>
      </w:r>
      <w:r>
        <w:rPr>
          <w:spacing w:val="1"/>
        </w:rPr>
        <w:t> </w:t>
      </w:r>
      <w:r>
        <w:rPr/>
        <w:t>(p˂0.05)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90</w:t>
      </w:r>
      <w:r>
        <w:rPr>
          <w:spacing w:val="1"/>
        </w:rPr>
        <w:t> </w:t>
      </w:r>
      <w:r>
        <w:rPr/>
        <w:t>(p˂0.05)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quinolinyl chalcones: P3, P4 and P8 significantly reduced the parasitemia level compared</w:t>
      </w:r>
      <w:r>
        <w:rPr>
          <w:spacing w:val="1"/>
        </w:rPr>
        <w:t> </w:t>
      </w:r>
      <w:r>
        <w:rPr/>
        <w:t>to the standard. P25 also showed promising activity with, the smaller dose (25mg/kg)</w:t>
      </w:r>
      <w:r>
        <w:rPr>
          <w:spacing w:val="1"/>
        </w:rPr>
        <w:t> </w:t>
      </w:r>
      <w:r>
        <w:rPr/>
        <w:t>producing</w:t>
      </w:r>
      <w:r>
        <w:rPr>
          <w:spacing w:val="1"/>
        </w:rPr>
        <w:t> </w:t>
      </w:r>
      <w:r>
        <w:rPr/>
        <w:t>higher</w:t>
      </w:r>
      <w:r>
        <w:rPr>
          <w:spacing w:val="3"/>
        </w:rPr>
        <w:t> </w:t>
      </w:r>
      <w:r>
        <w:rPr/>
        <w:t>chemo-suppression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72%.</w:t>
      </w:r>
    </w:p>
    <w:p>
      <w:pPr>
        <w:pStyle w:val="BodyText"/>
        <w:spacing w:line="480" w:lineRule="auto" w:before="198"/>
        <w:ind w:left="312" w:right="688"/>
        <w:jc w:val="both"/>
      </w:pPr>
      <w:r>
        <w:rPr/>
        <w:t>The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chloroquine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25mg/kg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chemo-suppression</w:t>
      </w:r>
      <w:r>
        <w:rPr>
          <w:spacing w:val="1"/>
        </w:rPr>
        <w:t> </w:t>
      </w:r>
      <w:r>
        <w:rPr/>
        <w:t>of 85.5%</w:t>
      </w:r>
      <w:r>
        <w:rPr>
          <w:spacing w:val="1"/>
        </w:rPr>
        <w:t> </w:t>
      </w:r>
      <w:r>
        <w:rPr/>
        <w:t>(p˂0.05) compared to the negative control. Arthemeter at 5mg/kg produced a chemo-</w:t>
      </w:r>
      <w:r>
        <w:rPr>
          <w:spacing w:val="1"/>
        </w:rPr>
        <w:t> </w:t>
      </w:r>
      <w:r>
        <w:rPr/>
        <w:t>suppression of 77% (p˂0.05) while, quinine produced the highest parasite suppression of</w:t>
      </w:r>
      <w:r>
        <w:rPr>
          <w:spacing w:val="1"/>
        </w:rPr>
        <w:t> </w:t>
      </w:r>
      <w:r>
        <w:rPr/>
        <w:t>88.5%</w:t>
      </w:r>
      <w:r>
        <w:rPr>
          <w:spacing w:val="2"/>
        </w:rPr>
        <w:t> </w:t>
      </w:r>
      <w:r>
        <w:rPr/>
        <w:t>at</w:t>
      </w:r>
      <w:r>
        <w:rPr>
          <w:spacing w:val="2"/>
        </w:rPr>
        <w:t> </w:t>
      </w:r>
      <w:r>
        <w:rPr/>
        <w:t>10mg/kg</w:t>
      </w:r>
      <w:r>
        <w:rPr>
          <w:spacing w:val="2"/>
        </w:rPr>
        <w:t> </w:t>
      </w:r>
      <w:r>
        <w:rPr/>
        <w:t>(Figure</w:t>
      </w:r>
      <w:r>
        <w:rPr>
          <w:spacing w:val="1"/>
        </w:rPr>
        <w:t> </w:t>
      </w:r>
      <w:r>
        <w:rPr/>
        <w:t>4.7).</w:t>
      </w:r>
    </w:p>
    <w:p>
      <w:pPr>
        <w:spacing w:after="0" w:line="480" w:lineRule="auto"/>
        <w:jc w:val="both"/>
        <w:sectPr>
          <w:headerReference w:type="default" r:id="rId290"/>
          <w:footerReference w:type="default" r:id="rId291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376"/>
        <w:rPr>
          <w:sz w:val="20"/>
        </w:rPr>
      </w:pPr>
      <w:r>
        <w:rPr>
          <w:sz w:val="20"/>
        </w:rPr>
        <w:drawing>
          <wp:inline distT="0" distB="0" distL="0" distR="0">
            <wp:extent cx="4734365" cy="2798063"/>
            <wp:effectExtent l="0" t="0" r="0" b="0"/>
            <wp:docPr id="63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85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4365" cy="279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5"/>
        </w:rPr>
      </w:pPr>
    </w:p>
    <w:p>
      <w:pPr>
        <w:pStyle w:val="Heading1"/>
        <w:spacing w:line="237" w:lineRule="auto" w:before="92"/>
        <w:ind w:right="692"/>
        <w:jc w:val="both"/>
      </w:pPr>
      <w:r>
        <w:rPr/>
        <w:t>Figure 4.7: Effect of P1, P2, P3, P4, P8, and P23-P25 on the parasitaemia level of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bergheii</w:t>
      </w:r>
      <w:r>
        <w:rPr>
          <w:i/>
          <w:spacing w:val="2"/>
        </w:rPr>
        <w:t> </w:t>
      </w:r>
      <w:r>
        <w:rPr/>
        <w:t>infected</w:t>
      </w:r>
      <w:r>
        <w:rPr>
          <w:spacing w:val="2"/>
        </w:rPr>
        <w:t> </w:t>
      </w:r>
      <w:r>
        <w:rPr/>
        <w:t>mice.</w:t>
      </w:r>
    </w:p>
    <w:p>
      <w:pPr>
        <w:pStyle w:val="BodyText"/>
        <w:ind w:left="312" w:right="688"/>
        <w:jc w:val="both"/>
      </w:pPr>
      <w:r>
        <w:rPr/>
        <w:t>Values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presented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Mean;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analyzed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ANOVA</w:t>
      </w:r>
      <w:r>
        <w:rPr>
          <w:spacing w:val="1"/>
        </w:rPr>
        <w:t> </w:t>
      </w:r>
      <w:r>
        <w:rPr/>
        <w:t>followed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Bonferroni‘s</w:t>
      </w:r>
      <w:r>
        <w:rPr>
          <w:spacing w:val="1"/>
        </w:rPr>
        <w:t> </w:t>
      </w:r>
      <w:r>
        <w:rPr/>
        <w:t>post-hoc</w:t>
      </w:r>
      <w:r>
        <w:rPr>
          <w:spacing w:val="1"/>
        </w:rPr>
        <w:t> </w:t>
      </w:r>
      <w:r>
        <w:rPr/>
        <w:t>test;</w:t>
      </w:r>
      <w:r>
        <w:rPr>
          <w:spacing w:val="1"/>
        </w:rPr>
        <w:t> </w:t>
      </w:r>
      <w:r>
        <w:rPr/>
        <w:t>n=5</w:t>
      </w:r>
      <w:r>
        <w:rPr>
          <w:spacing w:val="1"/>
        </w:rPr>
        <w:t> </w:t>
      </w:r>
      <w:r>
        <w:rPr/>
        <w:t>a=</w:t>
      </w:r>
      <w:r>
        <w:rPr>
          <w:i/>
        </w:rPr>
        <w:t>p˂</w:t>
      </w:r>
      <w:r>
        <w:rPr/>
        <w:t>0.05,</w:t>
      </w:r>
      <w:r>
        <w:rPr>
          <w:spacing w:val="1"/>
        </w:rPr>
        <w:t> </w:t>
      </w:r>
      <w:r>
        <w:rPr/>
        <w:t>b=</w:t>
      </w:r>
      <w:r>
        <w:rPr>
          <w:i/>
        </w:rPr>
        <w:t>p˂</w:t>
      </w:r>
      <w:r>
        <w:rPr/>
        <w:t>0.01,</w:t>
      </w:r>
      <w:r>
        <w:rPr>
          <w:spacing w:val="1"/>
        </w:rPr>
        <w:t> </w:t>
      </w:r>
      <w:r>
        <w:rPr/>
        <w:t>c=</w:t>
      </w:r>
      <w:r>
        <w:rPr>
          <w:i/>
        </w:rPr>
        <w:t>p˂</w:t>
      </w:r>
      <w:r>
        <w:rPr/>
        <w:t>0.001</w:t>
      </w:r>
      <w:r>
        <w:rPr>
          <w:spacing w:val="1"/>
        </w:rPr>
        <w:t> </w:t>
      </w:r>
      <w:r>
        <w:rPr/>
        <w:t>versus</w:t>
      </w:r>
      <w:r>
        <w:rPr>
          <w:spacing w:val="1"/>
        </w:rPr>
        <w:t> </w:t>
      </w:r>
      <w:r>
        <w:rPr/>
        <w:t>control;</w:t>
      </w:r>
      <w:r>
        <w:rPr>
          <w:spacing w:val="-57"/>
        </w:rPr>
        <w:t> </w:t>
      </w:r>
      <w:r>
        <w:rPr/>
        <w:t>CLQ=chloroquine,</w:t>
      </w:r>
      <w:r>
        <w:rPr>
          <w:spacing w:val="2"/>
        </w:rPr>
        <w:t> </w:t>
      </w:r>
      <w:r>
        <w:rPr/>
        <w:t>ART= arthemeter,</w:t>
      </w:r>
      <w:r>
        <w:rPr>
          <w:spacing w:val="-2"/>
        </w:rPr>
        <w:t> </w:t>
      </w:r>
      <w:r>
        <w:rPr/>
        <w:t>QUIN=</w:t>
      </w:r>
      <w:r>
        <w:rPr>
          <w:spacing w:val="-2"/>
        </w:rPr>
        <w:t> </w:t>
      </w:r>
      <w:r>
        <w:rPr/>
        <w:t>quinine;</w:t>
      </w:r>
      <w:r>
        <w:rPr>
          <w:spacing w:val="-4"/>
        </w:rPr>
        <w:t> </w:t>
      </w:r>
      <w:r>
        <w:rPr/>
        <w:t>Route</w:t>
      </w:r>
      <w:r>
        <w:rPr>
          <w:spacing w:val="-10"/>
        </w:rPr>
        <w:t> </w:t>
      </w:r>
      <w:r>
        <w:rPr/>
        <w:t>of</w:t>
      </w:r>
      <w:r>
        <w:rPr>
          <w:spacing w:val="-7"/>
        </w:rPr>
        <w:t> </w:t>
      </w:r>
      <w:r>
        <w:rPr/>
        <w:t>administration=ip</w:t>
      </w:r>
    </w:p>
    <w:p>
      <w:pPr>
        <w:spacing w:after="0"/>
        <w:jc w:val="both"/>
        <w:sectPr>
          <w:headerReference w:type="default" r:id="rId292"/>
          <w:footerReference w:type="default" r:id="rId293"/>
          <w:pgSz w:w="11910" w:h="16840"/>
          <w:pgMar w:header="0" w:footer="878" w:top="1280" w:bottom="1060" w:left="1560" w:right="600"/>
        </w:sectPr>
      </w:pPr>
    </w:p>
    <w:p>
      <w:pPr>
        <w:pStyle w:val="Heading1"/>
        <w:numPr>
          <w:ilvl w:val="2"/>
          <w:numId w:val="20"/>
        </w:numPr>
        <w:tabs>
          <w:tab w:pos="903" w:val="left" w:leader="none"/>
        </w:tabs>
        <w:spacing w:line="237" w:lineRule="auto" w:before="77" w:after="0"/>
        <w:ind w:left="312" w:right="687" w:firstLine="0"/>
        <w:jc w:val="left"/>
      </w:pPr>
      <w:r>
        <w:rPr/>
        <w:t>Effect</w:t>
      </w:r>
      <w:r>
        <w:rPr>
          <w:spacing w:val="42"/>
        </w:rPr>
        <w:t> </w:t>
      </w:r>
      <w:r>
        <w:rPr/>
        <w:t>of</w:t>
      </w:r>
      <w:r>
        <w:rPr>
          <w:spacing w:val="39"/>
        </w:rPr>
        <w:t> </w:t>
      </w:r>
      <w:r>
        <w:rPr/>
        <w:t>P11,</w:t>
      </w:r>
      <w:r>
        <w:rPr>
          <w:spacing w:val="43"/>
        </w:rPr>
        <w:t> </w:t>
      </w:r>
      <w:r>
        <w:rPr/>
        <w:t>P12,</w:t>
      </w:r>
      <w:r>
        <w:rPr>
          <w:spacing w:val="44"/>
        </w:rPr>
        <w:t> </w:t>
      </w:r>
      <w:r>
        <w:rPr/>
        <w:t>P13,</w:t>
      </w:r>
      <w:r>
        <w:rPr>
          <w:spacing w:val="43"/>
        </w:rPr>
        <w:t> </w:t>
      </w:r>
      <w:r>
        <w:rPr/>
        <w:t>P15,</w:t>
      </w:r>
      <w:r>
        <w:rPr>
          <w:spacing w:val="44"/>
        </w:rPr>
        <w:t> </w:t>
      </w:r>
      <w:r>
        <w:rPr/>
        <w:t>P16,</w:t>
      </w:r>
      <w:r>
        <w:rPr>
          <w:spacing w:val="43"/>
        </w:rPr>
        <w:t> </w:t>
      </w:r>
      <w:r>
        <w:rPr/>
        <w:t>P17,</w:t>
      </w:r>
      <w:r>
        <w:rPr>
          <w:spacing w:val="44"/>
        </w:rPr>
        <w:t> </w:t>
      </w:r>
      <w:r>
        <w:rPr/>
        <w:t>P19,</w:t>
      </w:r>
      <w:r>
        <w:rPr>
          <w:spacing w:val="43"/>
        </w:rPr>
        <w:t> </w:t>
      </w:r>
      <w:r>
        <w:rPr/>
        <w:t>P21</w:t>
      </w:r>
      <w:r>
        <w:rPr>
          <w:spacing w:val="42"/>
        </w:rPr>
        <w:t> </w:t>
      </w:r>
      <w:r>
        <w:rPr/>
        <w:t>and</w:t>
      </w:r>
      <w:r>
        <w:rPr>
          <w:spacing w:val="43"/>
        </w:rPr>
        <w:t> </w:t>
      </w:r>
      <w:r>
        <w:rPr/>
        <w:t>P22</w:t>
      </w:r>
      <w:r>
        <w:rPr>
          <w:spacing w:val="41"/>
        </w:rPr>
        <w:t> </w:t>
      </w:r>
      <w:r>
        <w:rPr/>
        <w:t>on</w:t>
      </w:r>
      <w:r>
        <w:rPr>
          <w:spacing w:val="43"/>
        </w:rPr>
        <w:t> </w:t>
      </w:r>
      <w:r>
        <w:rPr/>
        <w:t>established</w:t>
      </w:r>
      <w:r>
        <w:rPr>
          <w:spacing w:val="53"/>
        </w:rPr>
        <w:t> </w:t>
      </w:r>
      <w:r>
        <w:rPr>
          <w:i/>
        </w:rPr>
        <w:t>P.</w:t>
      </w:r>
      <w:r>
        <w:rPr>
          <w:i/>
          <w:spacing w:val="-57"/>
        </w:rPr>
        <w:t> </w:t>
      </w:r>
      <w:r>
        <w:rPr>
          <w:i/>
        </w:rPr>
        <w:t>berghii</w:t>
      </w:r>
      <w:r>
        <w:rPr>
          <w:i/>
          <w:spacing w:val="2"/>
        </w:rPr>
        <w:t> </w:t>
      </w:r>
      <w:r>
        <w:rPr/>
        <w:t>infection</w:t>
      </w:r>
      <w:r>
        <w:rPr>
          <w:spacing w:val="3"/>
        </w:rPr>
        <w:t> </w:t>
      </w:r>
      <w:r>
        <w:rPr/>
        <w:t>in</w:t>
      </w:r>
      <w:r>
        <w:rPr>
          <w:spacing w:val="-2"/>
        </w:rPr>
        <w:t> </w:t>
      </w:r>
      <w:r>
        <w:rPr/>
        <w:t>mice</w:t>
      </w:r>
    </w:p>
    <w:p>
      <w:pPr>
        <w:pStyle w:val="BodyText"/>
        <w:spacing w:line="480" w:lineRule="auto" w:before="200"/>
        <w:ind w:left="312" w:right="689"/>
        <w:jc w:val="both"/>
      </w:pPr>
      <w:r>
        <w:rPr/>
        <w:t>P11,</w:t>
      </w:r>
      <w:r>
        <w:rPr>
          <w:spacing w:val="1"/>
        </w:rPr>
        <w:t> </w:t>
      </w:r>
      <w:r>
        <w:rPr/>
        <w:t>P12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P17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100mg/kg,</w:t>
      </w:r>
      <w:r>
        <w:rPr>
          <w:spacing w:val="1"/>
        </w:rPr>
        <w:t> </w:t>
      </w:r>
      <w:r>
        <w:rPr/>
        <w:t>300mg/kg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50mg/kg</w:t>
      </w:r>
      <w:r>
        <w:rPr>
          <w:spacing w:val="1"/>
        </w:rPr>
        <w:t> </w:t>
      </w:r>
      <w:r>
        <w:rPr/>
        <w:t>respectively,</w:t>
      </w:r>
      <w:r>
        <w:rPr>
          <w:spacing w:val="1"/>
        </w:rPr>
        <w:t> </w:t>
      </w:r>
      <w:r>
        <w:rPr/>
        <w:t>significantly (</w:t>
      </w:r>
      <w:r>
        <w:rPr>
          <w:i/>
        </w:rPr>
        <w:t>p</w:t>
      </w:r>
      <w:r>
        <w:rPr/>
        <w:t>˂0.05) suppress parasitaemia in mice, with percent chemosuppression of</w:t>
      </w:r>
      <w:r>
        <w:rPr>
          <w:spacing w:val="1"/>
        </w:rPr>
        <w:t> </w:t>
      </w:r>
      <w:r>
        <w:rPr/>
        <w:t>82.8%, 89.44% and, 80.3% respectively compared to control (Figure 4.8). The standard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(chloroquine)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25mg/kg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(</w:t>
      </w:r>
      <w:r>
        <w:rPr>
          <w:i/>
        </w:rPr>
        <w:t>p</w:t>
      </w:r>
      <w:r>
        <w:rPr/>
        <w:t>˂0.05)</w:t>
      </w:r>
      <w:r>
        <w:rPr>
          <w:spacing w:val="1"/>
        </w:rPr>
        <w:t> </w:t>
      </w:r>
      <w:r>
        <w:rPr/>
        <w:t>parasite</w:t>
      </w:r>
      <w:r>
        <w:rPr>
          <w:spacing w:val="1"/>
        </w:rPr>
        <w:t> </w:t>
      </w:r>
      <w:r>
        <w:rPr/>
        <w:t>suppression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91.8%</w:t>
      </w:r>
      <w:r>
        <w:rPr>
          <w:spacing w:val="3"/>
        </w:rPr>
        <w:t> </w:t>
      </w:r>
      <w:r>
        <w:rPr/>
        <w:t>compared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control.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1203947</wp:posOffset>
            </wp:positionH>
            <wp:positionV relativeFrom="paragraph">
              <wp:posOffset>166343</wp:posOffset>
            </wp:positionV>
            <wp:extent cx="4684487" cy="2726054"/>
            <wp:effectExtent l="0" t="0" r="0" b="0"/>
            <wp:wrapTopAndBottom/>
            <wp:docPr id="6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86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487" cy="2726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9"/>
        </w:rPr>
      </w:pPr>
    </w:p>
    <w:p>
      <w:pPr>
        <w:pStyle w:val="Heading1"/>
        <w:spacing w:line="242" w:lineRule="auto" w:before="0"/>
        <w:ind w:right="850"/>
        <w:jc w:val="both"/>
      </w:pPr>
      <w:r>
        <w:rPr/>
        <w:t>Figure 4.8: Effect of P11, P13, P17, P18, and P21-P22 on the parasitaemia level of </w:t>
      </w:r>
      <w:r>
        <w:rPr>
          <w:i/>
        </w:rPr>
        <w:t>P.</w:t>
      </w:r>
      <w:r>
        <w:rPr>
          <w:i/>
          <w:spacing w:val="-57"/>
        </w:rPr>
        <w:t> </w:t>
      </w:r>
      <w:r>
        <w:rPr>
          <w:i/>
        </w:rPr>
        <w:t>bergheii</w:t>
      </w:r>
      <w:r>
        <w:rPr>
          <w:i/>
          <w:spacing w:val="2"/>
        </w:rPr>
        <w:t> </w:t>
      </w:r>
      <w:r>
        <w:rPr/>
        <w:t>infected</w:t>
      </w:r>
      <w:r>
        <w:rPr>
          <w:spacing w:val="2"/>
        </w:rPr>
        <w:t> </w:t>
      </w:r>
      <w:r>
        <w:rPr/>
        <w:t>mice.</w:t>
      </w:r>
    </w:p>
    <w:p>
      <w:pPr>
        <w:pStyle w:val="BodyText"/>
        <w:ind w:left="312" w:right="691"/>
        <w:jc w:val="both"/>
      </w:pPr>
      <w:r>
        <w:rPr/>
        <w:t>Values are presented as Mean ± SEM; Data analyzed by one-way ANOVA followed by</w:t>
      </w:r>
      <w:r>
        <w:rPr>
          <w:spacing w:val="1"/>
        </w:rPr>
        <w:t> </w:t>
      </w:r>
      <w:r>
        <w:rPr/>
        <w:t>Bonferroni‘s post-hoc test; n=5 a=</w:t>
      </w:r>
      <w:r>
        <w:rPr>
          <w:i/>
        </w:rPr>
        <w:t>p˂</w:t>
      </w:r>
      <w:r>
        <w:rPr/>
        <w:t>0.05, c=</w:t>
      </w:r>
      <w:r>
        <w:rPr>
          <w:i/>
        </w:rPr>
        <w:t>p˂</w:t>
      </w:r>
      <w:r>
        <w:rPr/>
        <w:t>0.001 versus</w:t>
      </w:r>
      <w:r>
        <w:rPr>
          <w:spacing w:val="1"/>
        </w:rPr>
        <w:t> </w:t>
      </w:r>
      <w:r>
        <w:rPr/>
        <w:t>control; CQ=chloroquine,</w:t>
      </w:r>
      <w:r>
        <w:rPr>
          <w:spacing w:val="1"/>
        </w:rPr>
        <w:t> </w:t>
      </w:r>
      <w:r>
        <w:rPr/>
        <w:t>P11,</w:t>
      </w:r>
      <w:r>
        <w:rPr>
          <w:spacing w:val="27"/>
        </w:rPr>
        <w:t> </w:t>
      </w:r>
      <w:r>
        <w:rPr/>
        <w:t>P13</w:t>
      </w:r>
      <w:r>
        <w:rPr>
          <w:spacing w:val="21"/>
        </w:rPr>
        <w:t> </w:t>
      </w:r>
      <w:r>
        <w:rPr/>
        <w:t>(25,</w:t>
      </w:r>
      <w:r>
        <w:rPr>
          <w:spacing w:val="27"/>
        </w:rPr>
        <w:t> </w:t>
      </w:r>
      <w:r>
        <w:rPr/>
        <w:t>50,100mg/kg);</w:t>
      </w:r>
      <w:r>
        <w:rPr>
          <w:spacing w:val="22"/>
        </w:rPr>
        <w:t> </w:t>
      </w:r>
      <w:r>
        <w:rPr/>
        <w:t>P17</w:t>
      </w:r>
      <w:r>
        <w:rPr>
          <w:spacing w:val="26"/>
        </w:rPr>
        <w:t> </w:t>
      </w:r>
      <w:r>
        <w:rPr/>
        <w:t>(50,100,200mg/kg);</w:t>
      </w:r>
      <w:r>
        <w:rPr>
          <w:spacing w:val="22"/>
        </w:rPr>
        <w:t> </w:t>
      </w:r>
      <w:r>
        <w:rPr/>
        <w:t>P18</w:t>
      </w:r>
      <w:r>
        <w:rPr>
          <w:spacing w:val="26"/>
        </w:rPr>
        <w:t> </w:t>
      </w:r>
      <w:r>
        <w:rPr/>
        <w:t>(75,150,300mg/kg);</w:t>
      </w:r>
      <w:r>
        <w:rPr>
          <w:spacing w:val="22"/>
        </w:rPr>
        <w:t> </w:t>
      </w:r>
      <w:r>
        <w:rPr/>
        <w:t>P21</w:t>
      </w:r>
    </w:p>
    <w:p>
      <w:pPr>
        <w:pStyle w:val="BodyText"/>
        <w:ind w:left="312"/>
        <w:jc w:val="both"/>
        <w:rPr>
          <w:i/>
        </w:rPr>
      </w:pPr>
      <w:r>
        <w:rPr/>
        <w:t>(175,350,700mg/kg);</w:t>
      </w:r>
      <w:r>
        <w:rPr>
          <w:spacing w:val="-5"/>
        </w:rPr>
        <w:t> </w:t>
      </w:r>
      <w:r>
        <w:rPr/>
        <w:t>P22</w:t>
      </w:r>
      <w:r>
        <w:rPr>
          <w:spacing w:val="1"/>
        </w:rPr>
        <w:t> </w:t>
      </w:r>
      <w:r>
        <w:rPr/>
        <w:t>(250,500,1000mg/kg);</w:t>
      </w:r>
      <w:r>
        <w:rPr>
          <w:spacing w:val="-4"/>
        </w:rPr>
        <w:t> </w:t>
      </w:r>
      <w:r>
        <w:rPr/>
        <w:t>Route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administration=</w:t>
      </w:r>
      <w:r>
        <w:rPr>
          <w:i/>
        </w:rPr>
        <w:t>ip</w:t>
      </w:r>
    </w:p>
    <w:p>
      <w:pPr>
        <w:spacing w:after="0"/>
        <w:jc w:val="both"/>
        <w:sectPr>
          <w:headerReference w:type="default" r:id="rId295"/>
          <w:footerReference w:type="default" r:id="rId296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1"/>
          <w:numId w:val="19"/>
        </w:numPr>
        <w:tabs>
          <w:tab w:pos="1364" w:val="left" w:leader="none"/>
        </w:tabs>
        <w:spacing w:line="240" w:lineRule="auto" w:before="74" w:after="0"/>
        <w:ind w:left="1363" w:right="0" w:hanging="365"/>
        <w:jc w:val="both"/>
      </w:pPr>
      <w:bookmarkStart w:name="_TOC_250028" w:id="65"/>
      <w:r>
        <w:rPr/>
        <w:t>Effect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Substituted</w:t>
      </w:r>
      <w:r>
        <w:rPr>
          <w:spacing w:val="-6"/>
        </w:rPr>
        <w:t> </w:t>
      </w:r>
      <w:r>
        <w:rPr/>
        <w:t>Chalcones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Inhibition</w:t>
      </w:r>
      <w:r>
        <w:rPr>
          <w:spacing w:val="-2"/>
        </w:rPr>
        <w:t> </w:t>
      </w:r>
      <w:r>
        <w:rPr/>
        <w:t>of</w:t>
      </w:r>
      <w:r>
        <w:rPr>
          <w:spacing w:val="3"/>
        </w:rPr>
        <w:t> </w:t>
      </w:r>
      <w:r>
        <w:rPr>
          <w:i/>
        </w:rPr>
        <w:t>β-</w:t>
      </w:r>
      <w:r>
        <w:rPr/>
        <w:t>hematin</w:t>
      </w:r>
      <w:r>
        <w:rPr>
          <w:spacing w:val="-4"/>
        </w:rPr>
        <w:t> </w:t>
      </w:r>
      <w:bookmarkEnd w:id="65"/>
      <w:r>
        <w:rPr/>
        <w:t>Synthesis</w:t>
      </w:r>
    </w:p>
    <w:p>
      <w:pPr>
        <w:pStyle w:val="BodyText"/>
        <w:spacing w:line="480" w:lineRule="auto" w:before="195"/>
        <w:ind w:left="312" w:right="690"/>
        <w:jc w:val="both"/>
      </w:pPr>
      <w:r>
        <w:rPr/>
        <w:t>With the exception of P12 and P17, none of the compound inhibits the formation of </w:t>
      </w:r>
      <w:r>
        <w:rPr>
          <w:i/>
        </w:rPr>
        <w:t>β-</w:t>
      </w:r>
      <w:r>
        <w:rPr>
          <w:i/>
          <w:spacing w:val="1"/>
        </w:rPr>
        <w:t> </w:t>
      </w:r>
      <w:r>
        <w:rPr/>
        <w:t>hematin (Table 4.12). Compounds P12 and P17 showed modest inhibition of </w:t>
      </w:r>
      <w:r>
        <w:rPr>
          <w:i/>
        </w:rPr>
        <w:t>β-</w:t>
      </w:r>
      <w:r>
        <w:rPr/>
        <w:t>hematin</w:t>
      </w:r>
      <w:r>
        <w:rPr>
          <w:spacing w:val="1"/>
        </w:rPr>
        <w:t> </w:t>
      </w:r>
      <w:r>
        <w:rPr/>
        <w:t>synthesis with percent inhibition of 59.28% and 49.04% respectively at a dose of 50µg/kg.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(chloroquine)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74.58%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β-</w:t>
      </w:r>
      <w:r>
        <w:rPr/>
        <w:t>hematin</w:t>
      </w:r>
      <w:r>
        <w:rPr>
          <w:spacing w:val="60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(Table 4.12).</w:t>
      </w:r>
    </w:p>
    <w:p>
      <w:pPr>
        <w:spacing w:after="0" w:line="480" w:lineRule="auto"/>
        <w:jc w:val="both"/>
        <w:sectPr>
          <w:headerReference w:type="default" r:id="rId298"/>
          <w:footerReference w:type="default" r:id="rId299"/>
          <w:pgSz w:w="11910" w:h="16840"/>
          <w:pgMar w:header="0" w:footer="878" w:top="1200" w:bottom="1060" w:left="1560" w:right="600"/>
        </w:sectPr>
      </w:pPr>
    </w:p>
    <w:p>
      <w:pPr>
        <w:pStyle w:val="Heading1"/>
        <w:spacing w:line="275" w:lineRule="exact" w:before="74"/>
        <w:rPr>
          <w:i/>
        </w:rPr>
      </w:pPr>
      <w:r>
        <w:rPr/>
        <w:t>Table</w:t>
      </w:r>
      <w:r>
        <w:rPr>
          <w:spacing w:val="-2"/>
        </w:rPr>
        <w:t> </w:t>
      </w:r>
      <w:r>
        <w:rPr/>
        <w:t>4.12:</w:t>
      </w:r>
      <w:r>
        <w:rPr>
          <w:spacing w:val="1"/>
        </w:rPr>
        <w:t> </w:t>
      </w:r>
      <w:r>
        <w:rPr/>
        <w:t>Effect of</w:t>
      </w:r>
      <w:r>
        <w:rPr>
          <w:spacing w:val="-3"/>
        </w:rPr>
        <w:t> </w:t>
      </w:r>
      <w:r>
        <w:rPr/>
        <w:t>P2,</w:t>
      </w:r>
      <w:r>
        <w:rPr>
          <w:spacing w:val="1"/>
        </w:rPr>
        <w:t> </w:t>
      </w:r>
      <w:r>
        <w:rPr/>
        <w:t>P3,</w:t>
      </w:r>
      <w:r>
        <w:rPr>
          <w:spacing w:val="1"/>
        </w:rPr>
        <w:t> </w:t>
      </w:r>
      <w:r>
        <w:rPr/>
        <w:t>P4,</w:t>
      </w:r>
      <w:r>
        <w:rPr>
          <w:spacing w:val="1"/>
        </w:rPr>
        <w:t> </w:t>
      </w:r>
      <w:r>
        <w:rPr/>
        <w:t>P8,</w:t>
      </w:r>
      <w:r>
        <w:rPr>
          <w:spacing w:val="1"/>
        </w:rPr>
        <w:t> </w:t>
      </w:r>
      <w:r>
        <w:rPr/>
        <w:t>P11,</w:t>
      </w:r>
      <w:r>
        <w:rPr>
          <w:spacing w:val="-3"/>
        </w:rPr>
        <w:t> </w:t>
      </w:r>
      <w:r>
        <w:rPr/>
        <w:t>P12,</w:t>
      </w:r>
      <w:r>
        <w:rPr>
          <w:spacing w:val="1"/>
        </w:rPr>
        <w:t> </w:t>
      </w:r>
      <w:r>
        <w:rPr/>
        <w:t>P17,</w:t>
      </w:r>
      <w:r>
        <w:rPr>
          <w:spacing w:val="1"/>
        </w:rPr>
        <w:t> </w:t>
      </w:r>
      <w:r>
        <w:rPr/>
        <w:t>P21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P25</w:t>
      </w:r>
      <w:r>
        <w:rPr>
          <w:spacing w:val="-1"/>
        </w:rPr>
        <w:t> </w:t>
      </w:r>
      <w:r>
        <w:rPr/>
        <w:t>on</w:t>
      </w:r>
      <w:r>
        <w:rPr>
          <w:spacing w:val="-5"/>
        </w:rPr>
        <w:t> </w:t>
      </w:r>
      <w:r>
        <w:rPr/>
        <w:t>inhibition</w:t>
      </w:r>
      <w:r>
        <w:rPr>
          <w:spacing w:val="-4"/>
        </w:rPr>
        <w:t> </w:t>
      </w:r>
      <w:r>
        <w:rPr/>
        <w:t>of</w:t>
      </w:r>
      <w:r>
        <w:rPr>
          <w:spacing w:val="5"/>
        </w:rPr>
        <w:t> </w:t>
      </w:r>
      <w:r>
        <w:rPr>
          <w:i/>
        </w:rPr>
        <w:t>β-</w:t>
      </w:r>
    </w:p>
    <w:p>
      <w:pPr>
        <w:spacing w:line="275" w:lineRule="exact" w:before="0" w:after="6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hematin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synthesis</w:t>
      </w:r>
    </w:p>
    <w:tbl>
      <w:tblPr>
        <w:tblW w:w="0" w:type="auto"/>
        <w:jc w:val="left"/>
        <w:tblInd w:w="2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6"/>
        <w:gridCol w:w="1998"/>
        <w:gridCol w:w="2201"/>
        <w:gridCol w:w="2680"/>
      </w:tblGrid>
      <w:tr>
        <w:trPr>
          <w:trHeight w:val="277" w:hRule="atLeast"/>
        </w:trPr>
        <w:tc>
          <w:tcPr>
            <w:tcW w:w="208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>
              <w:rPr>
                <w:sz w:val="24"/>
              </w:rPr>
              <w:t>Treatment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groups</w:t>
            </w:r>
          </w:p>
        </w:tc>
        <w:tc>
          <w:tcPr>
            <w:tcW w:w="19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266"/>
              <w:rPr>
                <w:sz w:val="24"/>
              </w:rPr>
            </w:pPr>
            <w:r>
              <w:rPr>
                <w:sz w:val="24"/>
              </w:rPr>
              <w:t>Dose(µg/kg)</w:t>
            </w:r>
          </w:p>
        </w:tc>
        <w:tc>
          <w:tcPr>
            <w:tcW w:w="220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510"/>
              <w:rPr>
                <w:sz w:val="24"/>
              </w:rPr>
            </w:pPr>
            <w:r>
              <w:rPr>
                <w:sz w:val="24"/>
              </w:rPr>
              <w:t>Absorbance</w:t>
            </w:r>
          </w:p>
        </w:tc>
        <w:tc>
          <w:tcPr>
            <w:tcW w:w="26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547"/>
              <w:rPr>
                <w:sz w:val="24"/>
              </w:rPr>
            </w:pPr>
            <w:r>
              <w:rPr>
                <w:sz w:val="24"/>
              </w:rPr>
              <w:t>%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Inhibition</w:t>
            </w:r>
          </w:p>
        </w:tc>
      </w:tr>
      <w:tr>
        <w:trPr>
          <w:trHeight w:val="271" w:hRule="atLeast"/>
        </w:trPr>
        <w:tc>
          <w:tcPr>
            <w:tcW w:w="208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2" w:lineRule="exact"/>
              <w:ind w:left="115"/>
              <w:rPr>
                <w:sz w:val="24"/>
              </w:rPr>
            </w:pPr>
            <w:r>
              <w:rPr>
                <w:sz w:val="24"/>
              </w:rPr>
              <w:t>Acacia</w:t>
            </w:r>
          </w:p>
        </w:tc>
        <w:tc>
          <w:tcPr>
            <w:tcW w:w="19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2" w:lineRule="exact"/>
              <w:ind w:left="266"/>
              <w:rPr>
                <w:sz w:val="24"/>
              </w:rPr>
            </w:pPr>
            <w:r>
              <w:rPr>
                <w:sz w:val="24"/>
              </w:rPr>
              <w:t>1%w/v</w:t>
            </w:r>
          </w:p>
        </w:tc>
        <w:tc>
          <w:tcPr>
            <w:tcW w:w="22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52" w:lineRule="exact"/>
              <w:ind w:left="510"/>
              <w:rPr>
                <w:sz w:val="24"/>
              </w:rPr>
            </w:pPr>
            <w:r>
              <w:rPr>
                <w:sz w:val="24"/>
              </w:rPr>
              <w:t>0.830</w:t>
            </w:r>
          </w:p>
        </w:tc>
        <w:tc>
          <w:tcPr>
            <w:tcW w:w="268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Chloroquine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0.211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74.58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0.711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14.34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0.731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11.93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0.755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9.04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1.098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-32.29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0.883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-6.39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0.835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-0.60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1.011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-21.81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1.056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-27.23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1.03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-24.10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1.066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-28.43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1.029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-23.98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1.171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-41.08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1.137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-36.99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1.084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-30.60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1.083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-30.48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0.395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52.41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0.353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57.47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0.338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59.28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0.456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45.06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0.449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45.90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0.423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49.04</w:t>
            </w:r>
          </w:p>
        </w:tc>
      </w:tr>
      <w:tr>
        <w:trPr>
          <w:trHeight w:val="275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0.509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38.67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0.743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10.48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1.055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-27.11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0.831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-0.12</w:t>
            </w:r>
          </w:p>
        </w:tc>
      </w:tr>
      <w:tr>
        <w:trPr>
          <w:trHeight w:val="276" w:hRule="atLeast"/>
        </w:trPr>
        <w:tc>
          <w:tcPr>
            <w:tcW w:w="2086" w:type="dxa"/>
          </w:tcPr>
          <w:p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998" w:type="dxa"/>
          </w:tcPr>
          <w:p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201" w:type="dxa"/>
          </w:tcPr>
          <w:p>
            <w:pPr>
              <w:pStyle w:val="TableParagraph"/>
              <w:spacing w:line="256" w:lineRule="exact"/>
              <w:ind w:left="510"/>
              <w:rPr>
                <w:sz w:val="24"/>
              </w:rPr>
            </w:pPr>
            <w:r>
              <w:rPr>
                <w:sz w:val="24"/>
              </w:rPr>
              <w:t>0.845</w:t>
            </w:r>
          </w:p>
        </w:tc>
        <w:tc>
          <w:tcPr>
            <w:tcW w:w="2680" w:type="dxa"/>
          </w:tcPr>
          <w:p>
            <w:pPr>
              <w:pStyle w:val="TableParagraph"/>
              <w:spacing w:line="256" w:lineRule="exact"/>
              <w:ind w:left="547"/>
              <w:rPr>
                <w:sz w:val="24"/>
              </w:rPr>
            </w:pPr>
            <w:r>
              <w:rPr>
                <w:sz w:val="24"/>
              </w:rPr>
              <w:t>-1.81</w:t>
            </w:r>
          </w:p>
        </w:tc>
      </w:tr>
      <w:tr>
        <w:trPr>
          <w:trHeight w:val="277" w:hRule="atLeast"/>
        </w:trPr>
        <w:tc>
          <w:tcPr>
            <w:tcW w:w="208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115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99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26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510"/>
              <w:rPr>
                <w:sz w:val="24"/>
              </w:rPr>
            </w:pPr>
            <w:r>
              <w:rPr>
                <w:sz w:val="24"/>
              </w:rPr>
              <w:t>1.002</w:t>
            </w:r>
          </w:p>
        </w:tc>
        <w:tc>
          <w:tcPr>
            <w:tcW w:w="26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8" w:lineRule="exact"/>
              <w:ind w:left="547"/>
              <w:rPr>
                <w:sz w:val="24"/>
              </w:rPr>
            </w:pPr>
            <w:r>
              <w:rPr>
                <w:sz w:val="24"/>
              </w:rPr>
              <w:t>-20.72</w:t>
            </w:r>
          </w:p>
        </w:tc>
      </w:tr>
    </w:tbl>
    <w:p>
      <w:pPr>
        <w:spacing w:after="0" w:line="258" w:lineRule="exact"/>
        <w:rPr>
          <w:sz w:val="24"/>
        </w:rPr>
        <w:sectPr>
          <w:headerReference w:type="default" r:id="rId300"/>
          <w:footerReference w:type="default" r:id="rId301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1"/>
          <w:numId w:val="19"/>
        </w:numPr>
        <w:tabs>
          <w:tab w:pos="673" w:val="left" w:leader="none"/>
        </w:tabs>
        <w:spacing w:line="237" w:lineRule="auto" w:before="77" w:after="0"/>
        <w:ind w:left="312" w:right="970" w:firstLine="0"/>
        <w:jc w:val="both"/>
      </w:pPr>
      <w:bookmarkStart w:name="_TOC_250027" w:id="66"/>
      <w:r>
        <w:rPr/>
        <w:t>Molecular Docking Studies of P3 and P4 Complexes on FP-2, FP-3, Plm-II, and</w:t>
      </w:r>
      <w:r>
        <w:rPr>
          <w:spacing w:val="-57"/>
        </w:rPr>
        <w:t> </w:t>
      </w:r>
      <w:bookmarkEnd w:id="66"/>
      <w:r>
        <w:rPr/>
        <w:t>Plm-IV.</w:t>
      </w:r>
    </w:p>
    <w:p>
      <w:pPr>
        <w:pStyle w:val="Heading1"/>
        <w:numPr>
          <w:ilvl w:val="2"/>
          <w:numId w:val="19"/>
        </w:numPr>
        <w:tabs>
          <w:tab w:pos="856" w:val="left" w:leader="none"/>
        </w:tabs>
        <w:spacing w:line="240" w:lineRule="auto" w:before="205" w:after="0"/>
        <w:ind w:left="855" w:right="0" w:hanging="544"/>
        <w:jc w:val="both"/>
      </w:pPr>
      <w:bookmarkStart w:name="_TOC_250026" w:id="67"/>
      <w:r>
        <w:rPr/>
        <w:t>Validation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docking</w:t>
      </w:r>
      <w:r>
        <w:rPr>
          <w:spacing w:val="-3"/>
        </w:rPr>
        <w:t> </w:t>
      </w:r>
      <w:bookmarkEnd w:id="67"/>
      <w:r>
        <w:rPr/>
        <w:t>procedure</w:t>
      </w:r>
    </w:p>
    <w:p>
      <w:pPr>
        <w:pStyle w:val="BodyText"/>
        <w:spacing w:line="480" w:lineRule="auto" w:before="195"/>
        <w:ind w:left="312" w:right="700"/>
        <w:jc w:val="both"/>
      </w:pPr>
      <w:r>
        <w:rPr/>
        <w:t>The docking procedures applied on all the four enzymes were well validated. As shown on</w:t>
      </w:r>
      <w:r>
        <w:rPr>
          <w:spacing w:val="-57"/>
        </w:rPr>
        <w:t> </w:t>
      </w:r>
      <w:r>
        <w:rPr/>
        <w:t>Table</w:t>
      </w:r>
      <w:r>
        <w:rPr>
          <w:spacing w:val="1"/>
        </w:rPr>
        <w:t> </w:t>
      </w:r>
      <w:r>
        <w:rPr/>
        <w:t>4.13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co-crystallized</w:t>
      </w:r>
      <w:r>
        <w:rPr>
          <w:spacing w:val="1"/>
        </w:rPr>
        <w:t> </w:t>
      </w:r>
      <w:r>
        <w:rPr/>
        <w:t>ligands</w:t>
      </w:r>
      <w:r>
        <w:rPr>
          <w:spacing w:val="1"/>
        </w:rPr>
        <w:t> </w:t>
      </w:r>
      <w:r>
        <w:rPr/>
        <w:t>re-docked</w:t>
      </w:r>
      <w:r>
        <w:rPr>
          <w:spacing w:val="1"/>
        </w:rPr>
        <w:t> </w:t>
      </w:r>
      <w:r>
        <w:rPr/>
        <w:t>(Cyan</w:t>
      </w:r>
      <w:r>
        <w:rPr>
          <w:spacing w:val="1"/>
        </w:rPr>
        <w:t> </w:t>
      </w:r>
      <w:r>
        <w:rPr/>
        <w:t>color)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respective</w:t>
      </w:r>
      <w:r>
        <w:rPr>
          <w:spacing w:val="-57"/>
        </w:rPr>
        <w:t> </w:t>
      </w:r>
      <w:r>
        <w:rPr/>
        <w:t>proteins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well</w:t>
      </w:r>
      <w:r>
        <w:rPr>
          <w:spacing w:val="-4"/>
        </w:rPr>
        <w:t> </w:t>
      </w:r>
      <w:r>
        <w:rPr/>
        <w:t>super</w:t>
      </w:r>
      <w:r>
        <w:rPr>
          <w:spacing w:val="6"/>
        </w:rPr>
        <w:t> </w:t>
      </w:r>
      <w:r>
        <w:rPr/>
        <w:t>imposed on</w:t>
      </w:r>
      <w:r>
        <w:rPr>
          <w:spacing w:val="-4"/>
        </w:rPr>
        <w:t> </w:t>
      </w:r>
      <w:r>
        <w:rPr/>
        <w:t>their</w:t>
      </w:r>
      <w:r>
        <w:rPr>
          <w:spacing w:val="1"/>
        </w:rPr>
        <w:t> </w:t>
      </w:r>
      <w:r>
        <w:rPr/>
        <w:t>original</w:t>
      </w:r>
      <w:r>
        <w:rPr>
          <w:spacing w:val="-9"/>
        </w:rPr>
        <w:t> </w:t>
      </w:r>
      <w:r>
        <w:rPr/>
        <w:t>Protein</w:t>
      </w:r>
      <w:r>
        <w:rPr>
          <w:spacing w:val="-4"/>
        </w:rPr>
        <w:t> </w:t>
      </w:r>
      <w:r>
        <w:rPr/>
        <w:t>Data</w:t>
      </w:r>
      <w:r>
        <w:rPr>
          <w:spacing w:val="-1"/>
        </w:rPr>
        <w:t> </w:t>
      </w:r>
      <w:r>
        <w:rPr/>
        <w:t>Bank (PDB)</w:t>
      </w:r>
      <w:r>
        <w:rPr>
          <w:spacing w:val="2"/>
        </w:rPr>
        <w:t> </w:t>
      </w:r>
      <w:r>
        <w:rPr/>
        <w:t>structures.</w:t>
      </w:r>
    </w:p>
    <w:p>
      <w:pPr>
        <w:spacing w:after="0" w:line="480" w:lineRule="auto"/>
        <w:jc w:val="both"/>
        <w:sectPr>
          <w:headerReference w:type="default" r:id="rId302"/>
          <w:footerReference w:type="default" r:id="rId303"/>
          <w:pgSz w:w="11910" w:h="16840"/>
          <w:pgMar w:header="0" w:footer="878" w:top="1200" w:bottom="1060" w:left="1560" w:right="600"/>
        </w:sectPr>
      </w:pPr>
    </w:p>
    <w:p>
      <w:pPr>
        <w:pStyle w:val="Heading1"/>
        <w:spacing w:line="237" w:lineRule="auto" w:before="77" w:after="7"/>
        <w:ind w:right="833"/>
      </w:pPr>
      <w:r>
        <w:rPr/>
        <w:drawing>
          <wp:anchor distT="0" distB="0" distL="0" distR="0" allowOverlap="1" layoutInCell="1" locked="0" behindDoc="1" simplePos="0" relativeHeight="481122816">
            <wp:simplePos x="0" y="0"/>
            <wp:positionH relativeFrom="page">
              <wp:posOffset>1754504</wp:posOffset>
            </wp:positionH>
            <wp:positionV relativeFrom="paragraph">
              <wp:posOffset>763029</wp:posOffset>
            </wp:positionV>
            <wp:extent cx="2501982" cy="1508093"/>
            <wp:effectExtent l="0" t="0" r="0" b="0"/>
            <wp:wrapNone/>
            <wp:docPr id="6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87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982" cy="1508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.149994pt;margin-top:192.371094pt;width:397.8pt;height:113.35pt;mso-position-horizontal-relative:page;mso-position-vertical-relative:paragraph;z-index:-22193152" coordorigin="2763,3847" coordsize="7956,2267">
            <v:shape style="position:absolute;left:2763;top:3847;width:3859;height:2266" type="#_x0000_t75" stroked="false">
              <v:imagedata r:id="rId307" o:title=""/>
            </v:shape>
            <v:shape style="position:absolute;left:6611;top:3847;width:4108;height:2040" type="#_x0000_t75" stroked="false">
              <v:imagedata r:id="rId30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1123840">
            <wp:simplePos x="0" y="0"/>
            <wp:positionH relativeFrom="page">
              <wp:posOffset>1754504</wp:posOffset>
            </wp:positionH>
            <wp:positionV relativeFrom="paragraph">
              <wp:posOffset>4089032</wp:posOffset>
            </wp:positionV>
            <wp:extent cx="2458687" cy="1294733"/>
            <wp:effectExtent l="0" t="0" r="0" b="0"/>
            <wp:wrapNone/>
            <wp:docPr id="6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0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687" cy="1294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1124352">
            <wp:simplePos x="0" y="0"/>
            <wp:positionH relativeFrom="page">
              <wp:posOffset>4265929</wp:posOffset>
            </wp:positionH>
            <wp:positionV relativeFrom="paragraph">
              <wp:posOffset>4089032</wp:posOffset>
            </wp:positionV>
            <wp:extent cx="2565902" cy="1274064"/>
            <wp:effectExtent l="0" t="0" r="0" b="0"/>
            <wp:wrapNone/>
            <wp:docPr id="7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91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902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4265929</wp:posOffset>
            </wp:positionH>
            <wp:positionV relativeFrom="paragraph">
              <wp:posOffset>763029</wp:posOffset>
            </wp:positionV>
            <wp:extent cx="2609214" cy="1457325"/>
            <wp:effectExtent l="0" t="0" r="0" b="0"/>
            <wp:wrapNone/>
            <wp:docPr id="7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92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214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1852724</wp:posOffset>
            </wp:positionH>
            <wp:positionV relativeFrom="paragraph">
              <wp:posOffset>5560073</wp:posOffset>
            </wp:positionV>
            <wp:extent cx="2350721" cy="1210817"/>
            <wp:effectExtent l="0" t="0" r="0" b="0"/>
            <wp:wrapNone/>
            <wp:docPr id="7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93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721" cy="1210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4265929</wp:posOffset>
            </wp:positionH>
            <wp:positionV relativeFrom="paragraph">
              <wp:posOffset>5560073</wp:posOffset>
            </wp:positionV>
            <wp:extent cx="2573020" cy="1279778"/>
            <wp:effectExtent l="0" t="0" r="0" b="0"/>
            <wp:wrapNone/>
            <wp:docPr id="7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94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1279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Table</w:t>
      </w:r>
      <w:r>
        <w:rPr>
          <w:spacing w:val="-3"/>
        </w:rPr>
        <w:t> </w:t>
      </w:r>
      <w:r>
        <w:rPr/>
        <w:t>4.13:</w:t>
      </w:r>
      <w:r>
        <w:rPr>
          <w:spacing w:val="1"/>
        </w:rPr>
        <w:t> </w:t>
      </w:r>
      <w:r>
        <w:rPr/>
        <w:t>Showing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crystal</w:t>
      </w:r>
      <w:r>
        <w:rPr>
          <w:spacing w:val="-6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enzymes</w:t>
      </w:r>
      <w:r>
        <w:rPr>
          <w:spacing w:val="-3"/>
        </w:rPr>
        <w:t> </w:t>
      </w:r>
      <w:r>
        <w:rPr/>
        <w:t>complexes</w:t>
      </w:r>
      <w:r>
        <w:rPr>
          <w:spacing w:val="-3"/>
        </w:rPr>
        <w:t> </w:t>
      </w:r>
      <w:r>
        <w:rPr/>
        <w:t>and</w:t>
      </w:r>
      <w:r>
        <w:rPr>
          <w:spacing w:val="7"/>
        </w:rPr>
        <w:t> </w:t>
      </w:r>
      <w:r>
        <w:rPr/>
        <w:t>re-docked</w:t>
      </w:r>
      <w:r>
        <w:rPr>
          <w:spacing w:val="-57"/>
        </w:rPr>
        <w:t> </w:t>
      </w:r>
      <w:r>
        <w:rPr/>
        <w:t>ligand</w:t>
      </w:r>
      <w:r>
        <w:rPr>
          <w:spacing w:val="1"/>
        </w:rPr>
        <w:t> </w:t>
      </w:r>
      <w:r>
        <w:rPr/>
        <w:t>super-imposed</w:t>
      </w:r>
      <w:r>
        <w:rPr>
          <w:spacing w:val="1"/>
        </w:rPr>
        <w:t> </w:t>
      </w:r>
      <w:r>
        <w:rPr/>
        <w:t>on</w:t>
      </w:r>
      <w:r>
        <w:rPr>
          <w:spacing w:val="2"/>
        </w:rPr>
        <w:t> </w:t>
      </w:r>
      <w:r>
        <w:rPr/>
        <w:t>the crystal</w:t>
      </w:r>
      <w:r>
        <w:rPr>
          <w:spacing w:val="-4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for</w:t>
      </w:r>
      <w:r>
        <w:rPr>
          <w:spacing w:val="-5"/>
        </w:rPr>
        <w:t> </w:t>
      </w:r>
      <w:r>
        <w:rPr/>
        <w:t>validation.</w:t>
      </w:r>
    </w:p>
    <w:tbl>
      <w:tblPr>
        <w:tblW w:w="0" w:type="auto"/>
        <w:jc w:val="left"/>
        <w:tblInd w:w="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8"/>
        <w:gridCol w:w="3753"/>
        <w:gridCol w:w="4115"/>
      </w:tblGrid>
      <w:tr>
        <w:trPr>
          <w:trHeight w:val="551" w:hRule="atLeast"/>
        </w:trPr>
        <w:tc>
          <w:tcPr>
            <w:tcW w:w="109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Enzyme</w:t>
            </w:r>
          </w:p>
        </w:tc>
        <w:tc>
          <w:tcPr>
            <w:tcW w:w="375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tabs>
                <w:tab w:pos="1378" w:val="left" w:leader="none"/>
                <w:tab w:pos="2783" w:val="left" w:leader="none"/>
              </w:tabs>
              <w:spacing w:line="273" w:lineRule="exact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Crystal</w:t>
              <w:tab/>
              <w:t>structure</w:t>
              <w:tab/>
              <w:t>complex</w:t>
            </w:r>
          </w:p>
          <w:p>
            <w:pPr>
              <w:pStyle w:val="TableParagraph"/>
              <w:spacing w:line="257" w:lineRule="exact" w:before="2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(Enzyme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and Ligand)</w:t>
            </w:r>
          </w:p>
        </w:tc>
        <w:tc>
          <w:tcPr>
            <w:tcW w:w="411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Crystal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structure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complex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with</w:t>
            </w:r>
          </w:p>
          <w:p>
            <w:pPr>
              <w:pStyle w:val="TableParagraph"/>
              <w:spacing w:line="257" w:lineRule="exact" w:before="2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Re-docked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ligand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(Validation)</w:t>
            </w:r>
          </w:p>
        </w:tc>
      </w:tr>
      <w:tr>
        <w:trPr>
          <w:trHeight w:val="1458" w:hRule="atLeast"/>
        </w:trPr>
        <w:tc>
          <w:tcPr>
            <w:tcW w:w="109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3-BPF</w:t>
            </w:r>
          </w:p>
        </w:tc>
        <w:tc>
          <w:tcPr>
            <w:tcW w:w="3753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11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895" w:hRule="atLeast"/>
        </w:trPr>
        <w:tc>
          <w:tcPr>
            <w:tcW w:w="109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spacing w:line="480" w:lineRule="auto"/>
              <w:ind w:left="110" w:right="461"/>
              <w:rPr>
                <w:sz w:val="24"/>
              </w:rPr>
            </w:pPr>
            <w:r>
              <w:rPr>
                <w:sz w:val="24"/>
              </w:rPr>
              <w:t>3BW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</w:t>
            </w:r>
          </w:p>
        </w:tc>
        <w:tc>
          <w:tcPr>
            <w:tcW w:w="37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11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2179" w:hRule="atLeast"/>
        </w:trPr>
        <w:tc>
          <w:tcPr>
            <w:tcW w:w="109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3"/>
              <w:rPr>
                <w:b/>
                <w:sz w:val="24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1-LF3</w:t>
            </w:r>
          </w:p>
        </w:tc>
        <w:tc>
          <w:tcPr>
            <w:tcW w:w="37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11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292" w:hRule="atLeast"/>
        </w:trPr>
        <w:tc>
          <w:tcPr>
            <w:tcW w:w="1098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4"/>
              <w:rPr>
                <w:b/>
                <w:sz w:val="36"/>
              </w:rPr>
            </w:pPr>
          </w:p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1LS5</w:t>
            </w:r>
          </w:p>
        </w:tc>
        <w:tc>
          <w:tcPr>
            <w:tcW w:w="37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115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2"/>
        </w:rPr>
      </w:pPr>
      <w:r>
        <w:rPr/>
        <w:pict>
          <v:rect style="position:absolute;margin-left:87.384003pt;margin-top:9.099443pt;width:448.986021pt;height:.48pt;mso-position-horizontal-relative:page;mso-position-vertical-relative:paragraph;z-index:-156979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line="480" w:lineRule="auto"/>
        <w:ind w:left="312"/>
      </w:pPr>
      <w:r>
        <w:rPr/>
        <w:t>Cyan</w:t>
      </w:r>
      <w:r>
        <w:rPr>
          <w:spacing w:val="18"/>
        </w:rPr>
        <w:t> </w:t>
      </w:r>
      <w:r>
        <w:rPr/>
        <w:t>colour</w:t>
      </w:r>
      <w:r>
        <w:rPr>
          <w:spacing w:val="25"/>
        </w:rPr>
        <w:t> </w:t>
      </w:r>
      <w:r>
        <w:rPr/>
        <w:t>molecule</w:t>
      </w:r>
      <w:r>
        <w:rPr>
          <w:spacing w:val="28"/>
        </w:rPr>
        <w:t> </w:t>
      </w:r>
      <w:r>
        <w:rPr/>
        <w:t>is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re-docked</w:t>
      </w:r>
      <w:r>
        <w:rPr>
          <w:spacing w:val="24"/>
        </w:rPr>
        <w:t> </w:t>
      </w:r>
      <w:r>
        <w:rPr/>
        <w:t>ligand</w:t>
      </w:r>
      <w:r>
        <w:rPr>
          <w:spacing w:val="23"/>
        </w:rPr>
        <w:t> </w:t>
      </w:r>
      <w:r>
        <w:rPr/>
        <w:t>and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green</w:t>
      </w:r>
      <w:r>
        <w:rPr>
          <w:spacing w:val="23"/>
        </w:rPr>
        <w:t> </w:t>
      </w:r>
      <w:r>
        <w:rPr/>
        <w:t>highlighted</w:t>
      </w:r>
      <w:r>
        <w:rPr>
          <w:spacing w:val="28"/>
        </w:rPr>
        <w:t> </w:t>
      </w:r>
      <w:r>
        <w:rPr/>
        <w:t>molecule</w:t>
      </w:r>
      <w:r>
        <w:rPr>
          <w:spacing w:val="28"/>
        </w:rPr>
        <w:t> </w:t>
      </w:r>
      <w:r>
        <w:rPr/>
        <w:t>is</w:t>
      </w:r>
      <w:r>
        <w:rPr>
          <w:spacing w:val="21"/>
        </w:rPr>
        <w:t> </w:t>
      </w:r>
      <w:r>
        <w:rPr/>
        <w:t>co-</w:t>
      </w:r>
      <w:r>
        <w:rPr>
          <w:spacing w:val="-57"/>
        </w:rPr>
        <w:t> </w:t>
      </w:r>
      <w:r>
        <w:rPr/>
        <w:t>crystallized</w:t>
      </w:r>
      <w:r>
        <w:rPr>
          <w:spacing w:val="5"/>
        </w:rPr>
        <w:t> </w:t>
      </w:r>
      <w:r>
        <w:rPr/>
        <w:t>ligand.</w:t>
      </w:r>
    </w:p>
    <w:p>
      <w:pPr>
        <w:spacing w:after="0" w:line="480" w:lineRule="auto"/>
        <w:sectPr>
          <w:headerReference w:type="default" r:id="rId304"/>
          <w:footerReference w:type="default" r:id="rId305"/>
          <w:pgSz w:w="11910" w:h="16840"/>
          <w:pgMar w:header="0" w:footer="878" w:top="1200" w:bottom="1060" w:left="1560" w:right="600"/>
        </w:sectPr>
      </w:pPr>
    </w:p>
    <w:p>
      <w:pPr>
        <w:pStyle w:val="Heading1"/>
        <w:numPr>
          <w:ilvl w:val="2"/>
          <w:numId w:val="19"/>
        </w:numPr>
        <w:tabs>
          <w:tab w:pos="861" w:val="left" w:leader="none"/>
        </w:tabs>
        <w:spacing w:line="237" w:lineRule="auto" w:before="77" w:after="0"/>
        <w:ind w:left="312" w:right="699" w:firstLine="0"/>
        <w:jc w:val="left"/>
      </w:pPr>
      <w:bookmarkStart w:name="_TOC_250025" w:id="68"/>
      <w:r>
        <w:rPr/>
        <w:t>The binding energies of the co-crystallized ligands and 17 substituted Chalcones</w:t>
      </w:r>
      <w:r>
        <w:rPr>
          <w:spacing w:val="-57"/>
        </w:rPr>
        <w:t> </w:t>
      </w:r>
      <w:r>
        <w:rPr/>
        <w:t>against</w:t>
      </w:r>
      <w:r>
        <w:rPr>
          <w:spacing w:val="2"/>
        </w:rPr>
        <w:t> </w:t>
      </w:r>
      <w:r>
        <w:rPr/>
        <w:t>four</w:t>
      </w:r>
      <w:r>
        <w:rPr>
          <w:spacing w:val="-5"/>
        </w:rPr>
        <w:t> </w:t>
      </w:r>
      <w:r>
        <w:rPr/>
        <w:t>enzymes (FP-2,</w:t>
      </w:r>
      <w:r>
        <w:rPr>
          <w:spacing w:val="3"/>
        </w:rPr>
        <w:t> </w:t>
      </w:r>
      <w:r>
        <w:rPr/>
        <w:t>FP-3,</w:t>
      </w:r>
      <w:r>
        <w:rPr>
          <w:spacing w:val="4"/>
        </w:rPr>
        <w:t> </w:t>
      </w:r>
      <w:r>
        <w:rPr/>
        <w:t>Plm-II,</w:t>
      </w:r>
      <w:r>
        <w:rPr>
          <w:spacing w:val="3"/>
        </w:rPr>
        <w:t> </w:t>
      </w:r>
      <w:r>
        <w:rPr/>
        <w:t>and,</w:t>
      </w:r>
      <w:r>
        <w:rPr>
          <w:spacing w:val="-1"/>
        </w:rPr>
        <w:t> </w:t>
      </w:r>
      <w:bookmarkEnd w:id="68"/>
      <w:r>
        <w:rPr/>
        <w:t>Plm-IV)</w:t>
      </w:r>
    </w:p>
    <w:p>
      <w:pPr>
        <w:pStyle w:val="BodyText"/>
        <w:spacing w:line="480" w:lineRule="auto" w:before="200"/>
        <w:ind w:left="312" w:right="695"/>
        <w:jc w:val="both"/>
      </w:pPr>
      <w:r>
        <w:rPr/>
        <w:t>Docking results as shown on Figure 4.9 indicated that all the compounds studied exhibited</w:t>
      </w:r>
      <w:r>
        <w:rPr>
          <w:spacing w:val="-57"/>
        </w:rPr>
        <w:t> </w:t>
      </w:r>
      <w:r>
        <w:rPr/>
        <w:t>better binding energies to FP-2 than the co-crystallized ligand (5.1 Kcal/mol). However,</w:t>
      </w:r>
      <w:r>
        <w:rPr>
          <w:spacing w:val="1"/>
        </w:rPr>
        <w:t> </w:t>
      </w:r>
      <w:r>
        <w:rPr/>
        <w:t>only compound P8 (quinolinyl chalcone) showed better binding energy (-7.0 Kcal/mol)</w:t>
      </w:r>
      <w:r>
        <w:rPr>
          <w:spacing w:val="1"/>
        </w:rPr>
        <w:t> </w:t>
      </w:r>
      <w:r>
        <w:rPr/>
        <w:t>than the co-crystallized ligand with 6.9 Kcal/mol for FP-3. With the aspartic proteases;</w:t>
      </w:r>
      <w:r>
        <w:rPr>
          <w:spacing w:val="1"/>
        </w:rPr>
        <w:t> </w:t>
      </w:r>
      <w:r>
        <w:rPr/>
        <w:t>Plm-II, the co-crystallized ligand exhibited better binding energy (10.1 Kcal/mol) than all</w:t>
      </w:r>
      <w:r>
        <w:rPr>
          <w:spacing w:val="1"/>
        </w:rPr>
        <w:t> </w:t>
      </w:r>
      <w:r>
        <w:rPr/>
        <w:t>the compounds, nevertheless compound P3, P4, and P8 have a reasonable binding energy</w:t>
      </w:r>
      <w:r>
        <w:rPr>
          <w:spacing w:val="1"/>
        </w:rPr>
        <w:t> </w:t>
      </w:r>
      <w:r>
        <w:rPr/>
        <w:t>of 8.0,</w:t>
      </w:r>
      <w:r>
        <w:rPr>
          <w:spacing w:val="1"/>
        </w:rPr>
        <w:t> </w:t>
      </w:r>
      <w:r>
        <w:rPr/>
        <w:t>7.9,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7.7</w:t>
      </w:r>
      <w:r>
        <w:rPr>
          <w:spacing w:val="1"/>
        </w:rPr>
        <w:t> </w:t>
      </w:r>
      <w:r>
        <w:rPr/>
        <w:t>Kcal/mol respectively.</w:t>
      </w:r>
      <w:r>
        <w:rPr>
          <w:spacing w:val="1"/>
        </w:rPr>
        <w:t> </w:t>
      </w:r>
      <w:r>
        <w:rPr/>
        <w:t>Seven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better</w:t>
      </w:r>
      <w:r>
        <w:rPr>
          <w:spacing w:val="60"/>
        </w:rPr>
        <w:t> </w:t>
      </w:r>
      <w:r>
        <w:rPr/>
        <w:t>binding</w:t>
      </w:r>
      <w:r>
        <w:rPr>
          <w:spacing w:val="1"/>
        </w:rPr>
        <w:t> </w:t>
      </w:r>
      <w:r>
        <w:rPr/>
        <w:t>energy for Plm-IV as compared to the co-crystallized</w:t>
      </w:r>
      <w:r>
        <w:rPr>
          <w:spacing w:val="1"/>
        </w:rPr>
        <w:t> </w:t>
      </w:r>
      <w:r>
        <w:rPr/>
        <w:t>ligand, with P3 and P4 having</w:t>
      </w:r>
      <w:r>
        <w:rPr>
          <w:spacing w:val="1"/>
        </w:rPr>
        <w:t> </w:t>
      </w:r>
      <w:r>
        <w:rPr/>
        <w:t>remarkable binding</w:t>
      </w:r>
      <w:r>
        <w:rPr>
          <w:spacing w:val="2"/>
        </w:rPr>
        <w:t> </w:t>
      </w:r>
      <w:r>
        <w:rPr/>
        <w:t>energy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9.3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9.1</w:t>
      </w:r>
      <w:r>
        <w:rPr>
          <w:spacing w:val="1"/>
        </w:rPr>
        <w:t> </w:t>
      </w:r>
      <w:r>
        <w:rPr/>
        <w:t>Kcal/mol</w:t>
      </w:r>
      <w:r>
        <w:rPr>
          <w:spacing w:val="-7"/>
        </w:rPr>
        <w:t> </w:t>
      </w:r>
      <w:r>
        <w:rPr/>
        <w:t>respectively.</w:t>
      </w:r>
    </w:p>
    <w:p>
      <w:pPr>
        <w:pStyle w:val="BodyText"/>
        <w:spacing w:line="480" w:lineRule="auto" w:before="199"/>
        <w:ind w:left="312" w:right="695"/>
        <w:jc w:val="both"/>
      </w:pPr>
      <w:r>
        <w:rPr/>
        <w:t>Interestingly the</w:t>
      </w:r>
      <w:r>
        <w:rPr>
          <w:spacing w:val="1"/>
        </w:rPr>
        <w:t> </w:t>
      </w:r>
      <w:r>
        <w:rPr/>
        <w:t>ranking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ligands relative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each other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co-crystallized</w:t>
      </w:r>
      <w:r>
        <w:rPr>
          <w:spacing w:val="1"/>
        </w:rPr>
        <w:t> </w:t>
      </w:r>
      <w:r>
        <w:rPr/>
        <w:t>ligands, point out two chalcones; P3 (Figure 4.10) and P4 (Figure 4.11), possessing high</w:t>
      </w:r>
      <w:r>
        <w:rPr>
          <w:spacing w:val="1"/>
        </w:rPr>
        <w:t> </w:t>
      </w:r>
      <w:r>
        <w:rPr/>
        <w:t>ranking</w:t>
      </w:r>
      <w:r>
        <w:rPr>
          <w:spacing w:val="1"/>
        </w:rPr>
        <w:t> </w:t>
      </w:r>
      <w:r>
        <w:rPr/>
        <w:t>across all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enzymes studied</w:t>
      </w:r>
      <w:r>
        <w:rPr>
          <w:spacing w:val="1"/>
        </w:rPr>
        <w:t> </w:t>
      </w:r>
      <w:r>
        <w:rPr/>
        <w:t>(Figure</w:t>
      </w:r>
      <w:r>
        <w:rPr>
          <w:spacing w:val="1"/>
        </w:rPr>
        <w:t> </w:t>
      </w:r>
      <w:r>
        <w:rPr/>
        <w:t>4.9)</w:t>
      </w:r>
    </w:p>
    <w:p>
      <w:pPr>
        <w:spacing w:after="0" w:line="480" w:lineRule="auto"/>
        <w:jc w:val="both"/>
        <w:sectPr>
          <w:headerReference w:type="default" r:id="rId314"/>
          <w:footerReference w:type="default" r:id="rId31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1092"/>
        <w:rPr>
          <w:sz w:val="20"/>
        </w:rPr>
      </w:pPr>
      <w:r>
        <w:rPr>
          <w:sz w:val="20"/>
        </w:rPr>
        <w:drawing>
          <wp:inline distT="0" distB="0" distL="0" distR="0">
            <wp:extent cx="3761481" cy="2574798"/>
            <wp:effectExtent l="0" t="0" r="0" b="0"/>
            <wp:docPr id="7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95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481" cy="257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1"/>
        <w:spacing w:line="242" w:lineRule="auto" w:before="90"/>
        <w:ind w:right="833"/>
      </w:pPr>
      <w:r>
        <w:rPr/>
        <w:t>Figure</w:t>
      </w:r>
      <w:r>
        <w:rPr>
          <w:spacing w:val="-2"/>
        </w:rPr>
        <w:t> </w:t>
      </w:r>
      <w:r>
        <w:rPr/>
        <w:t>4.9:</w:t>
      </w:r>
      <w:r>
        <w:rPr>
          <w:spacing w:val="1"/>
        </w:rPr>
        <w:t> </w:t>
      </w:r>
      <w:r>
        <w:rPr/>
        <w:t>The</w:t>
      </w:r>
      <w:r>
        <w:rPr>
          <w:spacing w:val="-6"/>
        </w:rPr>
        <w:t> </w:t>
      </w:r>
      <w:r>
        <w:rPr/>
        <w:t>binding</w:t>
      </w:r>
      <w:r>
        <w:rPr>
          <w:spacing w:val="-5"/>
        </w:rPr>
        <w:t> </w:t>
      </w:r>
      <w:r>
        <w:rPr/>
        <w:t>energies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ligands</w:t>
      </w:r>
      <w:r>
        <w:rPr>
          <w:spacing w:val="-3"/>
        </w:rPr>
        <w:t> </w:t>
      </w:r>
      <w:r>
        <w:rPr/>
        <w:t>across</w:t>
      </w:r>
      <w:r>
        <w:rPr>
          <w:spacing w:val="-2"/>
        </w:rPr>
        <w:t> </w:t>
      </w:r>
      <w:r>
        <w:rPr/>
        <w:t>all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enzymes.</w:t>
      </w:r>
      <w:r>
        <w:rPr>
          <w:spacing w:val="1"/>
        </w:rPr>
        <w:t> </w:t>
      </w:r>
      <w:r>
        <w:rPr/>
        <w:t>P</w:t>
      </w:r>
      <w:r>
        <w:rPr>
          <w:spacing w:val="-3"/>
        </w:rPr>
        <w:t> </w:t>
      </w:r>
      <w:r>
        <w:rPr/>
        <w:t>represents</w:t>
      </w:r>
      <w:r>
        <w:rPr>
          <w:spacing w:val="-57"/>
        </w:rPr>
        <w:t> </w:t>
      </w:r>
      <w:r>
        <w:rPr/>
        <w:t>the co-crystallized</w:t>
      </w:r>
      <w:r>
        <w:rPr>
          <w:spacing w:val="7"/>
        </w:rPr>
        <w:t> </w:t>
      </w:r>
      <w:r>
        <w:rPr/>
        <w:t>ligand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each</w:t>
      </w:r>
      <w:r>
        <w:rPr>
          <w:spacing w:val="1"/>
        </w:rPr>
        <w:t> </w:t>
      </w:r>
      <w:r>
        <w:rPr/>
        <w:t>enzyme.</w:t>
      </w:r>
    </w:p>
    <w:p>
      <w:pPr>
        <w:spacing w:after="0" w:line="242" w:lineRule="auto"/>
        <w:sectPr>
          <w:headerReference w:type="default" r:id="rId316"/>
          <w:footerReference w:type="default" r:id="rId317"/>
          <w:pgSz w:w="11910" w:h="16840"/>
          <w:pgMar w:header="0" w:footer="878" w:top="1580" w:bottom="1060" w:left="1560" w:right="600"/>
        </w:sectPr>
      </w:pPr>
    </w:p>
    <w:p>
      <w:pPr>
        <w:pStyle w:val="BodyText"/>
        <w:ind w:left="782"/>
        <w:rPr>
          <w:sz w:val="20"/>
        </w:rPr>
      </w:pPr>
      <w:r>
        <w:rPr>
          <w:sz w:val="20"/>
        </w:rPr>
        <w:drawing>
          <wp:inline distT="0" distB="0" distL="0" distR="0">
            <wp:extent cx="4536476" cy="2109216"/>
            <wp:effectExtent l="0" t="0" r="0" b="0"/>
            <wp:docPr id="8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96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476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sz w:val="28"/>
        </w:rPr>
      </w:pPr>
    </w:p>
    <w:p>
      <w:pPr>
        <w:spacing w:line="242" w:lineRule="auto" w:before="90"/>
        <w:ind w:left="312" w:right="1612" w:firstLine="0"/>
        <w:jc w:val="left"/>
        <w:rPr>
          <w:b/>
          <w:sz w:val="24"/>
        </w:rPr>
      </w:pPr>
      <w:r>
        <w:rPr>
          <w:b/>
          <w:sz w:val="24"/>
        </w:rPr>
        <w:t>Figure 4.10: Compound P3 [(E)-3-(2-chloro-6-methoxyquinolin-3-yl)-1-(2, 4-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dimethoxyphenyl)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prop-2-en-1-one]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19"/>
          <w:footerReference w:type="default" r:id="rId320"/>
          <w:pgSz w:w="11910" w:h="16840"/>
          <w:pgMar w:header="0" w:footer="878" w:top="1460" w:bottom="1060" w:left="1560" w:right="600"/>
        </w:sectPr>
      </w:pP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ind w:left="1051"/>
        <w:rPr>
          <w:sz w:val="20"/>
        </w:rPr>
      </w:pPr>
      <w:r>
        <w:rPr>
          <w:sz w:val="20"/>
        </w:rPr>
        <w:drawing>
          <wp:inline distT="0" distB="0" distL="0" distR="0">
            <wp:extent cx="4297126" cy="1981200"/>
            <wp:effectExtent l="0" t="0" r="0" b="0"/>
            <wp:docPr id="8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9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126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8"/>
        </w:rPr>
      </w:pPr>
    </w:p>
    <w:p>
      <w:pPr>
        <w:pStyle w:val="Heading1"/>
        <w:spacing w:line="242" w:lineRule="auto" w:before="90"/>
        <w:ind w:right="958"/>
      </w:pPr>
      <w:r>
        <w:rPr/>
        <w:t>Figure</w:t>
      </w:r>
      <w:r>
        <w:rPr>
          <w:spacing w:val="-5"/>
        </w:rPr>
        <w:t> </w:t>
      </w:r>
      <w:r>
        <w:rPr/>
        <w:t>4.11:</w:t>
      </w:r>
      <w:r>
        <w:rPr>
          <w:spacing w:val="-2"/>
        </w:rPr>
        <w:t> </w:t>
      </w:r>
      <w:r>
        <w:rPr/>
        <w:t>Compound</w:t>
      </w:r>
      <w:r>
        <w:rPr>
          <w:spacing w:val="-7"/>
        </w:rPr>
        <w:t> </w:t>
      </w:r>
      <w:r>
        <w:rPr/>
        <w:t>P4</w:t>
      </w:r>
      <w:r>
        <w:rPr>
          <w:spacing w:val="-4"/>
        </w:rPr>
        <w:t> </w:t>
      </w:r>
      <w:r>
        <w:rPr/>
        <w:t>[(E)-3-(2-chloroquinolin-3-yl)-1-(2,</w:t>
      </w:r>
      <w:r>
        <w:rPr>
          <w:spacing w:val="-6"/>
        </w:rPr>
        <w:t> </w:t>
      </w:r>
      <w:r>
        <w:rPr/>
        <w:t>4</w:t>
      </w:r>
      <w:r>
        <w:rPr>
          <w:spacing w:val="-3"/>
        </w:rPr>
        <w:t> </w:t>
      </w:r>
      <w:r>
        <w:rPr/>
        <w:t>dimethoxyphenyl)</w:t>
      </w:r>
      <w:r>
        <w:rPr>
          <w:spacing w:val="-57"/>
        </w:rPr>
        <w:t> </w:t>
      </w:r>
      <w:r>
        <w:rPr/>
        <w:t>prop-2-en-1-one</w:t>
      </w:r>
    </w:p>
    <w:p>
      <w:pPr>
        <w:spacing w:after="0" w:line="242" w:lineRule="auto"/>
        <w:sectPr>
          <w:headerReference w:type="default" r:id="rId322"/>
          <w:footerReference w:type="default" r:id="rId323"/>
          <w:pgSz w:w="11910" w:h="16840"/>
          <w:pgMar w:header="0" w:footer="878" w:top="1580" w:bottom="1060" w:left="1560" w:right="600"/>
        </w:sectPr>
      </w:pPr>
    </w:p>
    <w:p>
      <w:pPr>
        <w:pStyle w:val="ListParagraph"/>
        <w:numPr>
          <w:ilvl w:val="2"/>
          <w:numId w:val="19"/>
        </w:numPr>
        <w:tabs>
          <w:tab w:pos="874" w:val="left" w:leader="none"/>
        </w:tabs>
        <w:spacing w:line="237" w:lineRule="auto" w:before="77" w:after="0"/>
        <w:ind w:left="312" w:right="692" w:firstLine="0"/>
        <w:jc w:val="left"/>
        <w:rPr>
          <w:b/>
          <w:sz w:val="24"/>
        </w:rPr>
      </w:pPr>
      <w:r>
        <w:rPr>
          <w:b/>
          <w:sz w:val="24"/>
        </w:rPr>
        <w:t>The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binding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poses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binding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interaction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analysis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P3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P4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against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FP-2,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FP-3,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Plm-II,</w:t>
      </w:r>
      <w:r>
        <w:rPr>
          <w:b/>
          <w:spacing w:val="4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Plm-IV.</w:t>
      </w:r>
    </w:p>
    <w:p>
      <w:pPr>
        <w:pStyle w:val="BodyText"/>
        <w:spacing w:line="480" w:lineRule="auto" w:before="200"/>
        <w:ind w:left="312" w:right="700"/>
        <w:jc w:val="both"/>
      </w:pPr>
      <w:r>
        <w:rPr/>
        <w:t>The binding conformation and interaction with residues on the active site of the enzymes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chimera</w:t>
      </w:r>
      <w:r>
        <w:rPr>
          <w:spacing w:val="1"/>
        </w:rPr>
        <w:t> </w:t>
      </w:r>
      <w:r>
        <w:rPr/>
        <w:t>(Pettersen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2004)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Discovery</w:t>
      </w:r>
      <w:r>
        <w:rPr>
          <w:spacing w:val="1"/>
        </w:rPr>
        <w:t> </w:t>
      </w:r>
      <w:r>
        <w:rPr/>
        <w:t>studio</w:t>
      </w:r>
      <w:r>
        <w:rPr>
          <w:spacing w:val="1"/>
        </w:rPr>
        <w:t> </w:t>
      </w:r>
      <w:r>
        <w:rPr/>
        <w:t>suite</w:t>
      </w:r>
      <w:r>
        <w:rPr>
          <w:spacing w:val="1"/>
        </w:rPr>
        <w:t> </w:t>
      </w:r>
      <w:r>
        <w:rPr/>
        <w:t>(www.accelrys.com) is shown on Figure 4.12-4.19. P3 and P4 fitted well onto the long</w:t>
      </w:r>
      <w:r>
        <w:rPr>
          <w:spacing w:val="1"/>
        </w:rPr>
        <w:t> </w:t>
      </w:r>
      <w:r>
        <w:rPr/>
        <w:t>cleft of FP-2 and FP-3 (Figure 4.12-4.15), extending from S1 subsite to S3, but having</w:t>
      </w:r>
      <w:r>
        <w:rPr>
          <w:spacing w:val="1"/>
        </w:rPr>
        <w:t> </w:t>
      </w:r>
      <w:r>
        <w:rPr/>
        <w:t>more extended conformation in FP-3 (Figure 4.14). On the plasmepsins (Figure 4.16-4.19)</w:t>
      </w:r>
      <w:r>
        <w:rPr>
          <w:spacing w:val="-57"/>
        </w:rPr>
        <w:t> </w:t>
      </w:r>
      <w:r>
        <w:rPr/>
        <w:t>the two compounds fit into the binding pocket, resting on the catalytic dyad and fully</w:t>
      </w:r>
      <w:r>
        <w:rPr>
          <w:spacing w:val="1"/>
        </w:rPr>
        <w:t> </w:t>
      </w:r>
      <w:r>
        <w:rPr/>
        <w:t>covered</w:t>
      </w:r>
      <w:r>
        <w:rPr>
          <w:spacing w:val="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flap.</w:t>
      </w:r>
    </w:p>
    <w:p>
      <w:pPr>
        <w:pStyle w:val="BodyText"/>
        <w:spacing w:line="480" w:lineRule="auto" w:before="199"/>
        <w:ind w:left="312" w:right="707"/>
        <w:jc w:val="both"/>
      </w:pPr>
      <w:r>
        <w:rPr/>
        <w:t>With the exception of Plm-IV (Figure 4.18), the two congeners bind to all the enzymes in</w:t>
      </w:r>
      <w:r>
        <w:rPr>
          <w:spacing w:val="1"/>
        </w:rPr>
        <w:t> </w:t>
      </w:r>
      <w:r>
        <w:rPr/>
        <w:t>an opposite orientation (in different conformation). Nonetheless, the two congeners have</w:t>
      </w:r>
      <w:r>
        <w:rPr>
          <w:spacing w:val="1"/>
        </w:rPr>
        <w:t> </w:t>
      </w:r>
      <w:r>
        <w:rPr/>
        <w:t>similar interactions with the active site residues in the case of each enzyme (Figure 4.13,</w:t>
      </w:r>
      <w:r>
        <w:rPr>
          <w:spacing w:val="1"/>
        </w:rPr>
        <w:t> </w:t>
      </w:r>
      <w:r>
        <w:rPr/>
        <w:t>4.15,</w:t>
      </w:r>
      <w:r>
        <w:rPr>
          <w:spacing w:val="-2"/>
        </w:rPr>
        <w:t> </w:t>
      </w:r>
      <w:r>
        <w:rPr/>
        <w:t>4.17</w:t>
      </w:r>
      <w:r>
        <w:rPr>
          <w:spacing w:val="-3"/>
        </w:rPr>
        <w:t> </w:t>
      </w:r>
      <w:r>
        <w:rPr/>
        <w:t>and,</w:t>
      </w:r>
      <w:r>
        <w:rPr>
          <w:spacing w:val="4"/>
        </w:rPr>
        <w:t> </w:t>
      </w:r>
      <w:r>
        <w:rPr/>
        <w:t>4.19).</w:t>
      </w:r>
    </w:p>
    <w:p>
      <w:pPr>
        <w:spacing w:after="0" w:line="480" w:lineRule="auto"/>
        <w:jc w:val="both"/>
        <w:sectPr>
          <w:headerReference w:type="default" r:id="rId325"/>
          <w:footerReference w:type="default" r:id="rId326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92457" cy="2927604"/>
            <wp:effectExtent l="0" t="0" r="0" b="0"/>
            <wp:docPr id="8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98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457" cy="292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Heading1"/>
        <w:spacing w:line="237" w:lineRule="auto" w:before="216"/>
        <w:ind w:right="763"/>
      </w:pPr>
      <w:r>
        <w:rPr/>
        <w:t>Figure 4.12: 3D binding poses and interaction of P3 and P4 in relation to various 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FP-2</w:t>
      </w:r>
      <w:r>
        <w:rPr>
          <w:spacing w:val="2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cavity.</w:t>
      </w:r>
    </w:p>
    <w:p>
      <w:pPr>
        <w:spacing w:after="0" w:line="237" w:lineRule="auto"/>
        <w:sectPr>
          <w:headerReference w:type="default" r:id="rId327"/>
          <w:footerReference w:type="default" r:id="rId328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1252"/>
        <w:rPr>
          <w:sz w:val="20"/>
        </w:rPr>
      </w:pPr>
      <w:r>
        <w:rPr>
          <w:sz w:val="20"/>
        </w:rPr>
        <w:pict>
          <v:group style="width:278.45pt;height:565.9pt;mso-position-horizontal-relative:char;mso-position-vertical-relative:line" coordorigin="0,0" coordsize="5569,11318">
            <v:shape style="position:absolute;left:0;top:0;width:5569;height:11318" type="#_x0000_t75" stroked="false">
              <v:imagedata r:id="rId332" o:title=""/>
            </v:shape>
            <v:shape style="position:absolute;left:4792;top:194;width:720;height:6405" coordorigin="4792,194" coordsize="720,6405" path="m5362,194l4792,194,4792,749,5362,749,5362,194xm5512,5939l4927,5939,4927,6599,5512,6599,5512,5939xe" filled="true" fillcolor="#ffff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spacing w:line="242" w:lineRule="auto" w:before="1"/>
        <w:ind w:left="312" w:right="899" w:firstLine="0"/>
        <w:jc w:val="left"/>
        <w:rPr>
          <w:b/>
          <w:sz w:val="24"/>
        </w:rPr>
      </w:pPr>
      <w:r>
        <w:rPr>
          <w:b/>
          <w:sz w:val="24"/>
        </w:rPr>
        <w:t>Figure 4.13: (A) 2D interaction diagram of FP-2 and P3 (B) 2D interaction diagram</w:t>
      </w:r>
      <w:r>
        <w:rPr>
          <w:b/>
          <w:spacing w:val="-58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FP-2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P4.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30"/>
          <w:footerReference w:type="default" r:id="rId331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85593" cy="2759773"/>
            <wp:effectExtent l="0" t="0" r="0" b="0"/>
            <wp:docPr id="87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00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593" cy="275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line="242" w:lineRule="auto" w:before="214"/>
        <w:ind w:right="763"/>
      </w:pPr>
      <w:r>
        <w:rPr/>
        <w:t>Figure 4.14: 3D binding poses and interaction of P3 and P4 in relation to various 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FP-3</w:t>
      </w:r>
      <w:r>
        <w:rPr>
          <w:spacing w:val="2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cavity.</w:t>
      </w:r>
    </w:p>
    <w:p>
      <w:pPr>
        <w:spacing w:after="0" w:line="242" w:lineRule="auto"/>
        <w:sectPr>
          <w:headerReference w:type="default" r:id="rId333"/>
          <w:footerReference w:type="default" r:id="rId334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1375"/>
        <w:rPr>
          <w:sz w:val="20"/>
        </w:rPr>
      </w:pPr>
      <w:r>
        <w:rPr>
          <w:sz w:val="20"/>
        </w:rPr>
        <w:pict>
          <v:group style="width:265.95pt;height:547.25pt;mso-position-horizontal-relative:char;mso-position-vertical-relative:line" coordorigin="0,0" coordsize="5319,10945">
            <v:shape style="position:absolute;left:0;top:0;width:5319;height:10945" type="#_x0000_t75" stroked="false">
              <v:imagedata r:id="rId338" o:title=""/>
            </v:shape>
            <v:shape style="position:absolute;left:4519;top:314;width:585;height:6360" coordorigin="4519,314" coordsize="585,6360" path="m5104,5909l4519,5909,4519,6674,5104,6674,5104,5909xm5104,314l4519,314,4519,1019,5104,1019,5104,314xe" filled="true" fillcolor="#ffff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spacing w:line="242" w:lineRule="auto" w:before="0"/>
        <w:ind w:left="312" w:right="899" w:firstLine="0"/>
        <w:jc w:val="left"/>
        <w:rPr>
          <w:b/>
          <w:sz w:val="24"/>
        </w:rPr>
      </w:pPr>
      <w:r>
        <w:rPr>
          <w:b/>
          <w:sz w:val="24"/>
        </w:rPr>
        <w:t>Figure 4.15: (A) 2D interaction diagram of FP-3 and P3 (B) 2D interaction diagram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FP-3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P4.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36"/>
          <w:footerReference w:type="default" r:id="rId337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86285" cy="3270884"/>
            <wp:effectExtent l="0" t="0" r="0" b="0"/>
            <wp:docPr id="89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02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285" cy="327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line="237" w:lineRule="auto" w:before="224"/>
        <w:ind w:right="1090"/>
      </w:pPr>
      <w:r>
        <w:rPr/>
        <w:t>Figure 4.16: 3D binding poses and interactions of P3 and P4 in relation to various</w:t>
      </w:r>
      <w:r>
        <w:rPr>
          <w:spacing w:val="-57"/>
        </w:rPr>
        <w:t> </w:t>
      </w:r>
      <w:r>
        <w:rPr/>
        <w:t>sub</w:t>
      </w:r>
      <w:r>
        <w:rPr>
          <w:spacing w:val="1"/>
        </w:rPr>
        <w:t> </w:t>
      </w:r>
      <w:r>
        <w:rPr/>
        <w:t>sites of</w:t>
      </w:r>
      <w:r>
        <w:rPr>
          <w:spacing w:val="-1"/>
        </w:rPr>
        <w:t> </w:t>
      </w:r>
      <w:r>
        <w:rPr/>
        <w:t>Plm-II binding</w:t>
      </w:r>
      <w:r>
        <w:rPr>
          <w:spacing w:val="2"/>
        </w:rPr>
        <w:t> </w:t>
      </w:r>
      <w:r>
        <w:rPr/>
        <w:t>cavity</w:t>
      </w:r>
    </w:p>
    <w:p>
      <w:pPr>
        <w:spacing w:after="0" w:line="237" w:lineRule="auto"/>
        <w:sectPr>
          <w:headerReference w:type="default" r:id="rId339"/>
          <w:footerReference w:type="default" r:id="rId340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1305"/>
        <w:rPr>
          <w:sz w:val="20"/>
        </w:rPr>
      </w:pPr>
      <w:r>
        <w:rPr>
          <w:sz w:val="20"/>
        </w:rPr>
        <w:drawing>
          <wp:inline distT="0" distB="0" distL="0" distR="0">
            <wp:extent cx="3463103" cy="6858000"/>
            <wp:effectExtent l="0" t="0" r="0" b="0"/>
            <wp:docPr id="91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3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103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line="242" w:lineRule="auto" w:before="1"/>
        <w:ind w:left="312" w:right="712" w:firstLine="0"/>
        <w:jc w:val="left"/>
        <w:rPr>
          <w:b/>
          <w:sz w:val="24"/>
        </w:rPr>
      </w:pPr>
      <w:r>
        <w:rPr>
          <w:b/>
          <w:sz w:val="24"/>
        </w:rPr>
        <w:t>Figure 4.17: (A) 2D interaction diagram of Plm-II and P3 (B) 2D interaction diagram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Plm-II and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P4.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42"/>
          <w:footerReference w:type="default" r:id="rId343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41075" cy="2602611"/>
            <wp:effectExtent l="0" t="0" r="0" b="0"/>
            <wp:docPr id="93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04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075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5"/>
        </w:rPr>
      </w:pPr>
    </w:p>
    <w:p>
      <w:pPr>
        <w:pStyle w:val="Heading1"/>
        <w:spacing w:line="237" w:lineRule="auto" w:before="92"/>
        <w:ind w:right="697"/>
      </w:pPr>
      <w:r>
        <w:rPr/>
        <w:t>Figure</w:t>
      </w:r>
      <w:r>
        <w:rPr>
          <w:spacing w:val="-2"/>
        </w:rPr>
        <w:t> </w:t>
      </w:r>
      <w:r>
        <w:rPr/>
        <w:t>4.18: 3D</w:t>
      </w:r>
      <w:r>
        <w:rPr>
          <w:spacing w:val="-6"/>
        </w:rPr>
        <w:t> </w:t>
      </w:r>
      <w:r>
        <w:rPr/>
        <w:t>binding</w:t>
      </w:r>
      <w:r>
        <w:rPr>
          <w:spacing w:val="1"/>
        </w:rPr>
        <w:t> </w:t>
      </w:r>
      <w:r>
        <w:rPr/>
        <w:t>poses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interaction of</w:t>
      </w:r>
      <w:r>
        <w:rPr>
          <w:spacing w:val="-3"/>
        </w:rPr>
        <w:t> </w:t>
      </w:r>
      <w:r>
        <w:rPr/>
        <w:t>P3</w:t>
      </w:r>
      <w:r>
        <w:rPr>
          <w:spacing w:val="-1"/>
        </w:rPr>
        <w:t> </w:t>
      </w:r>
      <w:r>
        <w:rPr/>
        <w:t>and P4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relation to</w:t>
      </w:r>
      <w:r>
        <w:rPr>
          <w:spacing w:val="-1"/>
        </w:rPr>
        <w:t> </w:t>
      </w:r>
      <w:r>
        <w:rPr/>
        <w:t>various</w:t>
      </w:r>
      <w:r>
        <w:rPr>
          <w:spacing w:val="-2"/>
        </w:rPr>
        <w:t> </w:t>
      </w:r>
      <w:r>
        <w:rPr/>
        <w:t>sub</w:t>
      </w:r>
      <w:r>
        <w:rPr>
          <w:spacing w:val="-57"/>
        </w:rPr>
        <w:t> </w:t>
      </w:r>
      <w:r>
        <w:rPr/>
        <w:t>sites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Plm-IV</w:t>
      </w:r>
      <w:r>
        <w:rPr>
          <w:spacing w:val="1"/>
        </w:rPr>
        <w:t> </w:t>
      </w:r>
      <w:r>
        <w:rPr/>
        <w:t>binding</w:t>
      </w:r>
      <w:r>
        <w:rPr>
          <w:spacing w:val="2"/>
        </w:rPr>
        <w:t> </w:t>
      </w:r>
      <w:r>
        <w:rPr/>
        <w:t>cavity.</w:t>
      </w:r>
    </w:p>
    <w:p>
      <w:pPr>
        <w:spacing w:after="0" w:line="237" w:lineRule="auto"/>
        <w:sectPr>
          <w:headerReference w:type="default" r:id="rId345"/>
          <w:footerReference w:type="default" r:id="rId346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1395"/>
        <w:rPr>
          <w:sz w:val="20"/>
        </w:rPr>
      </w:pPr>
      <w:r>
        <w:rPr>
          <w:sz w:val="20"/>
        </w:rPr>
        <w:drawing>
          <wp:inline distT="0" distB="0" distL="0" distR="0">
            <wp:extent cx="3353214" cy="7193280"/>
            <wp:effectExtent l="0" t="0" r="0" b="0"/>
            <wp:docPr id="95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05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214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spacing w:line="237" w:lineRule="auto" w:before="0"/>
        <w:ind w:left="312" w:right="1559" w:firstLine="0"/>
        <w:jc w:val="left"/>
        <w:rPr>
          <w:b/>
          <w:sz w:val="24"/>
        </w:rPr>
      </w:pPr>
      <w:r>
        <w:rPr>
          <w:b/>
          <w:sz w:val="24"/>
        </w:rPr>
        <w:t>Figure 4.19: (A) 2D interaction diagram of Plm-IV and P3 (B) 2D interaction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diagram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Plm-IV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P4.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348"/>
          <w:footerReference w:type="default" r:id="rId349"/>
          <w:pgSz w:w="11910" w:h="16840"/>
          <w:pgMar w:header="0" w:footer="878" w:top="1280" w:bottom="1060" w:left="1560" w:right="600"/>
        </w:sectPr>
      </w:pPr>
    </w:p>
    <w:p>
      <w:pPr>
        <w:pStyle w:val="Heading1"/>
        <w:numPr>
          <w:ilvl w:val="1"/>
          <w:numId w:val="19"/>
        </w:numPr>
        <w:tabs>
          <w:tab w:pos="673" w:val="left" w:leader="none"/>
        </w:tabs>
        <w:spacing w:line="237" w:lineRule="auto" w:before="77" w:after="0"/>
        <w:ind w:left="312" w:right="936" w:firstLine="0"/>
        <w:jc w:val="both"/>
      </w:pPr>
      <w:bookmarkStart w:name="_TOC_250024" w:id="69"/>
      <w:r>
        <w:rPr/>
        <w:t>Molecular Dynamics Simulation Studies of P3 and P4 Complexes of FP-2, FP-3,</w:t>
      </w:r>
      <w:r>
        <w:rPr>
          <w:spacing w:val="-58"/>
        </w:rPr>
        <w:t> </w:t>
      </w:r>
      <w:r>
        <w:rPr/>
        <w:t>Plm-II,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bookmarkEnd w:id="69"/>
      <w:r>
        <w:rPr/>
        <w:t>Plm-IV.</w:t>
      </w:r>
    </w:p>
    <w:p>
      <w:pPr>
        <w:pStyle w:val="Heading1"/>
        <w:numPr>
          <w:ilvl w:val="2"/>
          <w:numId w:val="19"/>
        </w:numPr>
        <w:tabs>
          <w:tab w:pos="855" w:val="left" w:leader="none"/>
        </w:tabs>
        <w:spacing w:line="240" w:lineRule="auto" w:before="205" w:after="0"/>
        <w:ind w:left="854" w:right="0" w:hanging="543"/>
        <w:jc w:val="both"/>
      </w:pPr>
      <w:bookmarkStart w:name="_TOC_250023" w:id="70"/>
      <w:r>
        <w:rPr/>
        <w:t>System</w:t>
      </w:r>
      <w:r>
        <w:rPr>
          <w:spacing w:val="-5"/>
        </w:rPr>
        <w:t> </w:t>
      </w:r>
      <w:bookmarkEnd w:id="70"/>
      <w:r>
        <w:rPr/>
        <w:t>stability</w:t>
      </w:r>
    </w:p>
    <w:p>
      <w:pPr>
        <w:pStyle w:val="BodyText"/>
        <w:spacing w:line="480" w:lineRule="auto" w:before="195"/>
        <w:ind w:left="312" w:right="700"/>
        <w:jc w:val="both"/>
      </w:pPr>
      <w:r>
        <w:rPr/>
        <w:t>After</w:t>
      </w:r>
      <w:r>
        <w:rPr>
          <w:spacing w:val="1"/>
        </w:rPr>
        <w:t> </w:t>
      </w:r>
      <w:r>
        <w:rPr/>
        <w:t>approximately 10ns,</w:t>
      </w:r>
      <w:r>
        <w:rPr>
          <w:spacing w:val="1"/>
        </w:rPr>
        <w:t> </w:t>
      </w:r>
      <w:r>
        <w:rPr/>
        <w:t>the RMSD trajectories converged and</w:t>
      </w:r>
      <w:r>
        <w:rPr>
          <w:spacing w:val="1"/>
        </w:rPr>
        <w:t> </w:t>
      </w:r>
      <w:r>
        <w:rPr/>
        <w:t>fluctuations did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exceed 3.0Ǻ for either system for the duration of the simulation (Figure 4.20 – 4.22). The</w:t>
      </w:r>
      <w:r>
        <w:rPr>
          <w:spacing w:val="1"/>
        </w:rPr>
        <w:t> </w:t>
      </w:r>
      <w:r>
        <w:rPr/>
        <w:t>average RMSD values for the C-α backbone atoms of FP-2, FP-3, Plm-II and Plm-IV in</w:t>
      </w:r>
      <w:r>
        <w:rPr>
          <w:spacing w:val="1"/>
        </w:rPr>
        <w:t> </w:t>
      </w:r>
      <w:r>
        <w:rPr/>
        <w:t>complex with P3 were 1.481, 1.702, 2.141 and 2.277Ǻ respectively, while that of FP-2,</w:t>
      </w:r>
      <w:r>
        <w:rPr>
          <w:spacing w:val="1"/>
        </w:rPr>
        <w:t> </w:t>
      </w:r>
      <w:r>
        <w:rPr/>
        <w:t>FP-3,</w:t>
      </w:r>
      <w:r>
        <w:rPr>
          <w:spacing w:val="1"/>
        </w:rPr>
        <w:t> </w:t>
      </w:r>
      <w:r>
        <w:rPr/>
        <w:t>Plm-II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Plm-IV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complex with P4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1.700,</w:t>
      </w:r>
      <w:r>
        <w:rPr>
          <w:spacing w:val="1"/>
        </w:rPr>
        <w:t> </w:t>
      </w:r>
      <w:r>
        <w:rPr/>
        <w:t>1.565,</w:t>
      </w:r>
      <w:r>
        <w:rPr>
          <w:spacing w:val="1"/>
        </w:rPr>
        <w:t> </w:t>
      </w:r>
      <w:r>
        <w:rPr/>
        <w:t>1.602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2.010Å</w:t>
      </w:r>
      <w:r>
        <w:rPr>
          <w:spacing w:val="1"/>
        </w:rPr>
        <w:t> </w:t>
      </w:r>
      <w:r>
        <w:rPr/>
        <w:t>respectively.</w:t>
      </w:r>
      <w:r>
        <w:rPr>
          <w:spacing w:val="60"/>
        </w:rPr>
        <w:t> </w:t>
      </w:r>
      <w:r>
        <w:rPr/>
        <w:t>For the C-α Rg, the falcipains complexes showed similar pattern (Figure</w:t>
      </w:r>
      <w:r>
        <w:rPr>
          <w:spacing w:val="1"/>
        </w:rPr>
        <w:t> </w:t>
      </w:r>
      <w:r>
        <w:rPr/>
        <w:t>4.21, A and B). The average Rg of P3 and P4 are 18.446 and 18.474 Å respectively for</w:t>
      </w:r>
      <w:r>
        <w:rPr>
          <w:spacing w:val="1"/>
        </w:rPr>
        <w:t> </w:t>
      </w:r>
      <w:r>
        <w:rPr/>
        <w:t>FP-3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18.278</w:t>
      </w:r>
      <w:r>
        <w:rPr>
          <w:spacing w:val="9"/>
        </w:rPr>
        <w:t> </w:t>
      </w:r>
      <w:r>
        <w:rPr/>
        <w:t>Å</w:t>
      </w:r>
      <w:r>
        <w:rPr>
          <w:spacing w:val="10"/>
        </w:rPr>
        <w:t> </w:t>
      </w:r>
      <w:r>
        <w:rPr/>
        <w:t>for</w:t>
      </w:r>
      <w:r>
        <w:rPr>
          <w:spacing w:val="16"/>
        </w:rPr>
        <w:t> </w:t>
      </w:r>
      <w:r>
        <w:rPr/>
        <w:t>both</w:t>
      </w:r>
      <w:r>
        <w:rPr>
          <w:spacing w:val="5"/>
        </w:rPr>
        <w:t> </w:t>
      </w:r>
      <w:r>
        <w:rPr/>
        <w:t>P3</w:t>
      </w:r>
      <w:r>
        <w:rPr>
          <w:spacing w:val="10"/>
        </w:rPr>
        <w:t> </w:t>
      </w:r>
      <w:r>
        <w:rPr/>
        <w:t>and</w:t>
      </w:r>
      <w:r>
        <w:rPr>
          <w:spacing w:val="9"/>
        </w:rPr>
        <w:t> </w:t>
      </w:r>
      <w:r>
        <w:rPr/>
        <w:t>P4</w:t>
      </w:r>
      <w:r>
        <w:rPr>
          <w:spacing w:val="10"/>
        </w:rPr>
        <w:t> </w:t>
      </w:r>
      <w:r>
        <w:rPr/>
        <w:t>FP-2</w:t>
      </w:r>
      <w:r>
        <w:rPr>
          <w:spacing w:val="9"/>
        </w:rPr>
        <w:t> </w:t>
      </w:r>
      <w:r>
        <w:rPr/>
        <w:t>complexes.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average</w:t>
      </w:r>
      <w:r>
        <w:rPr>
          <w:spacing w:val="13"/>
        </w:rPr>
        <w:t> </w:t>
      </w:r>
      <w:r>
        <w:rPr/>
        <w:t>Rg</w:t>
      </w:r>
      <w:r>
        <w:rPr>
          <w:spacing w:val="10"/>
        </w:rPr>
        <w:t> </w:t>
      </w:r>
      <w:r>
        <w:rPr/>
        <w:t>displayed</w:t>
      </w:r>
      <w:r>
        <w:rPr>
          <w:spacing w:val="14"/>
        </w:rPr>
        <w:t> </w:t>
      </w:r>
      <w:r>
        <w:rPr/>
        <w:t>by</w:t>
      </w:r>
      <w:r>
        <w:rPr>
          <w:spacing w:val="5"/>
        </w:rPr>
        <w:t> </w:t>
      </w:r>
      <w:r>
        <w:rPr/>
        <w:t>P3</w:t>
      </w:r>
      <w:r>
        <w:rPr>
          <w:spacing w:val="-58"/>
        </w:rPr>
        <w:t> </w:t>
      </w:r>
      <w:r>
        <w:rPr/>
        <w:t>in Plm-II and Plm-IV system are 20.642, and 19.982 Å respectively and that of P4 in Plm-</w:t>
      </w:r>
      <w:r>
        <w:rPr>
          <w:spacing w:val="1"/>
        </w:rPr>
        <w:t> </w:t>
      </w:r>
      <w:r>
        <w:rPr/>
        <w:t>II and Plm-IV system are 20.594 and 20.049. The two systems showed fluctuation in Rg</w:t>
      </w:r>
      <w:r>
        <w:rPr>
          <w:spacing w:val="1"/>
        </w:rPr>
        <w:t> </w:t>
      </w:r>
      <w:r>
        <w:rPr/>
        <w:t>values from the beginning of the simulation but, stabilize and decreased after about 10ns</w:t>
      </w:r>
      <w:r>
        <w:rPr>
          <w:spacing w:val="1"/>
        </w:rPr>
        <w:t> </w:t>
      </w:r>
      <w:r>
        <w:rPr/>
        <w:t>(Figure 4.21,</w:t>
      </w:r>
      <w:r>
        <w:rPr>
          <w:spacing w:val="4"/>
        </w:rPr>
        <w:t> </w:t>
      </w:r>
      <w:r>
        <w:rPr/>
        <w:t>C and</w:t>
      </w:r>
      <w:r>
        <w:rPr>
          <w:spacing w:val="2"/>
        </w:rPr>
        <w:t> </w:t>
      </w:r>
      <w:r>
        <w:rPr/>
        <w:t>D).</w:t>
      </w:r>
    </w:p>
    <w:p>
      <w:pPr>
        <w:pStyle w:val="BodyText"/>
        <w:spacing w:line="480" w:lineRule="auto" w:before="199"/>
        <w:ind w:left="312" w:right="701"/>
        <w:jc w:val="both"/>
      </w:pPr>
      <w:r>
        <w:rPr/>
        <w:t>The RMSF plots of the falcipains-ligand complexes are similar also (Figure 4.22; A and</w:t>
      </w:r>
      <w:r>
        <w:rPr>
          <w:spacing w:val="1"/>
        </w:rPr>
        <w:t> </w:t>
      </w:r>
      <w:r>
        <w:rPr/>
        <w:t>B). The region showing 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fluctuation are residues 1-20 representing the N-</w:t>
      </w:r>
      <w:r>
        <w:rPr>
          <w:spacing w:val="1"/>
        </w:rPr>
        <w:t> </w:t>
      </w:r>
      <w:r>
        <w:rPr/>
        <w:t>terminal insertion and the second</w:t>
      </w:r>
      <w:r>
        <w:rPr>
          <w:spacing w:val="60"/>
        </w:rPr>
        <w:t> </w:t>
      </w:r>
      <w:r>
        <w:rPr/>
        <w:t>insertion consisting of residues 175-200 (β-hairpin),</w:t>
      </w:r>
      <w:r>
        <w:rPr>
          <w:spacing w:val="1"/>
        </w:rPr>
        <w:t> </w:t>
      </w:r>
      <w:r>
        <w:rPr/>
        <w:t>been the most flexible regions. From the RMSF plot no fluctuations are observed in 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(Gln36/45,</w:t>
      </w:r>
      <w:r>
        <w:rPr>
          <w:spacing w:val="1"/>
        </w:rPr>
        <w:t> </w:t>
      </w:r>
      <w:r>
        <w:rPr/>
        <w:t>Cys42/51,</w:t>
      </w:r>
      <w:r>
        <w:rPr>
          <w:spacing w:val="1"/>
        </w:rPr>
        <w:t> </w:t>
      </w:r>
      <w:r>
        <w:rPr/>
        <w:t>His174/183,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Asn204/213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FP2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FP3</w:t>
      </w:r>
      <w:r>
        <w:rPr>
          <w:spacing w:val="1"/>
        </w:rPr>
        <w:t> </w:t>
      </w:r>
      <w:r>
        <w:rPr/>
        <w:t>respectively)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protein–ligand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remained</w:t>
      </w:r>
      <w:r>
        <w:rPr>
          <w:spacing w:val="1"/>
        </w:rPr>
        <w:t> </w:t>
      </w:r>
      <w:r>
        <w:rPr/>
        <w:t>stable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simulation period. The average RMSF of the N-terminus insertion and β-hairpin for the</w:t>
      </w:r>
      <w:r>
        <w:rPr>
          <w:spacing w:val="1"/>
        </w:rPr>
        <w:t> </w:t>
      </w:r>
      <w:r>
        <w:rPr/>
        <w:t>FP2-P3and FP3-P3 complexes are 11.06 Å, 9.21 Å and 6.95 Å, 7.26 Å respectively, while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FP2-P4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FP3-P4</w:t>
      </w:r>
      <w:r>
        <w:rPr>
          <w:spacing w:val="1"/>
        </w:rPr>
        <w:t> </w:t>
      </w:r>
      <w:r>
        <w:rPr/>
        <w:t>complexes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7.96</w:t>
      </w:r>
      <w:r>
        <w:rPr>
          <w:spacing w:val="1"/>
        </w:rPr>
        <w:t> </w:t>
      </w:r>
      <w:r>
        <w:rPr/>
        <w:t>Å,</w:t>
      </w:r>
      <w:r>
        <w:rPr>
          <w:spacing w:val="1"/>
        </w:rPr>
        <w:t> </w:t>
      </w:r>
      <w:r>
        <w:rPr/>
        <w:t>11.53</w:t>
      </w:r>
      <w:r>
        <w:rPr>
          <w:spacing w:val="1"/>
        </w:rPr>
        <w:t> </w:t>
      </w:r>
      <w:r>
        <w:rPr/>
        <w:t>Å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13.39</w:t>
      </w:r>
      <w:r>
        <w:rPr>
          <w:spacing w:val="1"/>
        </w:rPr>
        <w:t> </w:t>
      </w:r>
      <w:r>
        <w:rPr/>
        <w:t>Å,</w:t>
      </w:r>
      <w:r>
        <w:rPr>
          <w:spacing w:val="1"/>
        </w:rPr>
        <w:t> </w:t>
      </w:r>
      <w:r>
        <w:rPr/>
        <w:t>7.14</w:t>
      </w:r>
      <w:r>
        <w:rPr>
          <w:spacing w:val="1"/>
        </w:rPr>
        <w:t> </w:t>
      </w:r>
      <w:r>
        <w:rPr/>
        <w:t>Å</w:t>
      </w:r>
      <w:r>
        <w:rPr>
          <w:spacing w:val="1"/>
        </w:rPr>
        <w:t> </w:t>
      </w:r>
      <w:r>
        <w:rPr/>
        <w:t>respectively.</w:t>
      </w:r>
    </w:p>
    <w:p>
      <w:pPr>
        <w:spacing w:after="0" w:line="480" w:lineRule="auto"/>
        <w:jc w:val="both"/>
        <w:sectPr>
          <w:headerReference w:type="default" r:id="rId351"/>
          <w:footerReference w:type="default" r:id="rId35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704"/>
        <w:jc w:val="both"/>
      </w:pPr>
      <w:r>
        <w:rPr/>
        <w:t>For the plasmepsins systems (Figure 4.22,</w:t>
      </w:r>
      <w:r>
        <w:rPr>
          <w:spacing w:val="1"/>
        </w:rPr>
        <w:t> </w:t>
      </w:r>
      <w:r>
        <w:rPr/>
        <w:t>C and D), the amino</w:t>
      </w:r>
      <w:r>
        <w:rPr>
          <w:spacing w:val="1"/>
        </w:rPr>
        <w:t> </w:t>
      </w:r>
      <w:r>
        <w:rPr/>
        <w:t>acid residues 225-300</w:t>
      </w:r>
      <w:r>
        <w:rPr>
          <w:spacing w:val="1"/>
        </w:rPr>
        <w:t> </w:t>
      </w:r>
      <w:r>
        <w:rPr/>
        <w:t>show a higher fluctuation relative to other residues. The region represents the L3 loop</w:t>
      </w:r>
      <w:r>
        <w:rPr>
          <w:spacing w:val="1"/>
        </w:rPr>
        <w:t> </w:t>
      </w:r>
      <w:r>
        <w:rPr/>
        <w:t>(231-244) and L4 loop (277-283) Plm-II numbering, where the flexible loop is situated.</w:t>
      </w:r>
      <w:r>
        <w:rPr>
          <w:spacing w:val="1"/>
        </w:rPr>
        <w:t> </w:t>
      </w:r>
      <w:r>
        <w:rPr/>
        <w:t>There was no significant movement of the flap as the compounds remained embraced by</w:t>
      </w:r>
      <w:r>
        <w:rPr>
          <w:spacing w:val="1"/>
        </w:rPr>
        <w:t> </w:t>
      </w:r>
      <w:r>
        <w:rPr/>
        <w:t>the flap at the active site cavity. The overall average RMSF for Plm-II bound to P3 and P4</w:t>
      </w:r>
      <w:r>
        <w:rPr>
          <w:spacing w:val="-57"/>
        </w:rPr>
        <w:t> </w:t>
      </w:r>
      <w:r>
        <w:rPr/>
        <w:t>are 7.652 Å and 7.138 Å respectively. And, Plm-IV complexes showed an average RMSF</w:t>
      </w:r>
      <w:r>
        <w:rPr>
          <w:spacing w:val="1"/>
        </w:rPr>
        <w:t> </w:t>
      </w:r>
      <w:r>
        <w:rPr/>
        <w:t>of 5.860 Å and 9.111 Å for P3 and P4 respectively. Compound P3 have less residual</w:t>
      </w:r>
      <w:r>
        <w:rPr>
          <w:spacing w:val="1"/>
        </w:rPr>
        <w:t> </w:t>
      </w:r>
      <w:r>
        <w:rPr/>
        <w:t>fluctuation</w:t>
      </w:r>
      <w:r>
        <w:rPr>
          <w:spacing w:val="-4"/>
        </w:rPr>
        <w:t> </w:t>
      </w:r>
      <w:r>
        <w:rPr/>
        <w:t>as compared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P4.</w:t>
      </w:r>
    </w:p>
    <w:p>
      <w:pPr>
        <w:spacing w:after="0" w:line="480" w:lineRule="auto"/>
        <w:jc w:val="both"/>
        <w:sectPr>
          <w:headerReference w:type="default" r:id="rId353"/>
          <w:footerReference w:type="default" r:id="rId354"/>
          <w:pgSz w:w="11910" w:h="16840"/>
          <w:pgMar w:header="0" w:footer="878" w:top="120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pict>
          <v:group style="width:445.8pt;height:277.7pt;mso-position-horizontal-relative:char;mso-position-vertical-relative:line" coordorigin="0,0" coordsize="8916,5554">
            <v:shape style="position:absolute;left:0;top:1;width:8916;height:5553" type="#_x0000_t75" stroked="false">
              <v:imagedata r:id="rId357" o:title=""/>
            </v:shape>
            <v:shape style="position:absolute;left:2388;top:0;width:4785;height:3180" coordorigin="2388,0" coordsize="4785,3180" path="m2733,2730l2388,2730,2388,3120,2733,3120,2733,2730xm2733,0l2388,0,2388,510,2733,510,2733,0xm7173,2760l6813,2760,6813,3180,7173,3180,7173,2760xm7173,0l6813,0,6813,405,7173,405,7173,0xe" filled="true" fillcolor="#ffff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29"/>
        </w:rPr>
      </w:pPr>
    </w:p>
    <w:p>
      <w:pPr>
        <w:pStyle w:val="Heading1"/>
        <w:spacing w:line="242" w:lineRule="auto" w:before="90"/>
        <w:ind w:right="1252"/>
      </w:pPr>
      <w:r>
        <w:rPr/>
        <w:t>Figure 4.20: RMSD plot of FP-2 (A); FP-3 (B); Plm-II (C); Plm-IV (D) bound to</w:t>
      </w:r>
      <w:r>
        <w:rPr>
          <w:spacing w:val="-57"/>
        </w:rPr>
        <w:t> </w:t>
      </w:r>
      <w:r>
        <w:rPr/>
        <w:t>compound</w:t>
      </w:r>
      <w:r>
        <w:rPr>
          <w:spacing w:val="1"/>
        </w:rPr>
        <w:t> </w:t>
      </w:r>
      <w:r>
        <w:rPr/>
        <w:t>P3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P4</w:t>
      </w:r>
      <w:r>
        <w:rPr>
          <w:spacing w:val="2"/>
        </w:rPr>
        <w:t> </w:t>
      </w:r>
      <w:r>
        <w:rPr/>
        <w:t>during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30ns</w:t>
      </w:r>
      <w:r>
        <w:rPr>
          <w:spacing w:val="-1"/>
        </w:rPr>
        <w:t> </w:t>
      </w:r>
      <w:r>
        <w:rPr/>
        <w:t>simulation.</w:t>
      </w:r>
    </w:p>
    <w:p>
      <w:pPr>
        <w:spacing w:after="0" w:line="242" w:lineRule="auto"/>
        <w:sectPr>
          <w:headerReference w:type="default" r:id="rId355"/>
          <w:footerReference w:type="default" r:id="rId356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pict>
          <v:group style="width:438.25pt;height:287pt;mso-position-horizontal-relative:char;mso-position-vertical-relative:line" coordorigin="0,0" coordsize="8765,5740">
            <v:shape style="position:absolute;left:0;top:71;width:8765;height:5668" type="#_x0000_t75" stroked="false">
              <v:imagedata r:id="rId360" o:title=""/>
            </v:shape>
            <v:shape style="position:absolute;left:2598;top:0;width:4530;height:3405" coordorigin="2598,0" coordsize="4530,3405" path="m2958,0l2598,0,2598,405,2958,405,2958,0xm3078,2955l2703,2955,2703,3405,3078,3405,3078,2955xm7053,0l6738,0,6738,405,7053,405,7053,0xm7128,2955l6738,2955,6738,3315,7128,3315,7128,2955xe" filled="true" fillcolor="#ffff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spacing w:line="242" w:lineRule="auto" w:before="90"/>
        <w:ind w:left="312" w:right="831" w:firstLine="0"/>
        <w:jc w:val="left"/>
        <w:rPr>
          <w:b/>
          <w:sz w:val="24"/>
        </w:rPr>
      </w:pPr>
      <w:r>
        <w:rPr>
          <w:b/>
          <w:sz w:val="24"/>
        </w:rPr>
        <w:t>Figure 4.21 : C-α RoG plot of FP-2 (A), FP-3(B), Plm-II (C) and, Plm-IV (D) both in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complex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with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P3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P4.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58"/>
          <w:footerReference w:type="default" r:id="rId359"/>
          <w:pgSz w:w="11910" w:h="16840"/>
          <w:pgMar w:header="0" w:footer="878" w:top="1280" w:bottom="106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pict>
          <v:group style="width:417.15pt;height:329.1pt;mso-position-horizontal-relative:char;mso-position-vertical-relative:line" coordorigin="0,0" coordsize="8343,6582">
            <v:shape style="position:absolute;left:0;top:0;width:8343;height:6582" type="#_x0000_t75" stroked="false">
              <v:imagedata r:id="rId363" o:title=""/>
            </v:shape>
            <v:shape style="position:absolute;left:2343;top:74;width:4665;height:3555" coordorigin="2343,74" coordsize="4665,3555" path="m2733,3224l2343,3224,2343,3629,2733,3629,2733,3224xm2733,74l2343,74,2343,509,2733,509,2733,74xm7008,3224l6648,3224,6648,3629,7008,3629,7008,3224xm7008,74l6648,74,6648,509,7008,509,7008,74xe" filled="true" fillcolor="#ffffff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29"/>
        </w:rPr>
      </w:pPr>
    </w:p>
    <w:p>
      <w:pPr>
        <w:pStyle w:val="Heading1"/>
        <w:spacing w:line="242" w:lineRule="auto" w:before="90"/>
        <w:ind w:right="1091"/>
      </w:pPr>
      <w:r>
        <w:rPr/>
        <w:t>Figure 4.22 : C-α RMSF of FP-2 (A), FP-3(B), Plm-II (C) and, Plm-IV (D) both in</w:t>
      </w:r>
      <w:r>
        <w:rPr>
          <w:spacing w:val="-57"/>
        </w:rPr>
        <w:t> </w:t>
      </w:r>
      <w:r>
        <w:rPr/>
        <w:t>complex</w:t>
      </w:r>
      <w:r>
        <w:rPr>
          <w:spacing w:val="-4"/>
        </w:rPr>
        <w:t> </w:t>
      </w:r>
      <w:r>
        <w:rPr/>
        <w:t>with</w:t>
      </w:r>
      <w:r>
        <w:rPr>
          <w:spacing w:val="2"/>
        </w:rPr>
        <w:t> </w:t>
      </w:r>
      <w:r>
        <w:rPr/>
        <w:t>P3</w:t>
      </w:r>
      <w:r>
        <w:rPr>
          <w:spacing w:val="2"/>
        </w:rPr>
        <w:t> </w:t>
      </w:r>
      <w:r>
        <w:rPr/>
        <w:t>and</w:t>
      </w:r>
      <w:r>
        <w:rPr>
          <w:spacing w:val="-2"/>
        </w:rPr>
        <w:t> </w:t>
      </w:r>
      <w:r>
        <w:rPr/>
        <w:t>P4.</w:t>
      </w:r>
    </w:p>
    <w:p>
      <w:pPr>
        <w:spacing w:after="0" w:line="242" w:lineRule="auto"/>
        <w:sectPr>
          <w:headerReference w:type="default" r:id="rId361"/>
          <w:footerReference w:type="default" r:id="rId362"/>
          <w:pgSz w:w="11910" w:h="16840"/>
          <w:pgMar w:header="0" w:footer="878" w:top="1280" w:bottom="1060" w:left="1560" w:right="600"/>
        </w:sectPr>
      </w:pPr>
    </w:p>
    <w:p>
      <w:pPr>
        <w:pStyle w:val="Heading1"/>
        <w:numPr>
          <w:ilvl w:val="2"/>
          <w:numId w:val="19"/>
        </w:numPr>
        <w:tabs>
          <w:tab w:pos="855" w:val="left" w:leader="none"/>
        </w:tabs>
        <w:spacing w:line="240" w:lineRule="auto" w:before="74" w:after="0"/>
        <w:ind w:left="854" w:right="0" w:hanging="543"/>
        <w:jc w:val="both"/>
      </w:pPr>
      <w:bookmarkStart w:name="_TOC_250022" w:id="71"/>
      <w:r>
        <w:rPr/>
        <w:t>Per-residue</w:t>
      </w:r>
      <w:r>
        <w:rPr>
          <w:spacing w:val="-6"/>
        </w:rPr>
        <w:t> </w:t>
      </w:r>
      <w:r>
        <w:rPr/>
        <w:t>energy</w:t>
      </w:r>
      <w:r>
        <w:rPr>
          <w:spacing w:val="-5"/>
        </w:rPr>
        <w:t> </w:t>
      </w:r>
      <w:r>
        <w:rPr/>
        <w:t>decomposition</w:t>
      </w:r>
      <w:r>
        <w:rPr>
          <w:spacing w:val="-3"/>
        </w:rPr>
        <w:t> </w:t>
      </w:r>
      <w:bookmarkEnd w:id="71"/>
      <w:r>
        <w:rPr/>
        <w:t>analysis</w:t>
      </w:r>
    </w:p>
    <w:p>
      <w:pPr>
        <w:pStyle w:val="BodyText"/>
        <w:spacing w:line="480" w:lineRule="auto" w:before="195"/>
        <w:ind w:left="312" w:right="708"/>
        <w:jc w:val="both"/>
      </w:pPr>
      <w:r>
        <w:rPr/>
        <w:t>Per</w:t>
      </w:r>
      <w:r>
        <w:rPr>
          <w:spacing w:val="1"/>
        </w:rPr>
        <w:t> </w:t>
      </w:r>
      <w:r>
        <w:rPr/>
        <w:t>residue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decomposition</w:t>
      </w:r>
      <w:r>
        <w:rPr>
          <w:spacing w:val="1"/>
        </w:rPr>
        <w:t> </w:t>
      </w:r>
      <w:r>
        <w:rPr/>
        <w:t>plots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ligand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presented on Figure 4.22 – 4.25. Most of the amino acid residues surrounding the ligand in</w:t>
      </w:r>
      <w:r>
        <w:rPr>
          <w:spacing w:val="-57"/>
        </w:rPr>
        <w:t> </w:t>
      </w:r>
      <w:r>
        <w:rPr/>
        <w:t>each</w:t>
      </w:r>
      <w:r>
        <w:rPr>
          <w:spacing w:val="-5"/>
        </w:rPr>
        <w:t> </w:t>
      </w:r>
      <w:r>
        <w:rPr/>
        <w:t>complex</w:t>
      </w:r>
      <w:r>
        <w:rPr>
          <w:spacing w:val="-4"/>
        </w:rPr>
        <w:t> </w:t>
      </w:r>
      <w:r>
        <w:rPr/>
        <w:t>studied</w:t>
      </w:r>
      <w:r>
        <w:rPr>
          <w:spacing w:val="1"/>
        </w:rPr>
        <w:t> </w:t>
      </w:r>
      <w:r>
        <w:rPr/>
        <w:t>showed favorable binding</w:t>
      </w:r>
      <w:r>
        <w:rPr>
          <w:spacing w:val="5"/>
        </w:rPr>
        <w:t> </w:t>
      </w:r>
      <w:r>
        <w:rPr/>
        <w:t>interaction</w:t>
      </w:r>
      <w:r>
        <w:rPr>
          <w:spacing w:val="-5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5"/>
        </w:rPr>
        <w:t> </w:t>
      </w:r>
      <w:r>
        <w:rPr/>
        <w:t>ligand.</w:t>
      </w:r>
    </w:p>
    <w:p>
      <w:pPr>
        <w:spacing w:after="0" w:line="480" w:lineRule="auto"/>
        <w:jc w:val="both"/>
        <w:sectPr>
          <w:headerReference w:type="default" r:id="rId364"/>
          <w:footerReference w:type="default" r:id="rId36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538"/>
        <w:rPr>
          <w:sz w:val="20"/>
        </w:rPr>
      </w:pPr>
      <w:r>
        <w:rPr>
          <w:sz w:val="20"/>
        </w:rPr>
        <w:pict>
          <v:group style="width:260.8pt;height:408.55pt;mso-position-horizontal-relative:char;mso-position-vertical-relative:line" coordorigin="0,0" coordsize="5216,8171">
            <v:shape style="position:absolute;left:0;top:0;width:4878;height:8171" type="#_x0000_t75" stroked="false">
              <v:imagedata r:id="rId368" o:title=""/>
            </v:shape>
            <v:shape style="position:absolute;left:4701;top:1040;width:514;height:4980" coordorigin="4701,1041" coordsize="514,4980" path="m5163,1041l4701,1041,4701,1626,5163,1626,5163,1041xm5215,5541l4766,5541,4766,6021,5215,6021,5215,5541xe" filled="true" fillcolor="#ffffff" stroked="false">
              <v:path arrowok="t"/>
              <v:fill type="solid"/>
            </v:shape>
            <v:shape style="position:absolute;left:4848;top:1116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915;top:5615;width:1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1"/>
        <w:spacing w:line="242" w:lineRule="auto" w:before="0"/>
        <w:ind w:right="919"/>
      </w:pPr>
      <w:r>
        <w:rPr/>
        <w:t>Figure 4.23 : Per residue energy decomposition plot of (A) FP-2 in complex with P3</w:t>
      </w:r>
      <w:r>
        <w:rPr>
          <w:spacing w:val="-58"/>
        </w:rPr>
        <w:t> </w:t>
      </w:r>
      <w:r>
        <w:rPr/>
        <w:t>and</w:t>
      </w:r>
      <w:r>
        <w:rPr>
          <w:spacing w:val="1"/>
        </w:rPr>
        <w:t> </w:t>
      </w:r>
      <w:r>
        <w:rPr/>
        <w:t>(B)</w:t>
      </w:r>
      <w:r>
        <w:rPr>
          <w:spacing w:val="-1"/>
        </w:rPr>
        <w:t> </w:t>
      </w:r>
      <w:r>
        <w:rPr/>
        <w:t>FP-2</w:t>
      </w:r>
      <w:r>
        <w:rPr>
          <w:spacing w:val="2"/>
        </w:rPr>
        <w:t> </w:t>
      </w:r>
      <w:r>
        <w:rPr/>
        <w:t>in</w:t>
      </w:r>
      <w:r>
        <w:rPr>
          <w:spacing w:val="3"/>
        </w:rPr>
        <w:t> </w:t>
      </w:r>
      <w:r>
        <w:rPr/>
        <w:t>complex</w:t>
      </w:r>
      <w:r>
        <w:rPr>
          <w:spacing w:val="-3"/>
        </w:rPr>
        <w:t> </w:t>
      </w:r>
      <w:r>
        <w:rPr/>
        <w:t>with</w:t>
      </w:r>
      <w:r>
        <w:rPr>
          <w:spacing w:val="1"/>
        </w:rPr>
        <w:t> </w:t>
      </w:r>
      <w:r>
        <w:rPr/>
        <w:t>P4</w:t>
      </w:r>
    </w:p>
    <w:p>
      <w:pPr>
        <w:spacing w:after="0" w:line="242" w:lineRule="auto"/>
        <w:sectPr>
          <w:headerReference w:type="default" r:id="rId366"/>
          <w:footerReference w:type="default" r:id="rId367"/>
          <w:pgSz w:w="11910" w:h="16840"/>
          <w:pgMar w:header="0" w:footer="878" w:top="1580" w:bottom="1060" w:left="1560" w:right="600"/>
        </w:sectPr>
      </w:pPr>
    </w:p>
    <w:p>
      <w:pPr>
        <w:pStyle w:val="BodyText"/>
        <w:ind w:left="1470"/>
        <w:rPr>
          <w:sz w:val="20"/>
        </w:rPr>
      </w:pPr>
      <w:r>
        <w:rPr>
          <w:sz w:val="20"/>
        </w:rPr>
        <w:pict>
          <v:group style="width:274.5pt;height:440.7pt;mso-position-horizontal-relative:char;mso-position-vertical-relative:line" coordorigin="0,0" coordsize="5490,8814">
            <v:shape style="position:absolute;left:0;top:0;width:5060;height:8814" type="#_x0000_t75" stroked="false">
              <v:imagedata r:id="rId371" o:title=""/>
            </v:shape>
            <v:shape style="position:absolute;left:5069;top:1390;width:420;height:5535" coordorigin="5069,1391" coordsize="420,5535" path="m5489,6506l5069,6506,5069,6926,5489,6926,5489,6506xm5489,1391l5069,1391,5069,1796,5489,1796,5489,1391xe" filled="true" fillcolor="#ffffff" stroked="false">
              <v:path arrowok="t"/>
              <v:fill type="solid"/>
            </v:shape>
            <v:shape style="position:absolute;left:5214;top:1467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214;top:6580;width:1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</w:p>
    <w:p>
      <w:pPr>
        <w:spacing w:line="242" w:lineRule="auto" w:before="90"/>
        <w:ind w:left="312" w:right="979" w:firstLine="0"/>
        <w:jc w:val="left"/>
        <w:rPr>
          <w:b/>
          <w:sz w:val="24"/>
        </w:rPr>
      </w:pPr>
      <w:r>
        <w:rPr>
          <w:b/>
          <w:sz w:val="24"/>
        </w:rPr>
        <w:t>Figure 4.24: Per residue energy decomposition plot of (A) FP-3 in complex with P3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(B)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FP-3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complex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with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P4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69"/>
          <w:footerReference w:type="default" r:id="rId370"/>
          <w:pgSz w:w="11910" w:h="16840"/>
          <w:pgMar w:header="0" w:footer="878" w:top="1560" w:bottom="1060" w:left="1560" w:right="600"/>
        </w:sectPr>
      </w:pPr>
    </w:p>
    <w:p>
      <w:pPr>
        <w:pStyle w:val="BodyText"/>
        <w:ind w:left="1345"/>
        <w:rPr>
          <w:sz w:val="20"/>
        </w:rPr>
      </w:pPr>
      <w:r>
        <w:rPr>
          <w:sz w:val="20"/>
        </w:rPr>
        <w:pict>
          <v:group style="width:286pt;height:456.1pt;mso-position-horizontal-relative:char;mso-position-vertical-relative:line" coordorigin="0,0" coordsize="5720,9122">
            <v:shape style="position:absolute;left:0;top:0;width:5329;height:9122" type="#_x0000_t75" stroked="false">
              <v:imagedata r:id="rId374" o:title=""/>
            </v:shape>
            <v:shape style="position:absolute;left:5284;top:1284;width:435;height:5985" coordorigin="5285,1285" coordsize="435,5985" path="m5645,6865l5285,6865,5285,7270,5645,7270,5645,6865xm5720,1285l5285,1285,5285,1675,5720,1675,5720,1285xe" filled="true" fillcolor="#ffffff" stroked="false">
              <v:path arrowok="t"/>
              <v:fill type="solid"/>
            </v:shape>
            <v:shape style="position:absolute;left:5430;top:1361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430;top:6940;width:1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8"/>
        </w:rPr>
      </w:pPr>
    </w:p>
    <w:p>
      <w:pPr>
        <w:pStyle w:val="Heading1"/>
        <w:spacing w:line="237" w:lineRule="auto" w:before="92"/>
        <w:ind w:right="734"/>
      </w:pPr>
      <w:r>
        <w:rPr/>
        <w:t>Figure 4.25: Per residue decomposition plot of (A) Plm-II in complex with P3 and (B)</w:t>
      </w:r>
      <w:r>
        <w:rPr>
          <w:spacing w:val="-57"/>
        </w:rPr>
        <w:t> </w:t>
      </w:r>
      <w:r>
        <w:rPr/>
        <w:t>Plm-II</w:t>
      </w:r>
      <w:r>
        <w:rPr>
          <w:spacing w:val="-1"/>
        </w:rPr>
        <w:t> </w:t>
      </w:r>
      <w:r>
        <w:rPr/>
        <w:t>in</w:t>
      </w:r>
      <w:r>
        <w:rPr>
          <w:spacing w:val="3"/>
        </w:rPr>
        <w:t> </w:t>
      </w:r>
      <w:r>
        <w:rPr/>
        <w:t>complex</w:t>
      </w:r>
      <w:r>
        <w:rPr>
          <w:spacing w:val="-3"/>
        </w:rPr>
        <w:t> </w:t>
      </w:r>
      <w:r>
        <w:rPr/>
        <w:t>with</w:t>
      </w:r>
      <w:r>
        <w:rPr>
          <w:spacing w:val="2"/>
        </w:rPr>
        <w:t> </w:t>
      </w:r>
      <w:r>
        <w:rPr/>
        <w:t>P4.</w:t>
      </w:r>
    </w:p>
    <w:p>
      <w:pPr>
        <w:spacing w:after="0" w:line="237" w:lineRule="auto"/>
        <w:sectPr>
          <w:headerReference w:type="default" r:id="rId372"/>
          <w:footerReference w:type="default" r:id="rId373"/>
          <w:pgSz w:w="11910" w:h="16840"/>
          <w:pgMar w:header="0" w:footer="878" w:top="1540" w:bottom="1060" w:left="1560" w:right="600"/>
        </w:sectPr>
      </w:pPr>
    </w:p>
    <w:p>
      <w:pPr>
        <w:pStyle w:val="BodyText"/>
        <w:spacing w:before="1"/>
        <w:rPr>
          <w:b/>
          <w:sz w:val="22"/>
        </w:rPr>
      </w:pPr>
    </w:p>
    <w:p>
      <w:pPr>
        <w:pStyle w:val="BodyText"/>
        <w:ind w:left="1450"/>
        <w:rPr>
          <w:sz w:val="20"/>
        </w:rPr>
      </w:pPr>
      <w:r>
        <w:rPr>
          <w:sz w:val="20"/>
        </w:rPr>
        <w:pict>
          <v:group style="width:277.75pt;height:429.65pt;mso-position-horizontal-relative:char;mso-position-vertical-relative:line" coordorigin="0,0" coordsize="5555,8593">
            <v:shape style="position:absolute;left:0;top:0;width:5146;height:8593" type="#_x0000_t75" stroked="false">
              <v:imagedata r:id="rId377" o:title=""/>
            </v:shape>
            <v:shape style="position:absolute;left:5119;top:1092;width:435;height:5025" coordorigin="5120,1092" coordsize="435,5025" path="m5555,5697l5195,5697,5195,6117,5555,6117,5555,5697xm5555,1092l5120,1092,5120,1587,5555,1587,5555,1092xe" filled="true" fillcolor="#ffffff" stroked="false">
              <v:path arrowok="t"/>
              <v:fill type="solid"/>
            </v:shape>
            <v:shape style="position:absolute;left:5268;top:1169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340;top:5774;width:1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spacing w:line="242" w:lineRule="auto" w:before="90"/>
        <w:ind w:left="312" w:right="979" w:firstLine="0"/>
        <w:jc w:val="left"/>
        <w:rPr>
          <w:b/>
          <w:sz w:val="24"/>
        </w:rPr>
      </w:pPr>
      <w:r>
        <w:rPr>
          <w:b/>
          <w:sz w:val="24"/>
        </w:rPr>
        <w:t>Figure 4.26 : Per residue energy decomposition plot of (A) Plm-IV in complex with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P3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(B)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Plm-IV in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complex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with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P4.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75"/>
          <w:footerReference w:type="default" r:id="rId376"/>
          <w:pgSz w:w="11910" w:h="16840"/>
          <w:pgMar w:header="0" w:footer="878" w:top="1580" w:bottom="1060" w:left="1560" w:right="600"/>
        </w:sectPr>
      </w:pPr>
    </w:p>
    <w:p>
      <w:pPr>
        <w:pStyle w:val="BodyText"/>
        <w:spacing w:before="5"/>
        <w:rPr>
          <w:b/>
          <w:sz w:val="9"/>
        </w:rPr>
      </w:pPr>
    </w:p>
    <w:p>
      <w:pPr>
        <w:pStyle w:val="BodyText"/>
        <w:spacing w:line="480" w:lineRule="auto" w:before="90"/>
        <w:ind w:left="312" w:right="704"/>
        <w:jc w:val="both"/>
      </w:pPr>
      <w:r>
        <w:rPr/>
        <w:t>The total binding free energies of all the systems studied are presented on Table 4.14.</w:t>
      </w:r>
      <w:r>
        <w:rPr>
          <w:spacing w:val="1"/>
        </w:rPr>
        <w:t> </w:t>
      </w:r>
      <w:r>
        <w:rPr/>
        <w:t>Plasmepsin complexes showed the most favorable binding energies. With the exception of</w:t>
      </w:r>
      <w:r>
        <w:rPr>
          <w:spacing w:val="-57"/>
        </w:rPr>
        <w:t> </w:t>
      </w:r>
      <w:r>
        <w:rPr/>
        <w:t>Plm-II</w:t>
      </w:r>
      <w:r>
        <w:rPr>
          <w:spacing w:val="1"/>
        </w:rPr>
        <w:t> </w:t>
      </w:r>
      <w:r>
        <w:rPr/>
        <w:t>complexes,</w:t>
      </w:r>
      <w:r>
        <w:rPr>
          <w:spacing w:val="1"/>
        </w:rPr>
        <w:t> </w:t>
      </w:r>
      <w:r>
        <w:rPr/>
        <w:t>P3</w:t>
      </w:r>
      <w:r>
        <w:rPr>
          <w:spacing w:val="1"/>
        </w:rPr>
        <w:t> </w:t>
      </w:r>
      <w:r>
        <w:rPr/>
        <w:t>complexes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enzymes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energies</w:t>
      </w:r>
      <w:r>
        <w:rPr>
          <w:spacing w:val="1"/>
        </w:rPr>
        <w:t> </w:t>
      </w:r>
      <w:r>
        <w:rPr/>
        <w:t>compared to P4 complexes. Van der Waals interactions contribute most favorably to the</w:t>
      </w:r>
      <w:r>
        <w:rPr>
          <w:spacing w:val="1"/>
        </w:rPr>
        <w:t> </w:t>
      </w:r>
      <w:r>
        <w:rPr/>
        <w:t>binding</w:t>
      </w:r>
      <w:r>
        <w:rPr>
          <w:spacing w:val="5"/>
        </w:rPr>
        <w:t> </w:t>
      </w:r>
      <w:r>
        <w:rPr/>
        <w:t>free</w:t>
      </w:r>
      <w:r>
        <w:rPr>
          <w:spacing w:val="1"/>
        </w:rPr>
        <w:t> </w:t>
      </w:r>
      <w:r>
        <w:rPr/>
        <w:t>energy</w:t>
      </w:r>
      <w:r>
        <w:rPr>
          <w:spacing w:val="-3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systems.</w:t>
      </w:r>
    </w:p>
    <w:p>
      <w:pPr>
        <w:spacing w:after="0" w:line="480" w:lineRule="auto"/>
        <w:jc w:val="both"/>
        <w:sectPr>
          <w:headerReference w:type="default" r:id="rId378"/>
          <w:footerReference w:type="default" r:id="rId379"/>
          <w:pgSz w:w="11910" w:h="16840"/>
          <w:pgMar w:header="1303" w:footer="878" w:top="1840" w:bottom="1060" w:left="1560" w:right="600"/>
        </w:sectPr>
      </w:pPr>
    </w:p>
    <w:tbl>
      <w:tblPr>
        <w:tblW w:w="0" w:type="auto"/>
        <w:jc w:val="left"/>
        <w:tblInd w:w="2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06"/>
        <w:gridCol w:w="1376"/>
        <w:gridCol w:w="1458"/>
        <w:gridCol w:w="1526"/>
        <w:gridCol w:w="1463"/>
        <w:gridCol w:w="1648"/>
      </w:tblGrid>
      <w:tr>
        <w:trPr>
          <w:trHeight w:val="517" w:hRule="atLeast"/>
        </w:trPr>
        <w:tc>
          <w:tcPr>
            <w:tcW w:w="8977" w:type="dxa"/>
            <w:gridSpan w:val="6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/>
              <w:ind w:left="1611"/>
              <w:rPr>
                <w:b/>
                <w:sz w:val="24"/>
              </w:rPr>
            </w:pPr>
            <w:r>
              <w:rPr>
                <w:b/>
                <w:sz w:val="24"/>
              </w:rPr>
              <w:t>Energy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Components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(kcal/mol)</w:t>
            </w:r>
          </w:p>
        </w:tc>
      </w:tr>
      <w:tr>
        <w:trPr>
          <w:trHeight w:val="518" w:hRule="atLeast"/>
        </w:trPr>
        <w:tc>
          <w:tcPr>
            <w:tcW w:w="15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8" w:lineRule="exact"/>
              <w:ind w:left="118"/>
              <w:rPr>
                <w:b/>
                <w:sz w:val="24"/>
              </w:rPr>
            </w:pPr>
            <w:r>
              <w:rPr>
                <w:b/>
                <w:sz w:val="24"/>
              </w:rPr>
              <w:t>Compound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80" w:lineRule="exact"/>
              <w:ind w:left="105"/>
              <w:rPr>
                <w:b/>
                <w:sz w:val="16"/>
              </w:rPr>
            </w:pPr>
            <w:r>
              <w:rPr>
                <w:b/>
                <w:position w:val="3"/>
                <w:sz w:val="24"/>
              </w:rPr>
              <w:t>ΔE</w:t>
            </w:r>
            <w:r>
              <w:rPr>
                <w:b/>
                <w:sz w:val="16"/>
              </w:rPr>
              <w:t>vdW</w:t>
            </w:r>
          </w:p>
        </w:tc>
        <w:tc>
          <w:tcPr>
            <w:tcW w:w="145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80" w:lineRule="exact"/>
              <w:ind w:left="222"/>
              <w:rPr>
                <w:b/>
                <w:sz w:val="16"/>
              </w:rPr>
            </w:pPr>
            <w:r>
              <w:rPr>
                <w:b/>
                <w:position w:val="3"/>
                <w:sz w:val="24"/>
              </w:rPr>
              <w:t>ΔE</w:t>
            </w:r>
            <w:r>
              <w:rPr>
                <w:b/>
                <w:sz w:val="16"/>
              </w:rPr>
              <w:t>elec</w:t>
            </w:r>
          </w:p>
        </w:tc>
        <w:tc>
          <w:tcPr>
            <w:tcW w:w="152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80" w:lineRule="exact"/>
              <w:ind w:left="257"/>
              <w:rPr>
                <w:b/>
                <w:sz w:val="16"/>
              </w:rPr>
            </w:pPr>
            <w:r>
              <w:rPr>
                <w:b/>
                <w:position w:val="3"/>
                <w:sz w:val="24"/>
              </w:rPr>
              <w:t>ΔG</w:t>
            </w:r>
            <w:r>
              <w:rPr>
                <w:b/>
                <w:sz w:val="16"/>
              </w:rPr>
              <w:t>gas</w:t>
            </w:r>
          </w:p>
        </w:tc>
        <w:tc>
          <w:tcPr>
            <w:tcW w:w="146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80" w:lineRule="exact"/>
              <w:ind w:left="225"/>
              <w:rPr>
                <w:b/>
                <w:sz w:val="16"/>
              </w:rPr>
            </w:pPr>
            <w:r>
              <w:rPr>
                <w:b/>
                <w:position w:val="3"/>
                <w:sz w:val="24"/>
              </w:rPr>
              <w:t>ΔG</w:t>
            </w:r>
            <w:r>
              <w:rPr>
                <w:b/>
                <w:sz w:val="16"/>
              </w:rPr>
              <w:t>solv</w:t>
            </w:r>
          </w:p>
        </w:tc>
        <w:tc>
          <w:tcPr>
            <w:tcW w:w="16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80" w:lineRule="exact"/>
              <w:ind w:left="255"/>
              <w:rPr>
                <w:b/>
                <w:sz w:val="16"/>
              </w:rPr>
            </w:pPr>
            <w:r>
              <w:rPr>
                <w:b/>
                <w:position w:val="3"/>
                <w:sz w:val="24"/>
              </w:rPr>
              <w:t>ΔG</w:t>
            </w:r>
            <w:r>
              <w:rPr>
                <w:b/>
                <w:sz w:val="16"/>
              </w:rPr>
              <w:t>bind</w:t>
            </w:r>
          </w:p>
        </w:tc>
      </w:tr>
      <w:tr>
        <w:trPr>
          <w:trHeight w:val="1023" w:hRule="atLeast"/>
        </w:trPr>
        <w:tc>
          <w:tcPr>
            <w:tcW w:w="15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auto"/>
              <w:ind w:left="118" w:right="432"/>
              <w:rPr>
                <w:sz w:val="24"/>
              </w:rPr>
            </w:pPr>
            <w:r>
              <w:rPr>
                <w:sz w:val="24"/>
              </w:rPr>
              <w:t>P3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FP-2</w:t>
            </w:r>
          </w:p>
        </w:tc>
        <w:tc>
          <w:tcPr>
            <w:tcW w:w="13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287"/>
              <w:rPr>
                <w:sz w:val="24"/>
              </w:rPr>
            </w:pPr>
            <w:r>
              <w:rPr>
                <w:sz w:val="24"/>
              </w:rPr>
              <w:t>-34.4215</w:t>
            </w:r>
          </w:p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before="1"/>
              <w:ind w:left="287"/>
              <w:rPr>
                <w:sz w:val="24"/>
              </w:rPr>
            </w:pPr>
            <w:r>
              <w:rPr>
                <w:sz w:val="24"/>
              </w:rPr>
              <w:t>±3.9523</w:t>
            </w:r>
          </w:p>
        </w:tc>
        <w:tc>
          <w:tcPr>
            <w:tcW w:w="145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222"/>
              <w:rPr>
                <w:sz w:val="24"/>
              </w:rPr>
            </w:pPr>
            <w:r>
              <w:rPr>
                <w:sz w:val="24"/>
              </w:rPr>
              <w:t>-3.0563</w:t>
            </w:r>
          </w:p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before="1"/>
              <w:ind w:left="285"/>
              <w:rPr>
                <w:sz w:val="24"/>
              </w:rPr>
            </w:pPr>
            <w:r>
              <w:rPr>
                <w:sz w:val="24"/>
              </w:rPr>
              <w:t>±3.6522</w:t>
            </w:r>
          </w:p>
        </w:tc>
        <w:tc>
          <w:tcPr>
            <w:tcW w:w="15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257"/>
              <w:rPr>
                <w:sz w:val="24"/>
              </w:rPr>
            </w:pPr>
            <w:r>
              <w:rPr>
                <w:sz w:val="24"/>
              </w:rPr>
              <w:t>-37.4777</w:t>
            </w:r>
          </w:p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before="1"/>
              <w:ind w:left="320"/>
              <w:rPr>
                <w:sz w:val="24"/>
              </w:rPr>
            </w:pPr>
            <w:r>
              <w:rPr>
                <w:sz w:val="24"/>
              </w:rPr>
              <w:t>±4.8821</w:t>
            </w:r>
          </w:p>
        </w:tc>
        <w:tc>
          <w:tcPr>
            <w:tcW w:w="146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225"/>
              <w:rPr>
                <w:sz w:val="24"/>
              </w:rPr>
            </w:pPr>
            <w:r>
              <w:rPr>
                <w:sz w:val="24"/>
              </w:rPr>
              <w:t>13.3121</w:t>
            </w:r>
          </w:p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before="1"/>
              <w:ind w:left="288"/>
              <w:rPr>
                <w:sz w:val="24"/>
              </w:rPr>
            </w:pPr>
            <w:r>
              <w:rPr>
                <w:sz w:val="24"/>
              </w:rPr>
              <w:t>±3.6631</w:t>
            </w:r>
          </w:p>
        </w:tc>
        <w:tc>
          <w:tcPr>
            <w:tcW w:w="164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255"/>
              <w:rPr>
                <w:sz w:val="24"/>
              </w:rPr>
            </w:pPr>
            <w:r>
              <w:rPr>
                <w:sz w:val="24"/>
              </w:rPr>
              <w:t>-24.1657</w:t>
            </w:r>
          </w:p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before="1"/>
              <w:ind w:left="318"/>
              <w:rPr>
                <w:sz w:val="24"/>
              </w:rPr>
            </w:pPr>
            <w:r>
              <w:rPr>
                <w:sz w:val="24"/>
              </w:rPr>
              <w:t>±3.6475</w:t>
            </w:r>
          </w:p>
        </w:tc>
      </w:tr>
      <w:tr>
        <w:trPr>
          <w:trHeight w:val="1152" w:hRule="atLeast"/>
        </w:trPr>
        <w:tc>
          <w:tcPr>
            <w:tcW w:w="1506" w:type="dxa"/>
          </w:tcPr>
          <w:p>
            <w:pPr>
              <w:pStyle w:val="TableParagraph"/>
              <w:spacing w:line="273" w:lineRule="auto" w:before="121"/>
              <w:ind w:left="118" w:right="432"/>
              <w:rPr>
                <w:sz w:val="24"/>
              </w:rPr>
            </w:pPr>
            <w:r>
              <w:rPr>
                <w:sz w:val="24"/>
              </w:rPr>
              <w:t>P4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FP-2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6"/>
              <w:ind w:left="287"/>
              <w:rPr>
                <w:sz w:val="24"/>
              </w:rPr>
            </w:pPr>
            <w:r>
              <w:rPr>
                <w:sz w:val="24"/>
              </w:rPr>
              <w:t>-31.9415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50"/>
              <w:rPr>
                <w:sz w:val="24"/>
              </w:rPr>
            </w:pPr>
            <w:r>
              <w:rPr>
                <w:sz w:val="24"/>
              </w:rPr>
              <w:t>±4.3850</w:t>
            </w:r>
          </w:p>
        </w:tc>
        <w:tc>
          <w:tcPr>
            <w:tcW w:w="1458" w:type="dxa"/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-2.8439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5"/>
              <w:rPr>
                <w:sz w:val="24"/>
              </w:rPr>
            </w:pPr>
            <w:r>
              <w:rPr>
                <w:sz w:val="24"/>
              </w:rPr>
              <w:t>±3.2947</w:t>
            </w:r>
          </w:p>
        </w:tc>
        <w:tc>
          <w:tcPr>
            <w:tcW w:w="1526" w:type="dxa"/>
          </w:tcPr>
          <w:p>
            <w:pPr>
              <w:pStyle w:val="TableParagraph"/>
              <w:spacing w:before="116"/>
              <w:ind w:left="382"/>
              <w:rPr>
                <w:sz w:val="24"/>
              </w:rPr>
            </w:pPr>
            <w:r>
              <w:rPr>
                <w:sz w:val="24"/>
              </w:rPr>
              <w:t>-34.7855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440"/>
              <w:rPr>
                <w:sz w:val="24"/>
              </w:rPr>
            </w:pPr>
            <w:r>
              <w:rPr>
                <w:sz w:val="24"/>
              </w:rPr>
              <w:t>± 5.8335</w:t>
            </w:r>
          </w:p>
        </w:tc>
        <w:tc>
          <w:tcPr>
            <w:tcW w:w="1463" w:type="dxa"/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12.0119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± 3.2910</w:t>
            </w:r>
          </w:p>
        </w:tc>
        <w:tc>
          <w:tcPr>
            <w:tcW w:w="1648" w:type="dxa"/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-22.7735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18"/>
              <w:rPr>
                <w:sz w:val="24"/>
              </w:rPr>
            </w:pPr>
            <w:r>
              <w:rPr>
                <w:sz w:val="24"/>
              </w:rPr>
              <w:t>± 3.5486</w:t>
            </w:r>
          </w:p>
        </w:tc>
      </w:tr>
      <w:tr>
        <w:trPr>
          <w:trHeight w:val="1152" w:hRule="atLeast"/>
        </w:trPr>
        <w:tc>
          <w:tcPr>
            <w:tcW w:w="1506" w:type="dxa"/>
          </w:tcPr>
          <w:p>
            <w:pPr>
              <w:pStyle w:val="TableParagraph"/>
              <w:spacing w:line="273" w:lineRule="auto" w:before="121"/>
              <w:ind w:left="118" w:right="432"/>
              <w:rPr>
                <w:sz w:val="24"/>
              </w:rPr>
            </w:pPr>
            <w:r>
              <w:rPr>
                <w:sz w:val="24"/>
              </w:rPr>
              <w:t>P3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FP-3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6"/>
              <w:ind w:left="105"/>
              <w:rPr>
                <w:sz w:val="24"/>
              </w:rPr>
            </w:pPr>
            <w:r>
              <w:rPr>
                <w:sz w:val="24"/>
              </w:rPr>
              <w:t>-30.0052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±4.2458</w:t>
            </w:r>
          </w:p>
        </w:tc>
        <w:tc>
          <w:tcPr>
            <w:tcW w:w="1458" w:type="dxa"/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-3.1560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5"/>
              <w:rPr>
                <w:sz w:val="24"/>
              </w:rPr>
            </w:pPr>
            <w:r>
              <w:rPr>
                <w:sz w:val="24"/>
              </w:rPr>
              <w:t>± 3.0240</w:t>
            </w:r>
          </w:p>
        </w:tc>
        <w:tc>
          <w:tcPr>
            <w:tcW w:w="1526" w:type="dxa"/>
          </w:tcPr>
          <w:p>
            <w:pPr>
              <w:pStyle w:val="TableParagraph"/>
              <w:spacing w:before="116"/>
              <w:ind w:left="257"/>
              <w:rPr>
                <w:sz w:val="24"/>
              </w:rPr>
            </w:pPr>
            <w:r>
              <w:rPr>
                <w:sz w:val="24"/>
              </w:rPr>
              <w:t>-33.1612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20"/>
              <w:rPr>
                <w:sz w:val="24"/>
              </w:rPr>
            </w:pPr>
            <w:r>
              <w:rPr>
                <w:sz w:val="24"/>
              </w:rPr>
              <w:t>±5.8761</w:t>
            </w:r>
          </w:p>
        </w:tc>
        <w:tc>
          <w:tcPr>
            <w:tcW w:w="1463" w:type="dxa"/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10.7847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± 3.1163</w:t>
            </w:r>
          </w:p>
        </w:tc>
        <w:tc>
          <w:tcPr>
            <w:tcW w:w="1648" w:type="dxa"/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-22.3765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18"/>
              <w:rPr>
                <w:sz w:val="24"/>
              </w:rPr>
            </w:pPr>
            <w:r>
              <w:rPr>
                <w:sz w:val="24"/>
              </w:rPr>
              <w:t>±3.9726</w:t>
            </w:r>
          </w:p>
        </w:tc>
      </w:tr>
      <w:tr>
        <w:trPr>
          <w:trHeight w:val="1152" w:hRule="atLeast"/>
        </w:trPr>
        <w:tc>
          <w:tcPr>
            <w:tcW w:w="1506" w:type="dxa"/>
          </w:tcPr>
          <w:p>
            <w:pPr>
              <w:pStyle w:val="TableParagraph"/>
              <w:spacing w:line="273" w:lineRule="auto" w:before="121"/>
              <w:ind w:left="118" w:right="432"/>
              <w:rPr>
                <w:sz w:val="24"/>
              </w:rPr>
            </w:pPr>
            <w:r>
              <w:rPr>
                <w:sz w:val="24"/>
              </w:rPr>
              <w:t>P4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FP-3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6"/>
              <w:ind w:left="105"/>
              <w:rPr>
                <w:sz w:val="24"/>
              </w:rPr>
            </w:pPr>
            <w:r>
              <w:rPr>
                <w:sz w:val="24"/>
              </w:rPr>
              <w:t>-25.9544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±4.1852</w:t>
            </w:r>
          </w:p>
        </w:tc>
        <w:tc>
          <w:tcPr>
            <w:tcW w:w="1458" w:type="dxa"/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-0.9678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5"/>
              <w:rPr>
                <w:sz w:val="24"/>
              </w:rPr>
            </w:pPr>
            <w:r>
              <w:rPr>
                <w:sz w:val="24"/>
              </w:rPr>
              <w:t>± 3.3010</w:t>
            </w:r>
          </w:p>
        </w:tc>
        <w:tc>
          <w:tcPr>
            <w:tcW w:w="1526" w:type="dxa"/>
          </w:tcPr>
          <w:p>
            <w:pPr>
              <w:pStyle w:val="TableParagraph"/>
              <w:spacing w:before="116"/>
              <w:ind w:left="257"/>
              <w:rPr>
                <w:sz w:val="24"/>
              </w:rPr>
            </w:pPr>
            <w:r>
              <w:rPr>
                <w:sz w:val="24"/>
              </w:rPr>
              <w:t>-26.9222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20"/>
              <w:rPr>
                <w:sz w:val="24"/>
              </w:rPr>
            </w:pPr>
            <w:r>
              <w:rPr>
                <w:sz w:val="24"/>
              </w:rPr>
              <w:t>± 6.0429</w:t>
            </w:r>
          </w:p>
        </w:tc>
        <w:tc>
          <w:tcPr>
            <w:tcW w:w="1463" w:type="dxa"/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9.5954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± 3.3199</w:t>
            </w:r>
          </w:p>
        </w:tc>
        <w:tc>
          <w:tcPr>
            <w:tcW w:w="1648" w:type="dxa"/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-17.3268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80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3.4926</w:t>
            </w:r>
          </w:p>
        </w:tc>
      </w:tr>
      <w:tr>
        <w:trPr>
          <w:trHeight w:val="1152" w:hRule="atLeast"/>
        </w:trPr>
        <w:tc>
          <w:tcPr>
            <w:tcW w:w="1506" w:type="dxa"/>
          </w:tcPr>
          <w:p>
            <w:pPr>
              <w:pStyle w:val="TableParagraph"/>
              <w:spacing w:line="273" w:lineRule="auto" w:before="121"/>
              <w:ind w:left="118" w:right="268"/>
              <w:rPr>
                <w:sz w:val="24"/>
              </w:rPr>
            </w:pPr>
            <w:r>
              <w:rPr>
                <w:sz w:val="24"/>
              </w:rPr>
              <w:t>P3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Plm-II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6"/>
              <w:ind w:left="105"/>
              <w:rPr>
                <w:sz w:val="24"/>
              </w:rPr>
            </w:pPr>
            <w:r>
              <w:rPr>
                <w:sz w:val="24"/>
              </w:rPr>
              <w:t>-31.2919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±4.6702</w:t>
            </w:r>
          </w:p>
        </w:tc>
        <w:tc>
          <w:tcPr>
            <w:tcW w:w="1458" w:type="dxa"/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-16.3381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22"/>
              <w:rPr>
                <w:sz w:val="24"/>
              </w:rPr>
            </w:pPr>
            <w:r>
              <w:rPr>
                <w:sz w:val="24"/>
              </w:rPr>
              <w:t>±5.5511</w:t>
            </w:r>
          </w:p>
        </w:tc>
        <w:tc>
          <w:tcPr>
            <w:tcW w:w="1526" w:type="dxa"/>
          </w:tcPr>
          <w:p>
            <w:pPr>
              <w:pStyle w:val="TableParagraph"/>
              <w:spacing w:before="116"/>
              <w:ind w:left="257"/>
              <w:rPr>
                <w:sz w:val="24"/>
              </w:rPr>
            </w:pPr>
            <w:r>
              <w:rPr>
                <w:sz w:val="24"/>
              </w:rPr>
              <w:t>-47.6300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57"/>
              <w:rPr>
                <w:sz w:val="24"/>
              </w:rPr>
            </w:pPr>
            <w:r>
              <w:rPr>
                <w:sz w:val="24"/>
              </w:rPr>
              <w:t>±6.7991</w:t>
            </w:r>
          </w:p>
        </w:tc>
        <w:tc>
          <w:tcPr>
            <w:tcW w:w="1463" w:type="dxa"/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23.3292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± 5.1865</w:t>
            </w:r>
          </w:p>
        </w:tc>
        <w:tc>
          <w:tcPr>
            <w:tcW w:w="1648" w:type="dxa"/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-24.3008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55"/>
              <w:rPr>
                <w:sz w:val="24"/>
              </w:rPr>
            </w:pPr>
            <w:r>
              <w:rPr>
                <w:sz w:val="24"/>
              </w:rPr>
              <w:t>±4.2644</w:t>
            </w:r>
          </w:p>
        </w:tc>
      </w:tr>
      <w:tr>
        <w:trPr>
          <w:trHeight w:val="1152" w:hRule="atLeast"/>
        </w:trPr>
        <w:tc>
          <w:tcPr>
            <w:tcW w:w="1506" w:type="dxa"/>
          </w:tcPr>
          <w:p>
            <w:pPr>
              <w:pStyle w:val="TableParagraph"/>
              <w:spacing w:line="273" w:lineRule="auto" w:before="121"/>
              <w:ind w:left="118" w:right="268"/>
              <w:rPr>
                <w:sz w:val="24"/>
              </w:rPr>
            </w:pPr>
            <w:r>
              <w:rPr>
                <w:sz w:val="24"/>
              </w:rPr>
              <w:t>P4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Plm-II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6"/>
              <w:ind w:left="105"/>
              <w:rPr>
                <w:sz w:val="24"/>
              </w:rPr>
            </w:pPr>
            <w:r>
              <w:rPr>
                <w:sz w:val="24"/>
              </w:rPr>
              <w:t>-40.1709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± 6.3652</w:t>
            </w:r>
          </w:p>
        </w:tc>
        <w:tc>
          <w:tcPr>
            <w:tcW w:w="1458" w:type="dxa"/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-5.0930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5"/>
              <w:rPr>
                <w:sz w:val="24"/>
              </w:rPr>
            </w:pPr>
            <w:r>
              <w:rPr>
                <w:sz w:val="24"/>
              </w:rPr>
              <w:t>±4.8214</w:t>
            </w:r>
          </w:p>
        </w:tc>
        <w:tc>
          <w:tcPr>
            <w:tcW w:w="1526" w:type="dxa"/>
          </w:tcPr>
          <w:p>
            <w:pPr>
              <w:pStyle w:val="TableParagraph"/>
              <w:spacing w:before="116"/>
              <w:ind w:left="257"/>
              <w:rPr>
                <w:sz w:val="24"/>
              </w:rPr>
            </w:pPr>
            <w:r>
              <w:rPr>
                <w:sz w:val="24"/>
              </w:rPr>
              <w:t>-45.2639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20"/>
              <w:rPr>
                <w:sz w:val="24"/>
              </w:rPr>
            </w:pPr>
            <w:r>
              <w:rPr>
                <w:sz w:val="24"/>
              </w:rPr>
              <w:t>± 9.5492</w:t>
            </w:r>
          </w:p>
        </w:tc>
        <w:tc>
          <w:tcPr>
            <w:tcW w:w="1463" w:type="dxa"/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13.2342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±4.5107</w:t>
            </w:r>
          </w:p>
        </w:tc>
        <w:tc>
          <w:tcPr>
            <w:tcW w:w="1648" w:type="dxa"/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-32.0296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80"/>
              <w:rPr>
                <w:sz w:val="24"/>
              </w:rPr>
            </w:pPr>
            <w:r>
              <w:rPr>
                <w:sz w:val="24"/>
              </w:rPr>
              <w:t>±6.8397</w:t>
            </w:r>
          </w:p>
        </w:tc>
      </w:tr>
      <w:tr>
        <w:trPr>
          <w:trHeight w:val="1152" w:hRule="atLeast"/>
        </w:trPr>
        <w:tc>
          <w:tcPr>
            <w:tcW w:w="1506" w:type="dxa"/>
          </w:tcPr>
          <w:p>
            <w:pPr>
              <w:pStyle w:val="TableParagraph"/>
              <w:spacing w:line="273" w:lineRule="auto" w:before="121"/>
              <w:ind w:left="118" w:right="175"/>
              <w:rPr>
                <w:sz w:val="24"/>
              </w:rPr>
            </w:pPr>
            <w:r>
              <w:rPr>
                <w:sz w:val="24"/>
              </w:rPr>
              <w:t>P3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Plm-IV</w:t>
            </w:r>
          </w:p>
        </w:tc>
        <w:tc>
          <w:tcPr>
            <w:tcW w:w="1376" w:type="dxa"/>
          </w:tcPr>
          <w:p>
            <w:pPr>
              <w:pStyle w:val="TableParagraph"/>
              <w:spacing w:before="116"/>
              <w:ind w:left="105"/>
              <w:rPr>
                <w:sz w:val="24"/>
              </w:rPr>
            </w:pPr>
            <w:r>
              <w:rPr>
                <w:sz w:val="24"/>
              </w:rPr>
              <w:t>-44.2400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± 2.5772</w:t>
            </w:r>
          </w:p>
        </w:tc>
        <w:tc>
          <w:tcPr>
            <w:tcW w:w="1458" w:type="dxa"/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-18.9574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47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4.9074</w:t>
            </w:r>
          </w:p>
        </w:tc>
        <w:tc>
          <w:tcPr>
            <w:tcW w:w="1526" w:type="dxa"/>
          </w:tcPr>
          <w:p>
            <w:pPr>
              <w:pStyle w:val="TableParagraph"/>
              <w:spacing w:before="116"/>
              <w:ind w:left="257"/>
              <w:rPr>
                <w:sz w:val="24"/>
              </w:rPr>
            </w:pPr>
            <w:r>
              <w:rPr>
                <w:sz w:val="24"/>
              </w:rPr>
              <w:t>-63.1975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82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5.2082</w:t>
            </w:r>
          </w:p>
        </w:tc>
        <w:tc>
          <w:tcPr>
            <w:tcW w:w="1463" w:type="dxa"/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27.9581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± 4.2710</w:t>
            </w:r>
          </w:p>
        </w:tc>
        <w:tc>
          <w:tcPr>
            <w:tcW w:w="1648" w:type="dxa"/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-35.2393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80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2.7171</w:t>
            </w:r>
          </w:p>
        </w:tc>
      </w:tr>
      <w:tr>
        <w:trPr>
          <w:trHeight w:val="1281" w:hRule="atLeast"/>
        </w:trPr>
        <w:tc>
          <w:tcPr>
            <w:tcW w:w="15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3" w:lineRule="auto" w:before="121"/>
              <w:ind w:left="118" w:right="175"/>
              <w:rPr>
                <w:sz w:val="24"/>
              </w:rPr>
            </w:pPr>
            <w:r>
              <w:rPr>
                <w:sz w:val="24"/>
              </w:rPr>
              <w:t>P4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complex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Plm-IV</w:t>
            </w:r>
          </w:p>
        </w:tc>
        <w:tc>
          <w:tcPr>
            <w:tcW w:w="13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105"/>
              <w:rPr>
                <w:sz w:val="24"/>
              </w:rPr>
            </w:pPr>
            <w:r>
              <w:rPr>
                <w:sz w:val="24"/>
              </w:rPr>
              <w:t>-36.4033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4.0001</w:t>
            </w:r>
          </w:p>
        </w:tc>
        <w:tc>
          <w:tcPr>
            <w:tcW w:w="145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222"/>
              <w:rPr>
                <w:sz w:val="24"/>
              </w:rPr>
            </w:pPr>
            <w:r>
              <w:rPr>
                <w:sz w:val="24"/>
              </w:rPr>
              <w:t>-17.5173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47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4.2052</w:t>
            </w:r>
          </w:p>
        </w:tc>
        <w:tc>
          <w:tcPr>
            <w:tcW w:w="15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257"/>
              <w:rPr>
                <w:sz w:val="24"/>
              </w:rPr>
            </w:pPr>
            <w:r>
              <w:rPr>
                <w:sz w:val="24"/>
              </w:rPr>
              <w:t>-53.9206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20"/>
              <w:rPr>
                <w:sz w:val="24"/>
              </w:rPr>
            </w:pPr>
            <w:r>
              <w:rPr>
                <w:sz w:val="24"/>
              </w:rPr>
              <w:t>± 5.6791</w:t>
            </w:r>
          </w:p>
        </w:tc>
        <w:tc>
          <w:tcPr>
            <w:tcW w:w="146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225"/>
              <w:rPr>
                <w:sz w:val="24"/>
              </w:rPr>
            </w:pPr>
            <w:r>
              <w:rPr>
                <w:sz w:val="24"/>
              </w:rPr>
              <w:t>25.0089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50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3.7916</w:t>
            </w:r>
          </w:p>
        </w:tc>
        <w:tc>
          <w:tcPr>
            <w:tcW w:w="164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255"/>
              <w:rPr>
                <w:sz w:val="24"/>
              </w:rPr>
            </w:pPr>
            <w:r>
              <w:rPr>
                <w:sz w:val="24"/>
              </w:rPr>
              <w:t>-28.9117</w:t>
            </w: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380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4.1073</w:t>
            </w:r>
          </w:p>
        </w:tc>
      </w:tr>
    </w:tbl>
    <w:p>
      <w:pPr>
        <w:spacing w:after="0"/>
        <w:rPr>
          <w:sz w:val="24"/>
        </w:rPr>
        <w:sectPr>
          <w:headerReference w:type="default" r:id="rId380"/>
          <w:footerReference w:type="default" r:id="rId381"/>
          <w:pgSz w:w="11910" w:h="16840"/>
          <w:pgMar w:header="1303" w:footer="878" w:top="1840" w:bottom="106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1"/>
        <w:numPr>
          <w:ilvl w:val="1"/>
          <w:numId w:val="21"/>
        </w:numPr>
        <w:tabs>
          <w:tab w:pos="4068" w:val="left" w:leader="none"/>
        </w:tabs>
        <w:spacing w:line="240" w:lineRule="auto" w:before="0" w:after="0"/>
        <w:ind w:left="4068" w:right="0" w:hanging="366"/>
        <w:jc w:val="left"/>
      </w:pPr>
      <w:bookmarkStart w:name="_TOC_250021" w:id="72"/>
      <w:bookmarkEnd w:id="72"/>
      <w:r>
        <w:rPr/>
        <w:t>DISCUSSIONS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21"/>
        </w:numPr>
        <w:tabs>
          <w:tab w:pos="3218" w:val="left" w:leader="none"/>
        </w:tabs>
        <w:spacing w:line="240" w:lineRule="auto" w:before="174" w:after="0"/>
        <w:ind w:left="3217" w:right="0" w:hanging="365"/>
        <w:jc w:val="both"/>
      </w:pPr>
      <w:bookmarkStart w:name="_TOC_250020" w:id="73"/>
      <w:r>
        <w:rPr/>
        <w:t>Design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Substituted</w:t>
      </w:r>
      <w:r>
        <w:rPr>
          <w:spacing w:val="-6"/>
        </w:rPr>
        <w:t> </w:t>
      </w:r>
      <w:bookmarkEnd w:id="73"/>
      <w:r>
        <w:rPr/>
        <w:t>Chalcones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line="480" w:lineRule="auto"/>
        <w:ind w:left="312" w:right="690"/>
        <w:jc w:val="both"/>
      </w:pPr>
      <w:r>
        <w:rPr/>
        <w:t>Novel malaria targets and drugs against such targets are urgently needed to combat the</w:t>
      </w:r>
      <w:r>
        <w:rPr>
          <w:spacing w:val="1"/>
        </w:rPr>
        <w:t> </w:t>
      </w:r>
      <w:r>
        <w:rPr/>
        <w:t>burden of malaria and provide potential solution to the alarming rise of ACTs resistance.</w:t>
      </w:r>
      <w:r>
        <w:rPr>
          <w:spacing w:val="1"/>
        </w:rPr>
        <w:t> </w:t>
      </w:r>
      <w:r>
        <w:rPr/>
        <w:t>Although chalcones have been identified as promising agents against malarial proteases,</w:t>
      </w:r>
      <w:r>
        <w:rPr>
          <w:spacing w:val="1"/>
        </w:rPr>
        <w:t> </w:t>
      </w:r>
      <w:r>
        <w:rPr/>
        <w:t>there was no conclusion on the structural requirement for good activity. The compounds</w:t>
      </w:r>
      <w:r>
        <w:rPr>
          <w:spacing w:val="1"/>
        </w:rPr>
        <w:t> </w:t>
      </w:r>
      <w:r>
        <w:rPr/>
        <w:t>designed in this study are based on features of some active compounds from previous</w:t>
      </w:r>
      <w:r>
        <w:rPr>
          <w:spacing w:val="1"/>
        </w:rPr>
        <w:t> </w:t>
      </w:r>
      <w:r>
        <w:rPr/>
        <w:t>studies, constituting various active chemical scaffolds. Seventeen chalcone derivatives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(Tables</w:t>
      </w:r>
      <w:r>
        <w:rPr>
          <w:spacing w:val="1"/>
        </w:rPr>
        <w:t> </w:t>
      </w:r>
      <w:r>
        <w:rPr/>
        <w:t>4.1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4.3),</w:t>
      </w:r>
      <w:r>
        <w:rPr>
          <w:spacing w:val="1"/>
        </w:rPr>
        <w:t> </w:t>
      </w:r>
      <w:r>
        <w:rPr/>
        <w:t>thecompounds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series</w:t>
      </w:r>
      <w:r>
        <w:rPr>
          <w:spacing w:val="60"/>
        </w:rPr>
        <w:t> </w:t>
      </w:r>
      <w:r>
        <w:rPr/>
        <w:t>that</w:t>
      </w:r>
      <w:r>
        <w:rPr>
          <w:spacing w:val="1"/>
        </w:rPr>
        <w:t> </w:t>
      </w:r>
      <w:r>
        <w:rPr/>
        <w:t>differed</w:t>
      </w:r>
      <w:r>
        <w:rPr>
          <w:spacing w:val="60"/>
        </w:rPr>
        <w:t> </w:t>
      </w:r>
      <w:r>
        <w:rPr/>
        <w:t>from each other by the substitution pattern on ring A. The choice of electron</w:t>
      </w:r>
      <w:r>
        <w:rPr>
          <w:spacing w:val="1"/>
        </w:rPr>
        <w:t> </w:t>
      </w:r>
      <w:r>
        <w:rPr/>
        <w:t>dense A ring chalcones for series: one, three and four as a focus for investigation is based</w:t>
      </w:r>
      <w:r>
        <w:rPr>
          <w:spacing w:val="1"/>
        </w:rPr>
        <w:t> </w:t>
      </w:r>
      <w:r>
        <w:rPr/>
        <w:t>on contradictory findings by Kumar </w:t>
      </w:r>
      <w:r>
        <w:rPr>
          <w:i/>
        </w:rPr>
        <w:t>et al.</w:t>
      </w:r>
      <w:r>
        <w:rPr/>
        <w:t>(2010)suggesting that contrary to previous report</w:t>
      </w:r>
      <w:r>
        <w:rPr>
          <w:spacing w:val="-57"/>
        </w:rPr>
        <w:t> </w:t>
      </w:r>
      <w:r>
        <w:rPr/>
        <w:t>(Kumar </w:t>
      </w:r>
      <w:r>
        <w:rPr>
          <w:i/>
        </w:rPr>
        <w:t>et al., </w:t>
      </w:r>
      <w:r>
        <w:rPr/>
        <w:t>2010) linking electron rich B ring with good antimalarial activity, electron</w:t>
      </w:r>
      <w:r>
        <w:rPr>
          <w:spacing w:val="1"/>
        </w:rPr>
        <w:t> </w:t>
      </w:r>
      <w:r>
        <w:rPr/>
        <w:t>deficient</w:t>
      </w:r>
      <w:r>
        <w:rPr>
          <w:spacing w:val="1"/>
        </w:rPr>
        <w:t> </w:t>
      </w:r>
      <w:r>
        <w:rPr/>
        <w:t>B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electron dense</w:t>
      </w:r>
      <w:r>
        <w:rPr>
          <w:spacing w:val="1"/>
        </w:rPr>
        <w:t> </w:t>
      </w:r>
      <w:r>
        <w:rPr/>
        <w:t>A ring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potent</w:t>
      </w:r>
      <w:r>
        <w:rPr>
          <w:spacing w:val="60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activity. Therefore, to verify these claims substituents on some of the active compounds</w:t>
      </w:r>
      <w:r>
        <w:rPr>
          <w:spacing w:val="1"/>
        </w:rPr>
        <w:t> </w:t>
      </w:r>
      <w:r>
        <w:rPr/>
        <w:t>from Liu </w:t>
      </w:r>
      <w:r>
        <w:rPr>
          <w:i/>
        </w:rPr>
        <w:t>et al </w:t>
      </w:r>
      <w:r>
        <w:rPr/>
        <w:t>(2001) findings having electron dense B ring were reversed between the two</w:t>
      </w:r>
      <w:r>
        <w:rPr>
          <w:spacing w:val="-57"/>
        </w:rPr>
        <w:t> </w:t>
      </w:r>
      <w:r>
        <w:rPr/>
        <w:t>aromatic rings (Table 4.1, 4.2, and 4.3)</w:t>
      </w:r>
      <w:r>
        <w:rPr>
          <w:spacing w:val="60"/>
        </w:rPr>
        <w:t> </w:t>
      </w:r>
      <w:r>
        <w:rPr/>
        <w:t>leading to design of series one, three,</w:t>
      </w:r>
      <w:r>
        <w:rPr>
          <w:spacing w:val="60"/>
        </w:rPr>
        <w:t> </w:t>
      </w:r>
      <w:r>
        <w:rPr/>
        <w:t>four and</w:t>
      </w:r>
      <w:r>
        <w:rPr>
          <w:spacing w:val="1"/>
        </w:rPr>
        <w:t> </w:t>
      </w:r>
      <w:r>
        <w:rPr/>
        <w:t>five. On the other hand, hybrid design was applied in the design of series two, where 2-</w:t>
      </w:r>
      <w:r>
        <w:rPr>
          <w:spacing w:val="1"/>
        </w:rPr>
        <w:t> </w:t>
      </w:r>
      <w:r>
        <w:rPr/>
        <w:t>chloro quinolinyl ring A scaffold, 2,3,4 trimethoxyand, 2,4 dimethoxy ring B scaffold</w:t>
      </w:r>
      <w:r>
        <w:rPr>
          <w:spacing w:val="1"/>
        </w:rPr>
        <w:t> </w:t>
      </w:r>
      <w:r>
        <w:rPr/>
        <w:t>associated from previous studies (Li </w:t>
      </w:r>
      <w:r>
        <w:rPr>
          <w:i/>
        </w:rPr>
        <w:t>et al., </w:t>
      </w:r>
      <w:r>
        <w:rPr/>
        <w:t>1995; Liu </w:t>
      </w:r>
      <w:r>
        <w:rPr>
          <w:i/>
        </w:rPr>
        <w:t>et al., </w:t>
      </w:r>
      <w:r>
        <w:rPr/>
        <w:t>2001; Dominguez </w:t>
      </w:r>
      <w:r>
        <w:rPr>
          <w:i/>
        </w:rPr>
        <w:t>et al., </w:t>
      </w:r>
      <w:r>
        <w:rPr/>
        <w:t>2001;</w:t>
      </w:r>
      <w:r>
        <w:rPr>
          <w:spacing w:val="1"/>
        </w:rPr>
        <w:t> </w:t>
      </w:r>
      <w:r>
        <w:rPr/>
        <w:t>Shikha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2009)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potent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merged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 a</w:t>
      </w:r>
      <w:r>
        <w:rPr>
          <w:spacing w:val="1"/>
        </w:rPr>
        <w:t> </w:t>
      </w:r>
      <w:r>
        <w:rPr/>
        <w:t>single</w:t>
      </w:r>
      <w:r>
        <w:rPr>
          <w:spacing w:val="1"/>
        </w:rPr>
        <w:t> </w:t>
      </w:r>
      <w:r>
        <w:rPr/>
        <w:t>chemical</w:t>
      </w:r>
      <w:r>
        <w:rPr>
          <w:spacing w:val="-7"/>
        </w:rPr>
        <w:t> </w:t>
      </w:r>
      <w:r>
        <w:rPr/>
        <w:t>entity</w:t>
      </w:r>
      <w:r>
        <w:rPr>
          <w:spacing w:val="-8"/>
        </w:rPr>
        <w:t> </w:t>
      </w:r>
      <w:r>
        <w:rPr/>
        <w:t>(Table</w:t>
      </w:r>
      <w:r>
        <w:rPr>
          <w:spacing w:val="4"/>
        </w:rPr>
        <w:t> </w:t>
      </w:r>
      <w:r>
        <w:rPr/>
        <w:t>4.2).</w:t>
      </w:r>
    </w:p>
    <w:p>
      <w:pPr>
        <w:spacing w:after="0" w:line="480" w:lineRule="auto"/>
        <w:jc w:val="both"/>
        <w:sectPr>
          <w:headerReference w:type="default" r:id="rId382"/>
          <w:footerReference w:type="default" r:id="rId383"/>
          <w:pgSz w:w="11910" w:h="16840"/>
          <w:pgMar w:header="1303" w:footer="878" w:top="1560" w:bottom="1060" w:left="1560" w:right="600"/>
        </w:sectPr>
      </w:pPr>
    </w:p>
    <w:p>
      <w:pPr>
        <w:pStyle w:val="BodyText"/>
        <w:spacing w:line="480" w:lineRule="auto" w:before="70"/>
        <w:ind w:left="312" w:right="691"/>
        <w:jc w:val="both"/>
      </w:pPr>
      <w:r>
        <w:rPr/>
        <w:t>P1, P2, P3, and P8 are new chalcone derivatives not reported in any literature or chemical</w:t>
      </w:r>
      <w:r>
        <w:rPr>
          <w:spacing w:val="1"/>
        </w:rPr>
        <w:t> </w:t>
      </w:r>
      <w:r>
        <w:rPr/>
        <w:t>data base while, P12, P16 and P22 were known compounds but, not previously evaluated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antimalarial</w:t>
      </w:r>
      <w:r>
        <w:rPr>
          <w:spacing w:val="-7"/>
        </w:rPr>
        <w:t> </w:t>
      </w:r>
      <w:r>
        <w:rPr/>
        <w:t>activity</w:t>
      </w:r>
      <w:r>
        <w:rPr>
          <w:spacing w:val="-8"/>
        </w:rPr>
        <w:t> </w:t>
      </w:r>
      <w:r>
        <w:rPr/>
        <w:t>(</w:t>
      </w:r>
      <w:hyperlink r:id="rId386">
        <w:r>
          <w:rPr>
            <w:color w:val="0000FF"/>
            <w:u w:val="single" w:color="0000FF"/>
          </w:rPr>
          <w:t>www.scifinder.com</w:t>
        </w:r>
      </w:hyperlink>
      <w:r>
        <w:rPr/>
        <w:t>).</w:t>
      </w:r>
    </w:p>
    <w:p>
      <w:pPr>
        <w:pStyle w:val="Heading1"/>
        <w:numPr>
          <w:ilvl w:val="1"/>
          <w:numId w:val="21"/>
        </w:numPr>
        <w:tabs>
          <w:tab w:pos="3237" w:val="left" w:leader="none"/>
        </w:tabs>
        <w:spacing w:line="240" w:lineRule="auto" w:before="207" w:after="0"/>
        <w:ind w:left="3236" w:right="0" w:hanging="365"/>
        <w:jc w:val="both"/>
      </w:pPr>
      <w:bookmarkStart w:name="_TOC_250019" w:id="74"/>
      <w:r>
        <w:rPr/>
        <w:t>Theoretical</w:t>
      </w:r>
      <w:r>
        <w:rPr>
          <w:spacing w:val="-10"/>
        </w:rPr>
        <w:t> </w:t>
      </w:r>
      <w:r>
        <w:rPr/>
        <w:t>Oral</w:t>
      </w:r>
      <w:r>
        <w:rPr>
          <w:spacing w:val="-9"/>
        </w:rPr>
        <w:t> </w:t>
      </w:r>
      <w:bookmarkEnd w:id="74"/>
      <w:r>
        <w:rPr/>
        <w:t>Bioavailability</w:t>
      </w:r>
    </w:p>
    <w:p>
      <w:pPr>
        <w:pStyle w:val="BodyText"/>
        <w:spacing w:line="480" w:lineRule="auto" w:before="194"/>
        <w:ind w:left="312" w:right="690"/>
        <w:jc w:val="both"/>
      </w:pPr>
      <w:r>
        <w:rPr/>
        <w:t>Prediction of theoretical oral bioavailability is an important step in drug design process.</w:t>
      </w:r>
      <w:r>
        <w:rPr>
          <w:spacing w:val="1"/>
        </w:rPr>
        <w:t> </w:t>
      </w:r>
      <w:r>
        <w:rPr/>
        <w:t>This is to reduce the chances of drug failure at a later stage of the process due to poor</w:t>
      </w:r>
      <w:r>
        <w:rPr>
          <w:spacing w:val="1"/>
        </w:rPr>
        <w:t> </w:t>
      </w:r>
      <w:r>
        <w:rPr/>
        <w:t>pharmacokinetics.</w:t>
      </w:r>
      <w:r>
        <w:rPr>
          <w:spacing w:val="1"/>
        </w:rPr>
        <w:t> </w:t>
      </w:r>
      <w:r>
        <w:rPr/>
        <w:t>All the substituted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have passed the criteria put</w:t>
      </w:r>
      <w:r>
        <w:rPr>
          <w:spacing w:val="1"/>
        </w:rPr>
        <w:t> </w:t>
      </w:r>
      <w:r>
        <w:rPr/>
        <w:t>forward by Lipinski </w:t>
      </w:r>
      <w:r>
        <w:rPr>
          <w:i/>
        </w:rPr>
        <w:t>et al.</w:t>
      </w:r>
      <w:r>
        <w:rPr/>
        <w:t>(2009)for a chemical compound to be orally bioavailable (Table</w:t>
      </w:r>
      <w:r>
        <w:rPr>
          <w:spacing w:val="1"/>
        </w:rPr>
        <w:t> </w:t>
      </w:r>
      <w:r>
        <w:rPr/>
        <w:t>4.4).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chalconescoupled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ease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aromatic</w:t>
      </w:r>
      <w:r>
        <w:rPr>
          <w:spacing w:val="1"/>
        </w:rPr>
        <w:t> </w:t>
      </w:r>
      <w:r>
        <w:rPr/>
        <w:t>rings</w:t>
      </w:r>
      <w:r>
        <w:rPr>
          <w:spacing w:val="1"/>
        </w:rPr>
        <w:t> </w:t>
      </w:r>
      <w:r>
        <w:rPr/>
        <w:t>bestowed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drug-like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(Nowakowska,</w:t>
      </w:r>
      <w:r>
        <w:rPr>
          <w:spacing w:val="3"/>
        </w:rPr>
        <w:t> </w:t>
      </w:r>
      <w:r>
        <w:rPr/>
        <w:t>2007).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21"/>
        </w:numPr>
        <w:tabs>
          <w:tab w:pos="3262" w:val="left" w:leader="none"/>
        </w:tabs>
        <w:spacing w:line="240" w:lineRule="auto" w:before="158" w:after="0"/>
        <w:ind w:left="3261" w:right="0" w:hanging="366"/>
        <w:jc w:val="both"/>
      </w:pPr>
      <w:bookmarkStart w:name="_TOC_250018" w:id="75"/>
      <w:r>
        <w:rPr/>
        <w:t>Synthesis</w:t>
      </w:r>
      <w:r>
        <w:rPr>
          <w:spacing w:val="-7"/>
        </w:rPr>
        <w:t> </w:t>
      </w:r>
      <w:r>
        <w:rPr/>
        <w:t>and</w:t>
      </w:r>
      <w:r>
        <w:rPr>
          <w:spacing w:val="-4"/>
        </w:rPr>
        <w:t> </w:t>
      </w:r>
      <w:bookmarkEnd w:id="75"/>
      <w:r>
        <w:rPr/>
        <w:t>Characterization</w:t>
      </w:r>
    </w:p>
    <w:p>
      <w:pPr>
        <w:pStyle w:val="Heading1"/>
        <w:numPr>
          <w:ilvl w:val="2"/>
          <w:numId w:val="22"/>
        </w:numPr>
        <w:tabs>
          <w:tab w:pos="918" w:val="left" w:leader="none"/>
        </w:tabs>
        <w:spacing w:line="240" w:lineRule="auto" w:before="204" w:after="0"/>
        <w:ind w:left="312" w:right="697" w:firstLine="0"/>
        <w:jc w:val="both"/>
      </w:pPr>
      <w:bookmarkStart w:name="_TOC_250017" w:id="76"/>
      <w:r>
        <w:rPr/>
        <w:t>Synthesis and</w:t>
      </w:r>
      <w:r>
        <w:rPr>
          <w:spacing w:val="1"/>
        </w:rPr>
        <w:t> </w:t>
      </w:r>
      <w:r>
        <w:rPr/>
        <w:t>characterization</w:t>
      </w:r>
      <w:r>
        <w:rPr>
          <w:spacing w:val="1"/>
        </w:rPr>
        <w:t> </w:t>
      </w:r>
      <w:r>
        <w:rPr/>
        <w:t>of 2,3,4–trimethoxy</w:t>
      </w:r>
      <w:r>
        <w:rPr>
          <w:spacing w:val="1"/>
        </w:rPr>
        <w:t> </w:t>
      </w:r>
      <w:r>
        <w:rPr/>
        <w:t>benzaldehyde Chalcones</w:t>
      </w:r>
      <w:r>
        <w:rPr>
          <w:spacing w:val="1"/>
        </w:rPr>
        <w:t> </w:t>
      </w:r>
      <w:r>
        <w:rPr/>
        <w:t>(P1,</w:t>
      </w:r>
      <w:r>
        <w:rPr>
          <w:spacing w:val="3"/>
        </w:rPr>
        <w:t> </w:t>
      </w:r>
      <w:r>
        <w:rPr/>
        <w:t>P2</w:t>
      </w:r>
      <w:r>
        <w:rPr>
          <w:spacing w:val="2"/>
        </w:rPr>
        <w:t> </w:t>
      </w:r>
      <w:r>
        <w:rPr/>
        <w:t>and</w:t>
      </w:r>
      <w:r>
        <w:rPr>
          <w:spacing w:val="-2"/>
        </w:rPr>
        <w:t> </w:t>
      </w:r>
      <w:bookmarkEnd w:id="76"/>
      <w:r>
        <w:rPr/>
        <w:t>P13)</w:t>
      </w:r>
    </w:p>
    <w:p>
      <w:pPr>
        <w:pStyle w:val="BodyText"/>
        <w:spacing w:line="480" w:lineRule="auto" w:before="192"/>
        <w:ind w:left="312" w:right="693"/>
        <w:jc w:val="both"/>
      </w:pPr>
      <w:r>
        <w:rPr/>
        <w:t>The procedure using Claisen-Schmidt condensation furnishes good yields; 57%, 78%, and</w:t>
      </w:r>
      <w:r>
        <w:rPr>
          <w:spacing w:val="1"/>
        </w:rPr>
        <w:t> </w:t>
      </w:r>
      <w:r>
        <w:rPr/>
        <w:t>65%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P1,</w:t>
      </w:r>
      <w:r>
        <w:rPr>
          <w:spacing w:val="1"/>
        </w:rPr>
        <w:t> </w:t>
      </w:r>
      <w:r>
        <w:rPr/>
        <w:t>P3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P13</w:t>
      </w:r>
      <w:r>
        <w:rPr>
          <w:spacing w:val="1"/>
        </w:rPr>
        <w:t> </w:t>
      </w:r>
      <w:r>
        <w:rPr/>
        <w:t>respectively</w:t>
      </w:r>
      <w:r>
        <w:rPr>
          <w:spacing w:val="1"/>
        </w:rPr>
        <w:t> </w:t>
      </w:r>
      <w:r>
        <w:rPr/>
        <w:t>(Table</w:t>
      </w:r>
      <w:r>
        <w:rPr>
          <w:spacing w:val="1"/>
        </w:rPr>
        <w:t> </w:t>
      </w:r>
      <w:r>
        <w:rPr/>
        <w:t>4.5).</w:t>
      </w:r>
      <w:r>
        <w:rPr>
          <w:spacing w:val="1"/>
        </w:rPr>
        <w:t> </w:t>
      </w:r>
      <w:r>
        <w:rPr/>
        <w:t>Completion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established by the disappearance of spots due to reactants on the thin layer chromatogram</w:t>
      </w:r>
      <w:r>
        <w:rPr>
          <w:spacing w:val="1"/>
        </w:rPr>
        <w:t> </w:t>
      </w:r>
      <w:r>
        <w:rPr/>
        <w:t>and appearance of single spot for each of the products; P1, P2 and P13 appeared as yellow</w:t>
      </w:r>
      <w:r>
        <w:rPr>
          <w:spacing w:val="1"/>
        </w:rPr>
        <w:t> </w:t>
      </w:r>
      <w:r>
        <w:rPr/>
        <w:t>viscous oil, orange crystal, and yellow gummy solid, respectively. This agrees with the</w:t>
      </w:r>
      <w:r>
        <w:rPr>
          <w:spacing w:val="1"/>
        </w:rPr>
        <w:t> </w:t>
      </w:r>
      <w:r>
        <w:rPr/>
        <w:t>appearance of natural chalcones and other</w:t>
      </w:r>
      <w:r>
        <w:rPr>
          <w:spacing w:val="1"/>
        </w:rPr>
        <w:t> </w:t>
      </w:r>
      <w:r>
        <w:rPr/>
        <w:t>chalcone derivatives reported in the</w:t>
      </w:r>
      <w:r>
        <w:rPr>
          <w:spacing w:val="60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(Li </w:t>
      </w:r>
      <w:r>
        <w:rPr>
          <w:i/>
        </w:rPr>
        <w:t>et al., </w:t>
      </w:r>
      <w:r>
        <w:rPr/>
        <w:t>1995; Sinha </w:t>
      </w:r>
      <w:r>
        <w:rPr>
          <w:i/>
        </w:rPr>
        <w:t>et al., </w:t>
      </w:r>
      <w:r>
        <w:rPr/>
        <w:t>2013). The sharp melting point (Table 4.5) observed with the</w:t>
      </w:r>
      <w:r>
        <w:rPr>
          <w:spacing w:val="1"/>
        </w:rPr>
        <w:t> </w:t>
      </w:r>
      <w:r>
        <w:rPr/>
        <w:t>three</w:t>
      </w:r>
      <w:r>
        <w:rPr>
          <w:spacing w:val="-1"/>
        </w:rPr>
        <w:t> </w:t>
      </w:r>
      <w:r>
        <w:rPr/>
        <w:t>compounds</w:t>
      </w:r>
      <w:r>
        <w:rPr>
          <w:spacing w:val="-2"/>
        </w:rPr>
        <w:t> </w:t>
      </w:r>
      <w:r>
        <w:rPr/>
        <w:t>suggest that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compounds</w:t>
      </w:r>
      <w:r>
        <w:rPr>
          <w:spacing w:val="2"/>
        </w:rPr>
        <w:t> </w:t>
      </w:r>
      <w:r>
        <w:rPr/>
        <w:t>have</w:t>
      </w:r>
      <w:r>
        <w:rPr>
          <w:spacing w:val="3"/>
        </w:rPr>
        <w:t> </w:t>
      </w:r>
      <w:r>
        <w:rPr/>
        <w:t>high</w:t>
      </w:r>
      <w:r>
        <w:rPr>
          <w:spacing w:val="-4"/>
        </w:rPr>
        <w:t> </w:t>
      </w:r>
      <w:r>
        <w:rPr/>
        <w:t>degree</w:t>
      </w:r>
      <w:r>
        <w:rPr>
          <w:spacing w:val="-1"/>
        </w:rPr>
        <w:t> </w:t>
      </w:r>
      <w:r>
        <w:rPr/>
        <w:t>of</w:t>
      </w:r>
      <w:r>
        <w:rPr>
          <w:spacing w:val="-7"/>
        </w:rPr>
        <w:t> </w:t>
      </w:r>
      <w:r>
        <w:rPr/>
        <w:t>purity</w:t>
      </w:r>
      <w:r>
        <w:rPr>
          <w:spacing w:val="-10"/>
        </w:rPr>
        <w:t> </w:t>
      </w:r>
      <w:r>
        <w:rPr/>
        <w:t>(Vogel,</w:t>
      </w:r>
      <w:r>
        <w:rPr>
          <w:spacing w:val="2"/>
        </w:rPr>
        <w:t> </w:t>
      </w:r>
      <w:r>
        <w:rPr/>
        <w:t>1956).</w:t>
      </w:r>
    </w:p>
    <w:p>
      <w:pPr>
        <w:pStyle w:val="BodyText"/>
        <w:spacing w:line="480" w:lineRule="auto" w:before="204"/>
        <w:ind w:left="312" w:right="689"/>
        <w:jc w:val="both"/>
      </w:pPr>
      <w:r>
        <w:rPr/>
        <w:t>The FT-IR data (Appendices12 and 20) indicates presence of carbonyl (C=O), ether (C-O-</w:t>
      </w:r>
      <w:r>
        <w:rPr>
          <w:spacing w:val="1"/>
        </w:rPr>
        <w:t> </w:t>
      </w:r>
      <w:r>
        <w:rPr/>
        <w:t>C), aromatic (=C-H), olefinic (=C-H), and aliphatic (-C-H) functional groups in both P1,</w:t>
      </w:r>
      <w:r>
        <w:rPr>
          <w:spacing w:val="1"/>
        </w:rPr>
        <w:t> </w:t>
      </w:r>
      <w:r>
        <w:rPr/>
        <w:t>P2,</w:t>
      </w:r>
      <w:r>
        <w:rPr>
          <w:spacing w:val="55"/>
        </w:rPr>
        <w:t> </w:t>
      </w:r>
      <w:r>
        <w:rPr/>
        <w:t>and</w:t>
      </w:r>
      <w:r>
        <w:rPr>
          <w:spacing w:val="52"/>
        </w:rPr>
        <w:t> </w:t>
      </w:r>
      <w:r>
        <w:rPr/>
        <w:t>P3,</w:t>
      </w:r>
      <w:r>
        <w:rPr>
          <w:spacing w:val="55"/>
        </w:rPr>
        <w:t> </w:t>
      </w:r>
      <w:r>
        <w:rPr/>
        <w:t>as</w:t>
      </w:r>
      <w:r>
        <w:rPr>
          <w:spacing w:val="51"/>
        </w:rPr>
        <w:t> </w:t>
      </w:r>
      <w:r>
        <w:rPr/>
        <w:t>evidenced</w:t>
      </w:r>
      <w:r>
        <w:rPr>
          <w:spacing w:val="57"/>
        </w:rPr>
        <w:t> </w:t>
      </w:r>
      <w:r>
        <w:rPr/>
        <w:t>by</w:t>
      </w:r>
      <w:r>
        <w:rPr>
          <w:spacing w:val="48"/>
        </w:rPr>
        <w:t> </w:t>
      </w:r>
      <w:r>
        <w:rPr/>
        <w:t>the</w:t>
      </w:r>
      <w:r>
        <w:rPr>
          <w:spacing w:val="53"/>
        </w:rPr>
        <w:t> </w:t>
      </w:r>
      <w:r>
        <w:rPr/>
        <w:t>appearance</w:t>
      </w:r>
      <w:r>
        <w:rPr>
          <w:spacing w:val="52"/>
        </w:rPr>
        <w:t> </w:t>
      </w:r>
      <w:r>
        <w:rPr/>
        <w:t>of</w:t>
      </w:r>
      <w:r>
        <w:rPr>
          <w:spacing w:val="50"/>
        </w:rPr>
        <w:t> </w:t>
      </w:r>
      <w:r>
        <w:rPr/>
        <w:t>prominent</w:t>
      </w:r>
      <w:r>
        <w:rPr>
          <w:spacing w:val="58"/>
        </w:rPr>
        <w:t> </w:t>
      </w:r>
      <w:r>
        <w:rPr/>
        <w:t>bands</w:t>
      </w:r>
      <w:r>
        <w:rPr>
          <w:spacing w:val="50"/>
        </w:rPr>
        <w:t> </w:t>
      </w:r>
      <w:r>
        <w:rPr/>
        <w:t>at</w:t>
      </w:r>
      <w:r>
        <w:rPr>
          <w:spacing w:val="58"/>
        </w:rPr>
        <w:t> </w:t>
      </w:r>
      <w:r>
        <w:rPr/>
        <w:t>1640</w:t>
      </w:r>
      <w:r>
        <w:rPr>
          <w:spacing w:val="53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spacing w:val="56"/>
          <w:vertAlign w:val="baseline"/>
        </w:rPr>
        <w:t> </w:t>
      </w:r>
      <w:r>
        <w:rPr>
          <w:vertAlign w:val="baseline"/>
        </w:rPr>
        <w:t>(C=O</w:t>
      </w:r>
    </w:p>
    <w:p>
      <w:pPr>
        <w:spacing w:after="0" w:line="480" w:lineRule="auto"/>
        <w:jc w:val="both"/>
        <w:sectPr>
          <w:headerReference w:type="default" r:id="rId384"/>
          <w:footerReference w:type="default" r:id="rId385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110"/>
        <w:ind w:left="312" w:right="688"/>
        <w:jc w:val="both"/>
      </w:pPr>
      <w:r>
        <w:rPr/>
        <w:t>stretching</w:t>
      </w:r>
      <w:r>
        <w:rPr>
          <w:spacing w:val="1"/>
        </w:rPr>
        <w:t> </w:t>
      </w:r>
      <w:r>
        <w:rPr/>
        <w:t>vibrations),</w:t>
      </w:r>
      <w:r>
        <w:rPr>
          <w:spacing w:val="1"/>
        </w:rPr>
        <w:t> </w:t>
      </w:r>
      <w:r>
        <w:rPr/>
        <w:t>1260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1095cm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(C-O-C</w:t>
      </w:r>
      <w:r>
        <w:rPr>
          <w:spacing w:val="1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vibrations),</w:t>
      </w:r>
      <w:r>
        <w:rPr>
          <w:spacing w:val="1"/>
          <w:vertAlign w:val="baseline"/>
        </w:rPr>
        <w:t> </w:t>
      </w:r>
      <w:r>
        <w:rPr>
          <w:vertAlign w:val="baseline"/>
        </w:rPr>
        <w:t>3040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spacing w:val="1"/>
          <w:vertAlign w:val="baseline"/>
        </w:rPr>
        <w:t> </w:t>
      </w:r>
      <w:r>
        <w:rPr>
          <w:vertAlign w:val="baseline"/>
        </w:rPr>
        <w:t>(aromatic C</w:t>
      </w:r>
      <w:r>
        <w:rPr>
          <w:vertAlign w:val="subscript"/>
        </w:rPr>
        <w:t>sp2</w:t>
      </w:r>
      <w:r>
        <w:rPr>
          <w:vertAlign w:val="baseline"/>
        </w:rPr>
        <w:t>-H stretching vibrations), 3008cm</w:t>
      </w:r>
      <w:r>
        <w:rPr>
          <w:vertAlign w:val="superscript"/>
        </w:rPr>
        <w:t>-1</w:t>
      </w:r>
      <w:r>
        <w:rPr>
          <w:vertAlign w:val="baseline"/>
        </w:rPr>
        <w:t> (Olefinic C</w:t>
      </w:r>
      <w:r>
        <w:rPr>
          <w:vertAlign w:val="subscript"/>
        </w:rPr>
        <w:t>sp2</w:t>
      </w:r>
      <w:r>
        <w:rPr>
          <w:vertAlign w:val="baseline"/>
        </w:rPr>
        <w:t>-H stretching vibrations),</w:t>
      </w:r>
      <w:r>
        <w:rPr>
          <w:spacing w:val="1"/>
          <w:vertAlign w:val="baseline"/>
        </w:rPr>
        <w:t> </w:t>
      </w:r>
      <w:r>
        <w:rPr>
          <w:vertAlign w:val="baseline"/>
        </w:rPr>
        <w:t>2990 cm</w:t>
      </w:r>
      <w:r>
        <w:rPr>
          <w:vertAlign w:val="superscript"/>
        </w:rPr>
        <w:t>1</w:t>
      </w:r>
      <w:r>
        <w:rPr>
          <w:vertAlign w:val="baseline"/>
        </w:rPr>
        <w:t> (Aliphatic C</w:t>
      </w:r>
      <w:r>
        <w:rPr>
          <w:vertAlign w:val="subscript"/>
        </w:rPr>
        <w:t>sp3</w:t>
      </w:r>
      <w:r>
        <w:rPr>
          <w:vertAlign w:val="baseline"/>
        </w:rPr>
        <w:t>-H stretching vibrations), 1580 cm</w:t>
      </w:r>
      <w:r>
        <w:rPr>
          <w:vertAlign w:val="superscript"/>
        </w:rPr>
        <w:t>-1</w:t>
      </w:r>
      <w:r>
        <w:rPr>
          <w:vertAlign w:val="baseline"/>
        </w:rPr>
        <w:t> (C=C stretching vibrations)</w:t>
      </w:r>
      <w:r>
        <w:rPr>
          <w:spacing w:val="1"/>
          <w:vertAlign w:val="baseline"/>
        </w:rPr>
        <w:t> </w:t>
      </w:r>
      <w:r>
        <w:rPr>
          <w:vertAlign w:val="baseline"/>
        </w:rPr>
        <w:t>for both compounds. The olefinic peak observed in the region 2995-3008 cm</w:t>
      </w:r>
      <w:r>
        <w:rPr>
          <w:vertAlign w:val="superscript"/>
        </w:rPr>
        <w:t>-1</w:t>
      </w:r>
      <w:r>
        <w:rPr>
          <w:vertAlign w:val="baseline"/>
        </w:rPr>
        <w:t> is evidence</w:t>
      </w:r>
      <w:r>
        <w:rPr>
          <w:spacing w:val="1"/>
          <w:vertAlign w:val="baseline"/>
        </w:rPr>
        <w:t> </w:t>
      </w:r>
      <w:r>
        <w:rPr>
          <w:vertAlign w:val="baseline"/>
        </w:rPr>
        <w:t>that the chalcones have been formed. Also, the characteristic α, β-unsaturated carbonyl</w:t>
      </w:r>
      <w:r>
        <w:rPr>
          <w:spacing w:val="1"/>
          <w:vertAlign w:val="baseline"/>
        </w:rPr>
        <w:t> </w:t>
      </w:r>
      <w:r>
        <w:rPr>
          <w:vertAlign w:val="baseline"/>
        </w:rPr>
        <w:t>group of the chalcones was confirmed by the prominent band in between 1625-1650 cm-</w:t>
      </w:r>
      <w:r>
        <w:rPr>
          <w:spacing w:val="1"/>
          <w:vertAlign w:val="baseline"/>
        </w:rPr>
        <w:t> </w:t>
      </w:r>
      <w:r>
        <w:rPr>
          <w:vertAlign w:val="superscript"/>
        </w:rPr>
        <w:t>1.</w:t>
      </w:r>
      <w:r>
        <w:rPr>
          <w:vertAlign w:val="baseline"/>
        </w:rPr>
        <w:t>Additionally, the methoxy function is evidence by coupled strong vibration at 1260 and</w:t>
      </w:r>
      <w:r>
        <w:rPr>
          <w:spacing w:val="1"/>
          <w:vertAlign w:val="baseline"/>
        </w:rPr>
        <w:t> </w:t>
      </w:r>
      <w:r>
        <w:rPr>
          <w:vertAlign w:val="baseline"/>
        </w:rPr>
        <w:t>1095cm</w:t>
      </w:r>
      <w:r>
        <w:rPr>
          <w:vertAlign w:val="superscript"/>
        </w:rPr>
        <w:t>-1</w:t>
      </w:r>
      <w:r>
        <w:rPr>
          <w:spacing w:val="8"/>
          <w:vertAlign w:val="baseline"/>
        </w:rPr>
        <w:t> </w:t>
      </w:r>
      <w:r>
        <w:rPr>
          <w:vertAlign w:val="baseline"/>
        </w:rPr>
        <w:t>for</w:t>
      </w:r>
      <w:r>
        <w:rPr>
          <w:spacing w:val="2"/>
          <w:vertAlign w:val="baseline"/>
        </w:rPr>
        <w:t> </w:t>
      </w:r>
      <w:r>
        <w:rPr>
          <w:vertAlign w:val="baseline"/>
        </w:rPr>
        <w:t>C-O-C</w:t>
      </w:r>
      <w:r>
        <w:rPr>
          <w:spacing w:val="-1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1"/>
          <w:vertAlign w:val="baseline"/>
        </w:rPr>
        <w:t> </w:t>
      </w:r>
      <w:r>
        <w:rPr>
          <w:vertAlign w:val="baseline"/>
        </w:rPr>
        <w:t>vibrations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(Kumar</w:t>
      </w:r>
      <w:r>
        <w:rPr>
          <w:spacing w:val="7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2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4"/>
          <w:vertAlign w:val="baseline"/>
        </w:rPr>
        <w:t> </w:t>
      </w:r>
      <w:r>
        <w:rPr>
          <w:vertAlign w:val="baseline"/>
        </w:rPr>
        <w:t>2010).</w:t>
      </w:r>
    </w:p>
    <w:p>
      <w:pPr>
        <w:pStyle w:val="BodyText"/>
        <w:spacing w:line="480" w:lineRule="auto" w:before="203"/>
        <w:ind w:left="312" w:right="686"/>
        <w:jc w:val="both"/>
      </w:pPr>
      <w:r>
        <w:rPr/>
        <w:t>The </w:t>
      </w:r>
      <w:r>
        <w:rPr>
          <w:vertAlign w:val="superscript"/>
        </w:rPr>
        <w:t>1</w:t>
      </w:r>
      <w:r>
        <w:rPr>
          <w:vertAlign w:val="baseline"/>
        </w:rPr>
        <w:t>HNMR, </w:t>
      </w:r>
      <w:r>
        <w:rPr>
          <w:vertAlign w:val="superscript"/>
        </w:rPr>
        <w:t>13</w:t>
      </w:r>
      <w:r>
        <w:rPr>
          <w:vertAlign w:val="baseline"/>
        </w:rPr>
        <w:t>CNMR and 2DNMR spectra was used to elucidate the structures of P1, P2,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P3 (Table 4.6). A noticeable change from the starting materials is the disappearance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42"/>
          <w:vertAlign w:val="baseline"/>
        </w:rPr>
        <w:t> </w:t>
      </w:r>
      <w:r>
        <w:rPr>
          <w:vertAlign w:val="baseline"/>
        </w:rPr>
        <w:t>aldehyde</w:t>
      </w:r>
      <w:r>
        <w:rPr>
          <w:spacing w:val="42"/>
          <w:vertAlign w:val="baseline"/>
        </w:rPr>
        <w:t> </w:t>
      </w:r>
      <w:r>
        <w:rPr>
          <w:vertAlign w:val="baseline"/>
        </w:rPr>
        <w:t>and</w:t>
      </w:r>
      <w:r>
        <w:rPr>
          <w:spacing w:val="48"/>
          <w:vertAlign w:val="baseline"/>
        </w:rPr>
        <w:t> </w:t>
      </w:r>
      <w:r>
        <w:rPr>
          <w:vertAlign w:val="baseline"/>
        </w:rPr>
        <w:t>methyl</w:t>
      </w:r>
      <w:r>
        <w:rPr>
          <w:spacing w:val="34"/>
          <w:vertAlign w:val="baseline"/>
        </w:rPr>
        <w:t> </w:t>
      </w:r>
      <w:r>
        <w:rPr>
          <w:vertAlign w:val="baseline"/>
        </w:rPr>
        <w:t>ketone</w:t>
      </w:r>
      <w:r>
        <w:rPr>
          <w:spacing w:val="42"/>
          <w:vertAlign w:val="baseline"/>
        </w:rPr>
        <w:t> </w:t>
      </w:r>
      <w:r>
        <w:rPr>
          <w:vertAlign w:val="baseline"/>
        </w:rPr>
        <w:t>chemical</w:t>
      </w:r>
      <w:r>
        <w:rPr>
          <w:spacing w:val="39"/>
          <w:vertAlign w:val="baseline"/>
        </w:rPr>
        <w:t> </w:t>
      </w:r>
      <w:r>
        <w:rPr>
          <w:vertAlign w:val="baseline"/>
        </w:rPr>
        <w:t>shifts,</w:t>
      </w:r>
      <w:r>
        <w:rPr>
          <w:spacing w:val="45"/>
          <w:vertAlign w:val="baseline"/>
        </w:rPr>
        <w:t> </w:t>
      </w:r>
      <w:r>
        <w:rPr>
          <w:vertAlign w:val="baseline"/>
        </w:rPr>
        <w:t>which</w:t>
      </w:r>
      <w:r>
        <w:rPr>
          <w:spacing w:val="38"/>
          <w:vertAlign w:val="baseline"/>
        </w:rPr>
        <w:t> </w:t>
      </w:r>
      <w:r>
        <w:rPr>
          <w:vertAlign w:val="baseline"/>
        </w:rPr>
        <w:t>appear</w:t>
      </w:r>
      <w:r>
        <w:rPr>
          <w:spacing w:val="44"/>
          <w:vertAlign w:val="baseline"/>
        </w:rPr>
        <w:t> </w:t>
      </w:r>
      <w:r>
        <w:rPr>
          <w:vertAlign w:val="baseline"/>
        </w:rPr>
        <w:t>as</w:t>
      </w:r>
      <w:r>
        <w:rPr>
          <w:spacing w:val="41"/>
          <w:vertAlign w:val="baseline"/>
        </w:rPr>
        <w:t> </w:t>
      </w:r>
      <w:r>
        <w:rPr>
          <w:vertAlign w:val="baseline"/>
        </w:rPr>
        <w:t>singlet</w:t>
      </w:r>
      <w:r>
        <w:rPr>
          <w:spacing w:val="58"/>
          <w:vertAlign w:val="baseline"/>
        </w:rPr>
        <w:t> </w:t>
      </w:r>
      <w:r>
        <w:rPr>
          <w:vertAlign w:val="baseline"/>
        </w:rPr>
        <w:t>around</w:t>
      </w:r>
      <w:r>
        <w:rPr>
          <w:spacing w:val="43"/>
          <w:vertAlign w:val="baseline"/>
        </w:rPr>
        <w:t> </w:t>
      </w:r>
      <w:r>
        <w:rPr>
          <w:vertAlign w:val="baseline"/>
        </w:rPr>
        <w:t>9.89-</w:t>
      </w:r>
    </w:p>
    <w:p>
      <w:pPr>
        <w:pStyle w:val="BodyText"/>
        <w:spacing w:line="480" w:lineRule="auto" w:before="1"/>
        <w:ind w:left="312" w:right="686"/>
        <w:jc w:val="both"/>
      </w:pPr>
      <w:r>
        <w:rPr/>
        <w:t>10.30 ppm and 2.50 ppm respectively. These protons are replaced by the α,β-unsaturated</w:t>
      </w:r>
      <w:r>
        <w:rPr>
          <w:spacing w:val="1"/>
        </w:rPr>
        <w:t> </w:t>
      </w:r>
      <w:r>
        <w:rPr/>
        <w:t>ketone</w:t>
      </w:r>
      <w:r>
        <w:rPr>
          <w:spacing w:val="34"/>
        </w:rPr>
        <w:t> </w:t>
      </w:r>
      <w:r>
        <w:rPr/>
        <w:t>linker</w:t>
      </w:r>
      <w:r>
        <w:rPr>
          <w:spacing w:val="32"/>
        </w:rPr>
        <w:t> </w:t>
      </w:r>
      <w:r>
        <w:rPr/>
        <w:t>protons</w:t>
      </w:r>
      <w:r>
        <w:rPr>
          <w:spacing w:val="28"/>
        </w:rPr>
        <w:t> </w:t>
      </w:r>
      <w:r>
        <w:rPr/>
        <w:t>observed</w:t>
      </w:r>
      <w:r>
        <w:rPr>
          <w:spacing w:val="30"/>
        </w:rPr>
        <w:t> </w:t>
      </w:r>
      <w:r>
        <w:rPr/>
        <w:t>as</w:t>
      </w:r>
      <w:r>
        <w:rPr>
          <w:spacing w:val="33"/>
        </w:rPr>
        <w:t> </w:t>
      </w:r>
      <w:r>
        <w:rPr/>
        <w:t>doublets</w:t>
      </w:r>
      <w:r>
        <w:rPr>
          <w:spacing w:val="34"/>
        </w:rPr>
        <w:t> </w:t>
      </w:r>
      <w:r>
        <w:rPr/>
        <w:t>in</w:t>
      </w:r>
      <w:r>
        <w:rPr>
          <w:spacing w:val="26"/>
        </w:rPr>
        <w:t> </w:t>
      </w:r>
      <w:r>
        <w:rPr/>
        <w:t>the</w:t>
      </w:r>
      <w:r>
        <w:rPr>
          <w:spacing w:val="30"/>
        </w:rPr>
        <w:t> </w:t>
      </w:r>
      <w:r>
        <w:rPr/>
        <w:t>region</w:t>
      </w:r>
      <w:r>
        <w:rPr>
          <w:spacing w:val="26"/>
        </w:rPr>
        <w:t> </w:t>
      </w:r>
      <w:r>
        <w:rPr/>
        <w:t>of</w:t>
      </w:r>
      <w:r>
        <w:rPr>
          <w:spacing w:val="23"/>
        </w:rPr>
        <w:t> </w:t>
      </w:r>
      <w:r>
        <w:rPr/>
        <w:t>7.38</w:t>
      </w:r>
      <w:r>
        <w:rPr>
          <w:spacing w:val="41"/>
        </w:rPr>
        <w:t> </w:t>
      </w:r>
      <w:r>
        <w:rPr/>
        <w:t>–</w:t>
      </w:r>
      <w:r>
        <w:rPr>
          <w:spacing w:val="31"/>
        </w:rPr>
        <w:t> </w:t>
      </w:r>
      <w:r>
        <w:rPr/>
        <w:t>7.42ppm</w:t>
      </w:r>
      <w:r>
        <w:rPr>
          <w:spacing w:val="21"/>
        </w:rPr>
        <w:t> </w:t>
      </w:r>
      <w:r>
        <w:rPr/>
        <w:t>(H-</w:t>
      </w:r>
      <w:r>
        <w:rPr>
          <w:spacing w:val="32"/>
        </w:rPr>
        <w:t> </w:t>
      </w:r>
      <w:r>
        <w:rPr/>
        <w:t>α)</w:t>
      </w:r>
      <w:r>
        <w:rPr>
          <w:spacing w:val="32"/>
        </w:rPr>
        <w:t> </w:t>
      </w:r>
      <w:r>
        <w:rPr/>
        <w:t>and</w:t>
      </w:r>
    </w:p>
    <w:p>
      <w:pPr>
        <w:pStyle w:val="BodyText"/>
        <w:spacing w:line="480" w:lineRule="auto"/>
        <w:ind w:left="312" w:right="685"/>
        <w:jc w:val="both"/>
      </w:pPr>
      <w:r>
        <w:rPr/>
        <w:t>7.86 - 8.00 ppm (H- β) with coupling constants of 15.6-16.0 Hz.</w:t>
      </w:r>
      <w:r>
        <w:rPr>
          <w:spacing w:val="1"/>
        </w:rPr>
        <w:t> </w:t>
      </w:r>
      <w:r>
        <w:rPr/>
        <w:t>It is evident from these</w:t>
      </w:r>
      <w:r>
        <w:rPr>
          <w:spacing w:val="1"/>
        </w:rPr>
        <w:t> </w:t>
      </w:r>
      <w:r>
        <w:rPr/>
        <w:t>coupling constants that the productsformed are predominantly the </w:t>
      </w:r>
      <w:r>
        <w:rPr>
          <w:i/>
        </w:rPr>
        <w:t>trans</w:t>
      </w:r>
      <w:r>
        <w:rPr/>
        <w:t>-isomers (E-form).</w:t>
      </w:r>
      <w:r>
        <w:rPr>
          <w:spacing w:val="1"/>
        </w:rPr>
        <w:t> </w:t>
      </w:r>
      <w:r>
        <w:rPr/>
        <w:t>The configuration ofthe Z isomer is unstable due to the strong steric effects between the</w:t>
      </w:r>
      <w:r>
        <w:rPr>
          <w:spacing w:val="1"/>
        </w:rPr>
        <w:t> </w:t>
      </w:r>
      <w:r>
        <w:rPr/>
        <w:t>carbonyl group and the A-ring (Gomes </w:t>
      </w:r>
      <w:r>
        <w:rPr>
          <w:i/>
        </w:rPr>
        <w:t>et al., </w:t>
      </w:r>
      <w:r>
        <w:rPr/>
        <w:t>2011). The other noticeable observations in</w:t>
      </w:r>
      <w:r>
        <w:rPr>
          <w:spacing w:val="1"/>
        </w:rPr>
        <w:t> </w:t>
      </w:r>
      <w:r>
        <w:rPr/>
        <w:t>the HNMR are the methoxy proton as singlet at the region of 3.83 – 4.25 ppm. The rest of</w:t>
      </w:r>
      <w:r>
        <w:rPr>
          <w:spacing w:val="1"/>
        </w:rPr>
        <w:t> </w:t>
      </w:r>
      <w:r>
        <w:rPr/>
        <w:t>the protons appear in their expected regions with their usual coupling constants (Table 4.6</w:t>
      </w:r>
      <w:r>
        <w:rPr>
          <w:spacing w:val="1"/>
        </w:rPr>
        <w:t> </w:t>
      </w:r>
      <w:r>
        <w:rPr/>
        <w:t>and,</w:t>
      </w:r>
      <w:r>
        <w:rPr>
          <w:spacing w:val="3"/>
        </w:rPr>
        <w:t> </w:t>
      </w:r>
      <w:r>
        <w:rPr/>
        <w:t>Appendices13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21).</w:t>
      </w:r>
    </w:p>
    <w:p>
      <w:pPr>
        <w:pStyle w:val="BodyText"/>
        <w:spacing w:line="480" w:lineRule="auto" w:before="198"/>
        <w:ind w:left="312" w:right="690"/>
        <w:jc w:val="both"/>
      </w:pPr>
      <w:r>
        <w:rPr/>
        <w:t>Additional support for the structures of P1, P2, and P3 comes from the </w:t>
      </w:r>
      <w:r>
        <w:rPr>
          <w:vertAlign w:val="superscript"/>
        </w:rPr>
        <w:t>13</w:t>
      </w:r>
      <w:r>
        <w:rPr>
          <w:vertAlign w:val="baseline"/>
        </w:rPr>
        <w:t>C NMR spectra</w:t>
      </w:r>
      <w:r>
        <w:rPr>
          <w:spacing w:val="1"/>
          <w:vertAlign w:val="baseline"/>
        </w:rPr>
        <w:t> </w:t>
      </w:r>
      <w:r>
        <w:rPr>
          <w:vertAlign w:val="baseline"/>
        </w:rPr>
        <w:t>(Table 4.6 and, Appendices 14 and 22), where the carbonyl carbon (C=O) of the α,β-</w:t>
      </w:r>
      <w:r>
        <w:rPr>
          <w:spacing w:val="1"/>
          <w:vertAlign w:val="baseline"/>
        </w:rPr>
        <w:t> </w:t>
      </w:r>
      <w:r>
        <w:rPr>
          <w:vertAlign w:val="baseline"/>
        </w:rPr>
        <w:t>unsaturated</w:t>
      </w:r>
      <w:r>
        <w:rPr>
          <w:spacing w:val="1"/>
          <w:vertAlign w:val="baseline"/>
        </w:rPr>
        <w:t> </w:t>
      </w:r>
      <w:r>
        <w:rPr>
          <w:vertAlign w:val="baseline"/>
        </w:rPr>
        <w:t>ketone</w:t>
      </w:r>
      <w:r>
        <w:rPr>
          <w:spacing w:val="1"/>
          <w:vertAlign w:val="baseline"/>
        </w:rPr>
        <w:t> </w:t>
      </w:r>
      <w:r>
        <w:rPr>
          <w:vertAlign w:val="baseline"/>
        </w:rPr>
        <w:t>linker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region</w:t>
      </w:r>
      <w:r>
        <w:rPr>
          <w:spacing w:val="1"/>
          <w:vertAlign w:val="baseline"/>
        </w:rPr>
        <w:t> </w:t>
      </w:r>
      <w:r>
        <w:rPr>
          <w:vertAlign w:val="baseline"/>
        </w:rPr>
        <w:t>191-</w:t>
      </w:r>
      <w:r>
        <w:rPr>
          <w:spacing w:val="1"/>
          <w:vertAlign w:val="baseline"/>
        </w:rPr>
        <w:t> </w:t>
      </w:r>
      <w:r>
        <w:rPr>
          <w:vertAlign w:val="baseline"/>
        </w:rPr>
        <w:t>192</w:t>
      </w:r>
      <w:r>
        <w:rPr>
          <w:spacing w:val="1"/>
          <w:vertAlign w:val="baseline"/>
        </w:rPr>
        <w:t> </w:t>
      </w:r>
      <w:r>
        <w:rPr>
          <w:vertAlign w:val="baseline"/>
        </w:rPr>
        <w:t>ppm,</w:t>
      </w:r>
      <w:r>
        <w:rPr>
          <w:spacing w:val="1"/>
          <w:vertAlign w:val="baseline"/>
        </w:rPr>
        <w:t> </w:t>
      </w:r>
      <w:r>
        <w:rPr>
          <w:vertAlign w:val="baseline"/>
        </w:rPr>
        <w:t>compared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aldehyde carbonyl group (C=O) at 195 ppm and methyl ketone carbonyl group (C=O)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35"/>
          <w:vertAlign w:val="baseline"/>
        </w:rPr>
        <w:t> </w:t>
      </w:r>
      <w:r>
        <w:rPr>
          <w:vertAlign w:val="baseline"/>
        </w:rPr>
        <w:t>appears</w:t>
      </w:r>
      <w:r>
        <w:rPr>
          <w:spacing w:val="43"/>
          <w:vertAlign w:val="baseline"/>
        </w:rPr>
        <w:t> </w:t>
      </w:r>
      <w:r>
        <w:rPr>
          <w:vertAlign w:val="baseline"/>
        </w:rPr>
        <w:t>in</w:t>
      </w:r>
      <w:r>
        <w:rPr>
          <w:spacing w:val="40"/>
          <w:vertAlign w:val="baseline"/>
        </w:rPr>
        <w:t> </w:t>
      </w:r>
      <w:r>
        <w:rPr>
          <w:vertAlign w:val="baseline"/>
        </w:rPr>
        <w:t>the</w:t>
      </w:r>
      <w:r>
        <w:rPr>
          <w:spacing w:val="39"/>
          <w:vertAlign w:val="baseline"/>
        </w:rPr>
        <w:t> </w:t>
      </w:r>
      <w:r>
        <w:rPr>
          <w:vertAlign w:val="baseline"/>
        </w:rPr>
        <w:t>region</w:t>
      </w:r>
      <w:r>
        <w:rPr>
          <w:spacing w:val="35"/>
          <w:vertAlign w:val="baseline"/>
        </w:rPr>
        <w:t> </w:t>
      </w:r>
      <w:r>
        <w:rPr>
          <w:vertAlign w:val="baseline"/>
        </w:rPr>
        <w:t>179</w:t>
      </w:r>
      <w:r>
        <w:rPr>
          <w:spacing w:val="40"/>
          <w:vertAlign w:val="baseline"/>
        </w:rPr>
        <w:t> </w:t>
      </w:r>
      <w:r>
        <w:rPr>
          <w:vertAlign w:val="baseline"/>
        </w:rPr>
        <w:t>ppm.</w:t>
      </w:r>
      <w:r>
        <w:rPr>
          <w:spacing w:val="42"/>
          <w:vertAlign w:val="baseline"/>
        </w:rPr>
        <w:t> </w:t>
      </w:r>
      <w:r>
        <w:rPr>
          <w:vertAlign w:val="baseline"/>
        </w:rPr>
        <w:t>The</w:t>
      </w:r>
      <w:r>
        <w:rPr>
          <w:spacing w:val="39"/>
          <w:vertAlign w:val="baseline"/>
        </w:rPr>
        <w:t> </w:t>
      </w:r>
      <w:r>
        <w:rPr>
          <w:vertAlign w:val="baseline"/>
        </w:rPr>
        <w:t>α</w:t>
      </w:r>
      <w:r>
        <w:rPr>
          <w:spacing w:val="39"/>
          <w:vertAlign w:val="baseline"/>
        </w:rPr>
        <w:t> </w:t>
      </w:r>
      <w:r>
        <w:rPr>
          <w:vertAlign w:val="baseline"/>
        </w:rPr>
        <w:t>and</w:t>
      </w:r>
      <w:r>
        <w:rPr>
          <w:spacing w:val="40"/>
          <w:vertAlign w:val="baseline"/>
        </w:rPr>
        <w:t> </w:t>
      </w:r>
      <w:r>
        <w:rPr>
          <w:vertAlign w:val="baseline"/>
        </w:rPr>
        <w:t>β-</w:t>
      </w:r>
      <w:r>
        <w:rPr>
          <w:spacing w:val="42"/>
          <w:vertAlign w:val="baseline"/>
        </w:rPr>
        <w:t> </w:t>
      </w:r>
      <w:r>
        <w:rPr>
          <w:vertAlign w:val="baseline"/>
        </w:rPr>
        <w:t>carbon</w:t>
      </w:r>
      <w:r>
        <w:rPr>
          <w:spacing w:val="40"/>
          <w:vertAlign w:val="baseline"/>
        </w:rPr>
        <w:t> </w:t>
      </w:r>
      <w:r>
        <w:rPr>
          <w:vertAlign w:val="baseline"/>
        </w:rPr>
        <w:t>atoms</w:t>
      </w:r>
      <w:r>
        <w:rPr>
          <w:spacing w:val="38"/>
          <w:vertAlign w:val="baseline"/>
        </w:rPr>
        <w:t> </w:t>
      </w:r>
      <w:r>
        <w:rPr>
          <w:vertAlign w:val="baseline"/>
        </w:rPr>
        <w:t>with</w:t>
      </w:r>
      <w:r>
        <w:rPr>
          <w:spacing w:val="35"/>
          <w:vertAlign w:val="baseline"/>
        </w:rPr>
        <w:t> </w:t>
      </w:r>
      <w:r>
        <w:rPr>
          <w:vertAlign w:val="baseline"/>
        </w:rPr>
        <w:t>respect</w:t>
      </w:r>
      <w:r>
        <w:rPr>
          <w:spacing w:val="45"/>
          <w:vertAlign w:val="baseline"/>
        </w:rPr>
        <w:t> </w:t>
      </w:r>
      <w:r>
        <w:rPr>
          <w:vertAlign w:val="baseline"/>
        </w:rPr>
        <w:t>to</w:t>
      </w:r>
      <w:r>
        <w:rPr>
          <w:spacing w:val="40"/>
          <w:vertAlign w:val="baseline"/>
        </w:rPr>
        <w:t> </w:t>
      </w:r>
      <w:r>
        <w:rPr>
          <w:vertAlign w:val="baseline"/>
        </w:rPr>
        <w:t>the</w:t>
      </w:r>
    </w:p>
    <w:p>
      <w:pPr>
        <w:spacing w:after="0" w:line="480" w:lineRule="auto"/>
        <w:jc w:val="both"/>
        <w:sectPr>
          <w:headerReference w:type="default" r:id="rId387"/>
          <w:footerReference w:type="default" r:id="rId388"/>
          <w:pgSz w:w="11910" w:h="16840"/>
          <w:pgMar w:header="0" w:footer="878" w:top="1160" w:bottom="1060" w:left="1560" w:right="600"/>
        </w:sectPr>
      </w:pPr>
    </w:p>
    <w:p>
      <w:pPr>
        <w:pStyle w:val="BodyText"/>
        <w:spacing w:line="480" w:lineRule="auto" w:before="70"/>
        <w:ind w:left="312" w:right="686"/>
        <w:jc w:val="both"/>
      </w:pPr>
      <w:r>
        <w:rPr/>
        <w:t>carbonyl group give rise to characteristic signals in between δ 123.8-126.6 ppm and δ</w:t>
      </w:r>
      <w:r>
        <w:rPr>
          <w:spacing w:val="1"/>
        </w:rPr>
        <w:t> </w:t>
      </w:r>
      <w:r>
        <w:rPr/>
        <w:t>137.6-141.9 ppm respectively. The olefinic carbons (α- and β- carbon atoms) are evidence</w:t>
      </w:r>
      <w:r>
        <w:rPr>
          <w:spacing w:val="1"/>
        </w:rPr>
        <w:t> </w:t>
      </w:r>
      <w:r>
        <w:rPr/>
        <w:t>that the chalcone have been formed. As seen in Table 4.6 and, Appendices 14 and 22, the</w:t>
      </w:r>
      <w:r>
        <w:rPr>
          <w:spacing w:val="1"/>
        </w:rPr>
        <w:t> </w:t>
      </w:r>
      <w:r>
        <w:rPr/>
        <w:t>positions of all C atoms in P1, P2, and P3 have been assigned. The nature of carbon atoms</w:t>
      </w:r>
      <w:r>
        <w:rPr>
          <w:spacing w:val="1"/>
        </w:rPr>
        <w:t> </w:t>
      </w:r>
      <w:r>
        <w:rPr/>
        <w:t>(CH</w:t>
      </w:r>
      <w:r>
        <w:rPr>
          <w:vertAlign w:val="subscript"/>
        </w:rPr>
        <w:t>3</w:t>
      </w:r>
      <w:r>
        <w:rPr>
          <w:vertAlign w:val="baseline"/>
        </w:rPr>
        <w:t>- or –CH) for P1 and P2 was established by means of the Distortionless Enhancement</w:t>
      </w:r>
      <w:r>
        <w:rPr>
          <w:spacing w:val="-57"/>
          <w:vertAlign w:val="baseline"/>
        </w:rPr>
        <w:t> </w:t>
      </w:r>
      <w:r>
        <w:rPr>
          <w:vertAlign w:val="baseline"/>
        </w:rPr>
        <w:t>by Polarization Transfer (DEPT) spectroscopy(Appendix 15 for P1). The DEPT spectra</w:t>
      </w:r>
      <w:r>
        <w:rPr>
          <w:spacing w:val="1"/>
          <w:vertAlign w:val="baseline"/>
        </w:rPr>
        <w:t> </w:t>
      </w:r>
      <w:r>
        <w:rPr>
          <w:vertAlign w:val="baseline"/>
        </w:rPr>
        <w:t>(DEPT 135), showed signals due to OCH</w:t>
      </w:r>
      <w:r>
        <w:rPr>
          <w:vertAlign w:val="subscript"/>
        </w:rPr>
        <w:t>3</w:t>
      </w:r>
      <w:r>
        <w:rPr>
          <w:vertAlign w:val="baseline"/>
        </w:rPr>
        <w:t> and CH above the baseline and the methoxy</w:t>
      </w:r>
      <w:r>
        <w:rPr>
          <w:spacing w:val="1"/>
          <w:vertAlign w:val="baseline"/>
        </w:rPr>
        <w:t> </w:t>
      </w:r>
      <w:r>
        <w:rPr>
          <w:vertAlign w:val="baseline"/>
        </w:rPr>
        <w:t>protons appeared upfield (Crews </w:t>
      </w:r>
      <w:r>
        <w:rPr>
          <w:i/>
          <w:vertAlign w:val="baseline"/>
        </w:rPr>
        <w:t>et al.,</w:t>
      </w:r>
      <w:r>
        <w:rPr>
          <w:vertAlign w:val="baseline"/>
        </w:rPr>
        <w:t>1998). The two-dimensional (COSY, HSQC and</w:t>
      </w:r>
      <w:r>
        <w:rPr>
          <w:spacing w:val="1"/>
          <w:vertAlign w:val="baseline"/>
        </w:rPr>
        <w:t> </w:t>
      </w:r>
      <w:r>
        <w:rPr>
          <w:vertAlign w:val="baseline"/>
        </w:rPr>
        <w:t>HMBC)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spectroscopic</w:t>
      </w:r>
      <w:r>
        <w:rPr>
          <w:spacing w:val="1"/>
          <w:vertAlign w:val="baseline"/>
        </w:rPr>
        <w:t> </w:t>
      </w:r>
      <w:r>
        <w:rPr>
          <w:vertAlign w:val="baseline"/>
        </w:rPr>
        <w:t>data</w:t>
      </w:r>
      <w:r>
        <w:rPr>
          <w:spacing w:val="1"/>
          <w:vertAlign w:val="baseline"/>
        </w:rPr>
        <w:t> </w:t>
      </w:r>
      <w:r>
        <w:rPr>
          <w:vertAlign w:val="baseline"/>
        </w:rPr>
        <w:t>confirm the</w:t>
      </w:r>
      <w:r>
        <w:rPr>
          <w:spacing w:val="1"/>
          <w:vertAlign w:val="baseline"/>
        </w:rPr>
        <w:t> </w:t>
      </w:r>
      <w:r>
        <w:rPr>
          <w:vertAlign w:val="baseline"/>
        </w:rPr>
        <w:t>tentative</w:t>
      </w:r>
      <w:r>
        <w:rPr>
          <w:spacing w:val="1"/>
          <w:vertAlign w:val="baseline"/>
        </w:rPr>
        <w:t> </w:t>
      </w:r>
      <w:r>
        <w:rPr>
          <w:vertAlign w:val="baseline"/>
        </w:rPr>
        <w:t>structuralassignment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60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made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P1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P2</w:t>
      </w:r>
      <w:r>
        <w:rPr>
          <w:spacing w:val="1"/>
          <w:vertAlign w:val="baseline"/>
        </w:rPr>
        <w:t> </w:t>
      </w:r>
      <w:r>
        <w:rPr>
          <w:vertAlign w:val="baseline"/>
        </w:rPr>
        <w:t>(newderivatives).</w:t>
      </w:r>
      <w:r>
        <w:rPr>
          <w:spacing w:val="1"/>
          <w:vertAlign w:val="baseline"/>
        </w:rPr>
        <w:t> </w:t>
      </w:r>
      <w:r>
        <w:rPr>
          <w:vertAlign w:val="baseline"/>
        </w:rPr>
        <w:t>COSY</w:t>
      </w:r>
      <w:r>
        <w:rPr>
          <w:spacing w:val="1"/>
          <w:vertAlign w:val="baseline"/>
        </w:rPr>
        <w:t> </w:t>
      </w:r>
      <w:r>
        <w:rPr>
          <w:vertAlign w:val="baseline"/>
        </w:rPr>
        <w:t>correlates</w:t>
      </w:r>
      <w:r>
        <w:rPr>
          <w:spacing w:val="60"/>
          <w:vertAlign w:val="baseline"/>
        </w:rPr>
        <w:t> </w:t>
      </w:r>
      <w:r>
        <w:rPr>
          <w:vertAlign w:val="baseline"/>
        </w:rPr>
        <w:t>two</w:t>
      </w:r>
      <w:r>
        <w:rPr>
          <w:spacing w:val="1"/>
          <w:vertAlign w:val="baseline"/>
        </w:rPr>
        <w:t> </w:t>
      </w:r>
      <w:r>
        <w:rPr>
          <w:vertAlign w:val="baseline"/>
        </w:rPr>
        <w:t>identical </w:t>
      </w:r>
      <w:r>
        <w:rPr>
          <w:vertAlign w:val="superscript"/>
        </w:rPr>
        <w:t>1</w:t>
      </w:r>
      <w:r>
        <w:rPr>
          <w:vertAlign w:val="baseline"/>
        </w:rPr>
        <w:t>H NMR spectra; whereas, HSQC and HMBC correlates </w:t>
      </w:r>
      <w:r>
        <w:rPr>
          <w:vertAlign w:val="superscript"/>
        </w:rPr>
        <w:t>1</w:t>
      </w:r>
      <w:r>
        <w:rPr>
          <w:vertAlign w:val="baseline"/>
        </w:rPr>
        <w:t>H NMR spectrum and</w:t>
      </w:r>
      <w:r>
        <w:rPr>
          <w:spacing w:val="1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NMR</w:t>
      </w:r>
      <w:r>
        <w:rPr>
          <w:spacing w:val="1"/>
          <w:vertAlign w:val="baseline"/>
        </w:rPr>
        <w:t> </w:t>
      </w:r>
      <w:r>
        <w:rPr>
          <w:vertAlign w:val="baseline"/>
        </w:rPr>
        <w:t>spectrum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same</w:t>
      </w:r>
      <w:r>
        <w:rPr>
          <w:spacing w:val="1"/>
          <w:vertAlign w:val="baseline"/>
        </w:rPr>
        <w:t> </w:t>
      </w:r>
      <w:r>
        <w:rPr>
          <w:vertAlign w:val="baseline"/>
        </w:rPr>
        <w:t>molecule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short</w:t>
      </w:r>
      <w:r>
        <w:rPr>
          <w:spacing w:val="1"/>
          <w:vertAlign w:val="baseline"/>
        </w:rPr>
        <w:t> </w:t>
      </w:r>
      <w:r>
        <w:rPr>
          <w:vertAlign w:val="baseline"/>
        </w:rPr>
        <w:t>range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long-range</w:t>
      </w:r>
      <w:r>
        <w:rPr>
          <w:spacing w:val="1"/>
          <w:vertAlign w:val="baseline"/>
        </w:rPr>
        <w:t> </w:t>
      </w:r>
      <w:r>
        <w:rPr>
          <w:vertAlign w:val="baseline"/>
        </w:rPr>
        <w:t>distances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 (Crews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vertAlign w:val="baseline"/>
        </w:rPr>
        <w:t>1998).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connection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"/>
          <w:vertAlign w:val="baseline"/>
        </w:rPr>
        <w:t> </w:t>
      </w:r>
      <w:r>
        <w:rPr>
          <w:vertAlign w:val="baseline"/>
        </w:rPr>
        <w:t>each</w:t>
      </w:r>
      <w:r>
        <w:rPr>
          <w:spacing w:val="1"/>
          <w:vertAlign w:val="baseline"/>
        </w:rPr>
        <w:t> </w:t>
      </w:r>
      <w:r>
        <w:rPr>
          <w:vertAlign w:val="baseline"/>
        </w:rPr>
        <w:t>carbon</w:t>
      </w:r>
      <w:r>
        <w:rPr>
          <w:spacing w:val="1"/>
          <w:vertAlign w:val="baseline"/>
        </w:rPr>
        <w:t> </w:t>
      </w:r>
      <w:r>
        <w:rPr>
          <w:vertAlign w:val="baseline"/>
        </w:rPr>
        <w:t>atom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attached hydrogen atom (s) was unambiguously established using HSQC and long-range</w:t>
      </w:r>
      <w:r>
        <w:rPr>
          <w:spacing w:val="1"/>
          <w:vertAlign w:val="baseline"/>
        </w:rPr>
        <w:t> </w:t>
      </w:r>
      <w:r>
        <w:rPr>
          <w:vertAlign w:val="baseline"/>
        </w:rPr>
        <w:t>correlation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1"/>
          <w:vertAlign w:val="baseline"/>
        </w:rPr>
        <w:t> </w:t>
      </w:r>
      <w:r>
        <w:rPr>
          <w:vertAlign w:val="baseline"/>
        </w:rPr>
        <w:t>protons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carbon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established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HMBC,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led</w:t>
      </w:r>
      <w:r>
        <w:rPr>
          <w:spacing w:val="60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linking of sub-structural fragments (Table 4.6, Appendix 17). Protons at C2 - C3, C5‗-</w:t>
      </w:r>
      <w:r>
        <w:rPr>
          <w:spacing w:val="1"/>
          <w:vertAlign w:val="baseline"/>
        </w:rPr>
        <w:t> </w:t>
      </w:r>
      <w:r>
        <w:rPr>
          <w:vertAlign w:val="baseline"/>
        </w:rPr>
        <w:t>C6‗and</w:t>
      </w:r>
      <w:r>
        <w:rPr>
          <w:spacing w:val="1"/>
          <w:vertAlign w:val="baseline"/>
        </w:rPr>
        <w:t> </w:t>
      </w:r>
      <w:r>
        <w:rPr>
          <w:vertAlign w:val="baseline"/>
        </w:rPr>
        <w:t>C5‖-</w:t>
      </w:r>
      <w:r>
        <w:rPr>
          <w:spacing w:val="4"/>
          <w:vertAlign w:val="baseline"/>
        </w:rPr>
        <w:t> </w:t>
      </w:r>
      <w:r>
        <w:rPr>
          <w:vertAlign w:val="baseline"/>
        </w:rPr>
        <w:t>C6‖</w:t>
      </w:r>
      <w:r>
        <w:rPr>
          <w:spacing w:val="1"/>
          <w:vertAlign w:val="baseline"/>
        </w:rPr>
        <w:t> </w:t>
      </w:r>
      <w:r>
        <w:rPr>
          <w:vertAlign w:val="baseline"/>
        </w:rPr>
        <w:t>showed</w:t>
      </w:r>
      <w:r>
        <w:rPr>
          <w:spacing w:val="2"/>
          <w:vertAlign w:val="baseline"/>
        </w:rPr>
        <w:t> </w:t>
      </w:r>
      <w:r>
        <w:rPr>
          <w:vertAlign w:val="baseline"/>
        </w:rPr>
        <w:t>COSY</w:t>
      </w:r>
      <w:r>
        <w:rPr>
          <w:spacing w:val="2"/>
          <w:vertAlign w:val="baseline"/>
        </w:rPr>
        <w:t> </w:t>
      </w:r>
      <w:r>
        <w:rPr>
          <w:vertAlign w:val="baseline"/>
        </w:rPr>
        <w:t>correlation</w:t>
      </w:r>
      <w:r>
        <w:rPr>
          <w:spacing w:val="2"/>
          <w:vertAlign w:val="baseline"/>
        </w:rPr>
        <w:t> </w:t>
      </w:r>
      <w:r>
        <w:rPr>
          <w:vertAlign w:val="baseline"/>
        </w:rPr>
        <w:t>for</w:t>
      </w:r>
      <w:r>
        <w:rPr>
          <w:spacing w:val="3"/>
          <w:vertAlign w:val="baseline"/>
        </w:rPr>
        <w:t> </w:t>
      </w:r>
      <w:r>
        <w:rPr>
          <w:vertAlign w:val="baseline"/>
        </w:rPr>
        <w:t>both</w:t>
      </w:r>
      <w:r>
        <w:rPr>
          <w:spacing w:val="-3"/>
          <w:vertAlign w:val="baseline"/>
        </w:rPr>
        <w:t> </w:t>
      </w:r>
      <w:r>
        <w:rPr>
          <w:vertAlign w:val="baseline"/>
        </w:rPr>
        <w:t>P1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P2</w:t>
      </w:r>
      <w:r>
        <w:rPr>
          <w:spacing w:val="4"/>
          <w:vertAlign w:val="baseline"/>
        </w:rPr>
        <w:t> </w:t>
      </w:r>
      <w:r>
        <w:rPr>
          <w:vertAlign w:val="baseline"/>
        </w:rPr>
        <w:t>(Appendix</w:t>
      </w:r>
      <w:r>
        <w:rPr>
          <w:spacing w:val="-3"/>
          <w:vertAlign w:val="baseline"/>
        </w:rPr>
        <w:t> </w:t>
      </w:r>
      <w:r>
        <w:rPr>
          <w:vertAlign w:val="baseline"/>
        </w:rPr>
        <w:t>16).</w:t>
      </w:r>
    </w:p>
    <w:p>
      <w:pPr>
        <w:pStyle w:val="BodyText"/>
        <w:spacing w:line="477" w:lineRule="auto" w:before="205"/>
        <w:ind w:left="312" w:right="694"/>
        <w:jc w:val="both"/>
      </w:pPr>
      <w:r>
        <w:rPr/>
        <w:t>Mass spectral (MS) data further confirmed the structural assignments using the NMR. The</w:t>
      </w:r>
      <w:r>
        <w:rPr>
          <w:spacing w:val="-57"/>
        </w:rPr>
        <w:t> </w:t>
      </w:r>
      <w:r>
        <w:rPr/>
        <w:t>MS data of the compounds indicated the molecular ion peak (m/z) corresponding to their</w:t>
      </w:r>
      <w:r>
        <w:rPr>
          <w:spacing w:val="1"/>
        </w:rPr>
        <w:t> </w:t>
      </w:r>
      <w:r>
        <w:rPr/>
        <w:t>molecular weight. The molecular ion peaks (M+1)</w:t>
      </w:r>
      <w:r>
        <w:rPr>
          <w:vertAlign w:val="superscript"/>
        </w:rPr>
        <w:t>+</w:t>
      </w:r>
      <w:r>
        <w:rPr>
          <w:vertAlign w:val="baseline"/>
        </w:rPr>
        <w:t> are 389 and, 368 for P1 and, P13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-8"/>
          <w:vertAlign w:val="baseline"/>
        </w:rPr>
        <w:t> </w:t>
      </w:r>
      <w:r>
        <w:rPr>
          <w:vertAlign w:val="baseline"/>
        </w:rPr>
        <w:t>(Appendices</w:t>
      </w:r>
      <w:r>
        <w:rPr>
          <w:spacing w:val="1"/>
          <w:vertAlign w:val="baseline"/>
        </w:rPr>
        <w:t> </w:t>
      </w:r>
      <w:r>
        <w:rPr>
          <w:vertAlign w:val="baseline"/>
        </w:rPr>
        <w:t>19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23).</w:t>
      </w:r>
    </w:p>
    <w:p>
      <w:pPr>
        <w:pStyle w:val="Heading1"/>
        <w:numPr>
          <w:ilvl w:val="2"/>
          <w:numId w:val="22"/>
        </w:numPr>
        <w:tabs>
          <w:tab w:pos="870" w:val="left" w:leader="none"/>
        </w:tabs>
        <w:spacing w:line="242" w:lineRule="auto" w:before="213" w:after="0"/>
        <w:ind w:left="312" w:right="701" w:firstLine="0"/>
        <w:jc w:val="both"/>
      </w:pPr>
      <w:bookmarkStart w:name="_TOC_250016" w:id="77"/>
      <w:r>
        <w:rPr/>
        <w:t>Synthesis and characterization of 3-quinolinyl benzaldehyde Chalcones (P3, P4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bookmarkEnd w:id="77"/>
      <w:r>
        <w:rPr/>
        <w:t>P8)</w:t>
      </w:r>
    </w:p>
    <w:p>
      <w:pPr>
        <w:pStyle w:val="BodyText"/>
        <w:spacing w:line="480" w:lineRule="auto" w:before="192"/>
        <w:ind w:left="312" w:right="691"/>
        <w:jc w:val="both"/>
      </w:pPr>
      <w:r>
        <w:rPr/>
        <w:t>The percentage yield for P3, P4 and P8 are 57%, 78%, and 65% respectively (Table 4.5).</w:t>
      </w:r>
      <w:r>
        <w:rPr>
          <w:spacing w:val="1"/>
        </w:rPr>
        <w:t> </w:t>
      </w:r>
      <w:r>
        <w:rPr/>
        <w:t>Both compounds</w:t>
      </w:r>
      <w:r>
        <w:rPr>
          <w:spacing w:val="1"/>
        </w:rPr>
        <w:t> </w:t>
      </w:r>
      <w:r>
        <w:rPr/>
        <w:t>precipitate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mixtures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separated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purified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anti-</w:t>
      </w:r>
      <w:r>
        <w:rPr>
          <w:spacing w:val="1"/>
        </w:rPr>
        <w:t> </w:t>
      </w:r>
      <w:r>
        <w:rPr/>
        <w:t>solvent</w:t>
      </w:r>
      <w:r>
        <w:rPr>
          <w:spacing w:val="13"/>
        </w:rPr>
        <w:t> </w:t>
      </w:r>
      <w:r>
        <w:rPr/>
        <w:t>recrystallization.</w:t>
      </w:r>
      <w:r>
        <w:rPr>
          <w:spacing w:val="10"/>
        </w:rPr>
        <w:t> </w:t>
      </w:r>
      <w:r>
        <w:rPr/>
        <w:t>Completion</w:t>
      </w:r>
      <w:r>
        <w:rPr>
          <w:spacing w:val="4"/>
        </w:rPr>
        <w:t> </w:t>
      </w:r>
      <w:r>
        <w:rPr/>
        <w:t>of the</w:t>
      </w:r>
      <w:r>
        <w:rPr>
          <w:spacing w:val="8"/>
        </w:rPr>
        <w:t> </w:t>
      </w:r>
      <w:r>
        <w:rPr/>
        <w:t>reaction</w:t>
      </w:r>
      <w:r>
        <w:rPr>
          <w:spacing w:val="3"/>
        </w:rPr>
        <w:t> </w:t>
      </w:r>
      <w:r>
        <w:rPr/>
        <w:t>was</w:t>
      </w:r>
      <w:r>
        <w:rPr>
          <w:spacing w:val="7"/>
        </w:rPr>
        <w:t> </w:t>
      </w:r>
      <w:r>
        <w:rPr/>
        <w:t>established</w:t>
      </w:r>
      <w:r>
        <w:rPr>
          <w:spacing w:val="8"/>
        </w:rPr>
        <w:t> </w:t>
      </w:r>
      <w:r>
        <w:rPr/>
        <w:t>by</w:t>
      </w:r>
      <w:r>
        <w:rPr>
          <w:spacing w:val="4"/>
        </w:rPr>
        <w:t> </w:t>
      </w:r>
      <w:r>
        <w:rPr/>
        <w:t>the</w:t>
      </w:r>
      <w:r>
        <w:rPr>
          <w:spacing w:val="7"/>
        </w:rPr>
        <w:t> </w:t>
      </w:r>
      <w:r>
        <w:rPr/>
        <w:t>disappearance</w:t>
      </w:r>
    </w:p>
    <w:p>
      <w:pPr>
        <w:spacing w:after="0" w:line="480" w:lineRule="auto"/>
        <w:jc w:val="both"/>
        <w:sectPr>
          <w:headerReference w:type="default" r:id="rId389"/>
          <w:footerReference w:type="default" r:id="rId39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1"/>
        <w:jc w:val="both"/>
      </w:pPr>
      <w:r>
        <w:rPr/>
        <w:t>of spots due to reactants on the thin layer chromatogram and appearance of a new spot due</w:t>
      </w:r>
      <w:r>
        <w:rPr>
          <w:spacing w:val="-57"/>
        </w:rPr>
        <w:t> </w:t>
      </w:r>
      <w:r>
        <w:rPr/>
        <w:t>to product. P3appeared as light-yellow crystal, while P4 and P8are Yellow cotton-like.The</w:t>
      </w:r>
      <w:r>
        <w:rPr>
          <w:spacing w:val="-57"/>
        </w:rPr>
        <w:t> </w:t>
      </w:r>
      <w:r>
        <w:rPr/>
        <w:t>sharp</w:t>
      </w:r>
      <w:r>
        <w:rPr>
          <w:spacing w:val="1"/>
        </w:rPr>
        <w:t> </w:t>
      </w:r>
      <w:r>
        <w:rPr/>
        <w:t>melting</w:t>
      </w:r>
      <w:r>
        <w:rPr>
          <w:spacing w:val="1"/>
        </w:rPr>
        <w:t> </w:t>
      </w:r>
      <w:r>
        <w:rPr/>
        <w:t>point</w:t>
      </w:r>
      <w:r>
        <w:rPr>
          <w:spacing w:val="1"/>
        </w:rPr>
        <w:t> </w:t>
      </w:r>
      <w:r>
        <w:rPr/>
        <w:t>(Table 4.5)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 three compounds suggest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-1"/>
        </w:rPr>
        <w:t> </w:t>
      </w:r>
      <w:r>
        <w:rPr/>
        <w:t>have</w:t>
      </w:r>
      <w:r>
        <w:rPr>
          <w:spacing w:val="6"/>
        </w:rPr>
        <w:t> </w:t>
      </w:r>
      <w:r>
        <w:rPr/>
        <w:t>high</w:t>
      </w:r>
      <w:r>
        <w:rPr>
          <w:spacing w:val="-3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purity</w:t>
      </w:r>
      <w:r>
        <w:rPr>
          <w:spacing w:val="-8"/>
        </w:rPr>
        <w:t> </w:t>
      </w:r>
      <w:r>
        <w:rPr/>
        <w:t>(Vogel,</w:t>
      </w:r>
      <w:r>
        <w:rPr>
          <w:spacing w:val="4"/>
        </w:rPr>
        <w:t> </w:t>
      </w:r>
      <w:r>
        <w:rPr/>
        <w:t>1956).</w:t>
      </w:r>
    </w:p>
    <w:p>
      <w:pPr>
        <w:pStyle w:val="BodyText"/>
        <w:spacing w:line="480" w:lineRule="auto" w:before="202"/>
        <w:ind w:left="312" w:right="691"/>
        <w:jc w:val="both"/>
      </w:pPr>
      <w:r>
        <w:rPr/>
        <w:t>The FT-IR data (Appendices24,</w:t>
      </w:r>
      <w:r>
        <w:rPr>
          <w:spacing w:val="1"/>
        </w:rPr>
        <w:t> </w:t>
      </w:r>
      <w:r>
        <w:rPr/>
        <w:t>31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39)</w:t>
      </w:r>
      <w:r>
        <w:rPr>
          <w:spacing w:val="1"/>
        </w:rPr>
        <w:t> </w:t>
      </w:r>
      <w:r>
        <w:rPr/>
        <w:t>were as described</w:t>
      </w:r>
      <w:r>
        <w:rPr>
          <w:spacing w:val="1"/>
        </w:rPr>
        <w:t> </w:t>
      </w:r>
      <w:r>
        <w:rPr/>
        <w:t>in section 5.3.1, with</w:t>
      </w:r>
      <w:r>
        <w:rPr>
          <w:spacing w:val="1"/>
        </w:rPr>
        <w:t> </w:t>
      </w:r>
      <w:r>
        <w:rPr/>
        <w:t>prominent carbonyl peak C=O appearing at 1613 cm</w:t>
      </w:r>
      <w:r>
        <w:rPr>
          <w:vertAlign w:val="superscript"/>
        </w:rPr>
        <w:t>-1</w:t>
      </w:r>
      <w:r>
        <w:rPr>
          <w:vertAlign w:val="baseline"/>
        </w:rPr>
        <w:t> and olefinic =C-H vibration at 2983</w:t>
      </w:r>
      <w:r>
        <w:rPr>
          <w:spacing w:val="-57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vertAlign w:val="baseline"/>
        </w:rPr>
        <w:t>. Sharp strong coupled absorption of C-O-C stretching also appeared at 1236 and 1017</w:t>
      </w:r>
      <w:r>
        <w:rPr>
          <w:spacing w:val="-57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vertAlign w:val="baseline"/>
        </w:rPr>
        <w:t>.</w:t>
      </w:r>
    </w:p>
    <w:p>
      <w:pPr>
        <w:pStyle w:val="BodyText"/>
        <w:spacing w:line="480" w:lineRule="auto" w:before="198"/>
        <w:ind w:left="312" w:right="686"/>
        <w:jc w:val="both"/>
      </w:pPr>
      <w:r>
        <w:rPr/>
        <w:t>The </w:t>
      </w:r>
      <w:r>
        <w:rPr>
          <w:vertAlign w:val="superscript"/>
        </w:rPr>
        <w:t>1</w:t>
      </w:r>
      <w:r>
        <w:rPr>
          <w:vertAlign w:val="baseline"/>
        </w:rPr>
        <w:t>HNMR, </w:t>
      </w:r>
      <w:r>
        <w:rPr>
          <w:vertAlign w:val="superscript"/>
        </w:rPr>
        <w:t>13</w:t>
      </w:r>
      <w:r>
        <w:rPr>
          <w:vertAlign w:val="baseline"/>
        </w:rPr>
        <w:t>CNMR and 2D-NMR spectra confirmed the structures of P3, P4, and P8</w:t>
      </w:r>
      <w:r>
        <w:rPr>
          <w:spacing w:val="1"/>
          <w:vertAlign w:val="baseline"/>
        </w:rPr>
        <w:t> </w:t>
      </w:r>
      <w:r>
        <w:rPr>
          <w:vertAlign w:val="baseline"/>
        </w:rPr>
        <w:t>(Table 4.7 and Appendices25, 32 and 40). In addition to the characteristics α,β-unsaturated</w:t>
      </w:r>
      <w:r>
        <w:rPr>
          <w:spacing w:val="-57"/>
          <w:vertAlign w:val="baseline"/>
        </w:rPr>
        <w:t> </w:t>
      </w:r>
      <w:r>
        <w:rPr>
          <w:vertAlign w:val="baseline"/>
        </w:rPr>
        <w:t>ketone</w:t>
      </w:r>
      <w:r>
        <w:rPr>
          <w:spacing w:val="34"/>
          <w:vertAlign w:val="baseline"/>
        </w:rPr>
        <w:t> </w:t>
      </w:r>
      <w:r>
        <w:rPr>
          <w:vertAlign w:val="baseline"/>
        </w:rPr>
        <w:t>linker</w:t>
      </w:r>
      <w:r>
        <w:rPr>
          <w:spacing w:val="33"/>
          <w:vertAlign w:val="baseline"/>
        </w:rPr>
        <w:t> </w:t>
      </w:r>
      <w:r>
        <w:rPr>
          <w:vertAlign w:val="baseline"/>
        </w:rPr>
        <w:t>protons</w:t>
      </w:r>
      <w:r>
        <w:rPr>
          <w:spacing w:val="29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30"/>
          <w:vertAlign w:val="baseline"/>
        </w:rPr>
        <w:t> </w:t>
      </w:r>
      <w:r>
        <w:rPr>
          <w:vertAlign w:val="baseline"/>
        </w:rPr>
        <w:t>as</w:t>
      </w:r>
      <w:r>
        <w:rPr>
          <w:spacing w:val="34"/>
          <w:vertAlign w:val="baseline"/>
        </w:rPr>
        <w:t> </w:t>
      </w:r>
      <w:r>
        <w:rPr>
          <w:vertAlign w:val="baseline"/>
        </w:rPr>
        <w:t>doublets</w:t>
      </w:r>
      <w:r>
        <w:rPr>
          <w:spacing w:val="34"/>
          <w:vertAlign w:val="baseline"/>
        </w:rPr>
        <w:t> </w:t>
      </w:r>
      <w:r>
        <w:rPr>
          <w:vertAlign w:val="baseline"/>
        </w:rPr>
        <w:t>in</w:t>
      </w:r>
      <w:r>
        <w:rPr>
          <w:spacing w:val="26"/>
          <w:vertAlign w:val="baseline"/>
        </w:rPr>
        <w:t> </w:t>
      </w:r>
      <w:r>
        <w:rPr>
          <w:vertAlign w:val="baseline"/>
        </w:rPr>
        <w:t>the</w:t>
      </w:r>
      <w:r>
        <w:rPr>
          <w:spacing w:val="31"/>
          <w:vertAlign w:val="baseline"/>
        </w:rPr>
        <w:t> </w:t>
      </w:r>
      <w:r>
        <w:rPr>
          <w:vertAlign w:val="baseline"/>
        </w:rPr>
        <w:t>region</w:t>
      </w:r>
      <w:r>
        <w:rPr>
          <w:spacing w:val="27"/>
          <w:vertAlign w:val="baseline"/>
        </w:rPr>
        <w:t> </w:t>
      </w:r>
      <w:r>
        <w:rPr>
          <w:vertAlign w:val="baseline"/>
        </w:rPr>
        <w:t>of</w:t>
      </w:r>
      <w:r>
        <w:rPr>
          <w:spacing w:val="24"/>
          <w:vertAlign w:val="baseline"/>
        </w:rPr>
        <w:t> </w:t>
      </w:r>
      <w:r>
        <w:rPr>
          <w:vertAlign w:val="baseline"/>
        </w:rPr>
        <w:t>6.81</w:t>
      </w:r>
      <w:r>
        <w:rPr>
          <w:spacing w:val="33"/>
          <w:vertAlign w:val="baseline"/>
        </w:rPr>
        <w:t> </w:t>
      </w:r>
      <w:r>
        <w:rPr>
          <w:vertAlign w:val="baseline"/>
        </w:rPr>
        <w:t>–</w:t>
      </w:r>
      <w:r>
        <w:rPr>
          <w:spacing w:val="32"/>
          <w:vertAlign w:val="baseline"/>
        </w:rPr>
        <w:t> </w:t>
      </w:r>
      <w:r>
        <w:rPr>
          <w:vertAlign w:val="baseline"/>
        </w:rPr>
        <w:t>7.72ppm</w:t>
      </w:r>
      <w:r>
        <w:rPr>
          <w:spacing w:val="22"/>
          <w:vertAlign w:val="baseline"/>
        </w:rPr>
        <w:t> </w:t>
      </w:r>
      <w:r>
        <w:rPr>
          <w:vertAlign w:val="baseline"/>
        </w:rPr>
        <w:t>(H-</w:t>
      </w:r>
      <w:r>
        <w:rPr>
          <w:spacing w:val="32"/>
          <w:vertAlign w:val="baseline"/>
        </w:rPr>
        <w:t> </w:t>
      </w:r>
      <w:r>
        <w:rPr>
          <w:vertAlign w:val="baseline"/>
        </w:rPr>
        <w:t>α)</w:t>
      </w:r>
      <w:r>
        <w:rPr>
          <w:spacing w:val="33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spacing w:line="480" w:lineRule="auto" w:before="1"/>
        <w:ind w:left="312" w:right="688"/>
        <w:jc w:val="both"/>
      </w:pPr>
      <w:r>
        <w:rPr/>
        <w:t>7.84 - 8.03 ppm (H- β) with coupling constants of 15.9-20 Hz (</w:t>
      </w:r>
      <w:r>
        <w:rPr>
          <w:i/>
        </w:rPr>
        <w:t>trans</w:t>
      </w:r>
      <w:r>
        <w:rPr/>
        <w:t>-isomers) and the</w:t>
      </w:r>
      <w:r>
        <w:rPr>
          <w:spacing w:val="1"/>
        </w:rPr>
        <w:t> </w:t>
      </w:r>
      <w:r>
        <w:rPr/>
        <w:t>methoxy protons as singlet at the region of 3.38 – 4.09 ppm, the rest of the protons appear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 expected regions with their usual coupling constants. A noticeable observation is</w:t>
      </w:r>
      <w:r>
        <w:rPr>
          <w:spacing w:val="1"/>
        </w:rPr>
        <w:t> </w:t>
      </w:r>
      <w:r>
        <w:rPr/>
        <w:t>the</w:t>
      </w:r>
      <w:r>
        <w:rPr>
          <w:spacing w:val="10"/>
        </w:rPr>
        <w:t> </w:t>
      </w:r>
      <w:r>
        <w:rPr/>
        <w:t>appearance</w:t>
      </w:r>
      <w:r>
        <w:rPr>
          <w:spacing w:val="14"/>
        </w:rPr>
        <w:t> </w:t>
      </w:r>
      <w:r>
        <w:rPr/>
        <w:t>of</w:t>
      </w:r>
      <w:r>
        <w:rPr>
          <w:spacing w:val="7"/>
        </w:rPr>
        <w:t> </w:t>
      </w:r>
      <w:r>
        <w:rPr/>
        <w:t>C4‖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C5‖</w:t>
      </w:r>
      <w:r>
        <w:rPr>
          <w:spacing w:val="10"/>
        </w:rPr>
        <w:t> </w:t>
      </w:r>
      <w:r>
        <w:rPr/>
        <w:t>protons</w:t>
      </w:r>
      <w:r>
        <w:rPr>
          <w:spacing w:val="8"/>
        </w:rPr>
        <w:t> </w:t>
      </w:r>
      <w:r>
        <w:rPr/>
        <w:t>up-field</w:t>
      </w:r>
      <w:r>
        <w:rPr>
          <w:spacing w:val="16"/>
        </w:rPr>
        <w:t> </w:t>
      </w:r>
      <w:r>
        <w:rPr/>
        <w:t>for</w:t>
      </w:r>
      <w:r>
        <w:rPr>
          <w:spacing w:val="12"/>
        </w:rPr>
        <w:t> </w:t>
      </w:r>
      <w:r>
        <w:rPr/>
        <w:t>P3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P8.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two</w:t>
      </w:r>
      <w:r>
        <w:rPr>
          <w:spacing w:val="16"/>
        </w:rPr>
        <w:t> </w:t>
      </w:r>
      <w:r>
        <w:rPr/>
        <w:t>protons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P3</w:t>
      </w:r>
      <w:r>
        <w:rPr>
          <w:spacing w:val="10"/>
        </w:rPr>
        <w:t> </w:t>
      </w:r>
      <w:r>
        <w:rPr/>
        <w:t>are</w:t>
      </w:r>
      <w:r>
        <w:rPr>
          <w:spacing w:val="-58"/>
        </w:rPr>
        <w:t> </w:t>
      </w:r>
      <w:r>
        <w:rPr/>
        <w:t>at</w:t>
      </w:r>
      <w:r>
        <w:rPr>
          <w:spacing w:val="1"/>
        </w:rPr>
        <w:t> </w:t>
      </w:r>
      <w:r>
        <w:rPr/>
        <w:t>4.93 and 4.79ppm for C4‖ and C5‖ respectively.</w:t>
      </w:r>
      <w:r>
        <w:rPr>
          <w:spacing w:val="60"/>
        </w:rPr>
        <w:t> </w:t>
      </w:r>
      <w:r>
        <w:rPr/>
        <w:t>And,</w:t>
      </w:r>
      <w:r>
        <w:rPr>
          <w:spacing w:val="60"/>
        </w:rPr>
        <w:t> </w:t>
      </w:r>
      <w:r>
        <w:rPr/>
        <w:t>for P8 the C4‖ and C5‖ protons</w:t>
      </w:r>
      <w:r>
        <w:rPr>
          <w:spacing w:val="1"/>
        </w:rPr>
        <w:t> </w:t>
      </w:r>
      <w:r>
        <w:rPr/>
        <w:t>are at 4.97 and 4.86 ppm respectively. The shift of delta value could be explained by the</w:t>
      </w:r>
      <w:r>
        <w:rPr>
          <w:spacing w:val="1"/>
        </w:rPr>
        <w:t> </w:t>
      </w:r>
      <w:r>
        <w:rPr/>
        <w:t>strong influence of electron donating methoxy group at C6" position causing a shielding</w:t>
      </w:r>
      <w:r>
        <w:rPr>
          <w:spacing w:val="1"/>
        </w:rPr>
        <w:t> </w:t>
      </w:r>
      <w:r>
        <w:rPr/>
        <w:t>effect.</w:t>
      </w:r>
    </w:p>
    <w:p>
      <w:pPr>
        <w:pStyle w:val="BodyText"/>
        <w:spacing w:line="480" w:lineRule="auto" w:before="203"/>
        <w:ind w:left="312" w:right="690"/>
        <w:jc w:val="both"/>
      </w:pPr>
      <w:r>
        <w:rPr/>
        <w:t>Additional support for the structures of P3, P4, and P8 also comes from the </w:t>
      </w:r>
      <w:r>
        <w:rPr>
          <w:vertAlign w:val="superscript"/>
        </w:rPr>
        <w:t>13</w:t>
      </w:r>
      <w:r>
        <w:rPr>
          <w:vertAlign w:val="baseline"/>
        </w:rPr>
        <w:t>CNMR</w:t>
      </w:r>
      <w:r>
        <w:rPr>
          <w:spacing w:val="1"/>
          <w:vertAlign w:val="baseline"/>
        </w:rPr>
        <w:t> </w:t>
      </w:r>
      <w:r>
        <w:rPr>
          <w:vertAlign w:val="baseline"/>
        </w:rPr>
        <w:t>spectra (Table 4.7 and Appendices26, 33 and 41), where the carbonyl carbon (C=O)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α,β-unsaturated ketone linker is observed in the region 196.42, 189.55, 197.91 ppm for P3,</w:t>
      </w:r>
      <w:r>
        <w:rPr>
          <w:spacing w:val="-57"/>
          <w:vertAlign w:val="baseline"/>
        </w:rPr>
        <w:t> </w:t>
      </w:r>
      <w:r>
        <w:rPr>
          <w:vertAlign w:val="baseline"/>
        </w:rPr>
        <w:t>P4, and P8 respectively. Also,the α and β- carbon atoms with respect to the carbonyl group</w:t>
      </w:r>
      <w:r>
        <w:rPr>
          <w:spacing w:val="-57"/>
          <w:vertAlign w:val="baseline"/>
        </w:rPr>
        <w:t> </w:t>
      </w:r>
      <w:r>
        <w:rPr>
          <w:vertAlign w:val="baseline"/>
        </w:rPr>
        <w:t>give rise to characteristic signals in between δ 104.86-131.50 ppm and δ 135.08-136.24</w:t>
      </w:r>
      <w:r>
        <w:rPr>
          <w:spacing w:val="1"/>
          <w:vertAlign w:val="baseline"/>
        </w:rPr>
        <w:t> </w:t>
      </w:r>
      <w:r>
        <w:rPr>
          <w:vertAlign w:val="baseline"/>
        </w:rPr>
        <w:t>ppm</w:t>
      </w:r>
      <w:r>
        <w:rPr>
          <w:spacing w:val="-8"/>
          <w:vertAlign w:val="baseline"/>
        </w:rPr>
        <w:t> </w:t>
      </w:r>
      <w:r>
        <w:rPr>
          <w:vertAlign w:val="baseline"/>
        </w:rPr>
        <w:t>respectively.</w:t>
      </w:r>
    </w:p>
    <w:p>
      <w:pPr>
        <w:spacing w:after="0" w:line="480" w:lineRule="auto"/>
        <w:jc w:val="both"/>
        <w:sectPr>
          <w:headerReference w:type="default" r:id="rId391"/>
          <w:footerReference w:type="default" r:id="rId39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The positions of all carbon atoms in P3, P4, and P8 have</w:t>
      </w:r>
      <w:r>
        <w:rPr>
          <w:spacing w:val="1"/>
        </w:rPr>
        <w:t> </w:t>
      </w:r>
      <w:r>
        <w:rPr/>
        <w:t>been assigned</w:t>
      </w:r>
      <w:r>
        <w:rPr>
          <w:spacing w:val="1"/>
        </w:rPr>
        <w:t> </w:t>
      </w:r>
      <w:r>
        <w:rPr/>
        <w:t>(Table 4.7,</w:t>
      </w:r>
      <w:r>
        <w:rPr>
          <w:spacing w:val="1"/>
        </w:rPr>
        <w:t> </w:t>
      </w:r>
      <w:r>
        <w:rPr/>
        <w:t>Appendices26, 33, and 41). The spectroscopic differences between P4 devoid of methoxy</w:t>
      </w:r>
      <w:r>
        <w:rPr>
          <w:spacing w:val="1"/>
        </w:rPr>
        <w:t> </w:t>
      </w:r>
      <w:r>
        <w:rPr/>
        <w:t>group at</w:t>
      </w:r>
      <w:r>
        <w:rPr>
          <w:spacing w:val="60"/>
        </w:rPr>
        <w:t> </w:t>
      </w:r>
      <w:r>
        <w:rPr/>
        <w:t>C6‖ and P3, P8 with a</w:t>
      </w:r>
      <w:r>
        <w:rPr>
          <w:spacing w:val="60"/>
        </w:rPr>
        <w:t> </w:t>
      </w:r>
      <w:r>
        <w:rPr/>
        <w:t>methoxy group at the C6‖ position was noteworthy.</w:t>
      </w:r>
      <w:r>
        <w:rPr>
          <w:spacing w:val="1"/>
        </w:rPr>
        <w:t> </w:t>
      </w:r>
      <w:r>
        <w:rPr/>
        <w:t>Indeed, the presence of the methoxy group had strongly influenced both the </w:t>
      </w:r>
      <w:r>
        <w:rPr>
          <w:vertAlign w:val="superscript"/>
        </w:rPr>
        <w:t>1</w:t>
      </w:r>
      <w:r>
        <w:rPr>
          <w:vertAlign w:val="baseline"/>
        </w:rPr>
        <w:t>HNMR, and</w:t>
      </w:r>
      <w:r>
        <w:rPr>
          <w:spacing w:val="1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 NMR. The nature of carbon atoms (CH</w:t>
      </w:r>
      <w:r>
        <w:rPr>
          <w:vertAlign w:val="subscript"/>
        </w:rPr>
        <w:t>3</w:t>
      </w:r>
      <w:r>
        <w:rPr>
          <w:vertAlign w:val="baseline"/>
        </w:rPr>
        <w:t>- or –CH) was established by means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Distortionless</w:t>
      </w:r>
      <w:r>
        <w:rPr>
          <w:spacing w:val="24"/>
          <w:vertAlign w:val="baseline"/>
        </w:rPr>
        <w:t> </w:t>
      </w:r>
      <w:r>
        <w:rPr>
          <w:vertAlign w:val="baseline"/>
        </w:rPr>
        <w:t>Enhancement</w:t>
      </w:r>
      <w:r>
        <w:rPr>
          <w:spacing w:val="32"/>
          <w:vertAlign w:val="baseline"/>
        </w:rPr>
        <w:t> </w:t>
      </w:r>
      <w:r>
        <w:rPr>
          <w:vertAlign w:val="baseline"/>
        </w:rPr>
        <w:t>by</w:t>
      </w:r>
      <w:r>
        <w:rPr>
          <w:spacing w:val="18"/>
          <w:vertAlign w:val="baseline"/>
        </w:rPr>
        <w:t> </w:t>
      </w:r>
      <w:r>
        <w:rPr>
          <w:vertAlign w:val="baseline"/>
        </w:rPr>
        <w:t>Polarization</w:t>
      </w:r>
      <w:r>
        <w:rPr>
          <w:spacing w:val="23"/>
          <w:vertAlign w:val="baseline"/>
        </w:rPr>
        <w:t> </w:t>
      </w:r>
      <w:r>
        <w:rPr>
          <w:vertAlign w:val="baseline"/>
        </w:rPr>
        <w:t>Transfer</w:t>
      </w:r>
      <w:r>
        <w:rPr>
          <w:spacing w:val="29"/>
          <w:vertAlign w:val="baseline"/>
        </w:rPr>
        <w:t> </w:t>
      </w:r>
      <w:r>
        <w:rPr>
          <w:vertAlign w:val="baseline"/>
        </w:rPr>
        <w:t>(DEPT)</w:t>
      </w:r>
      <w:r>
        <w:rPr>
          <w:spacing w:val="28"/>
          <w:vertAlign w:val="baseline"/>
        </w:rPr>
        <w:t> </w:t>
      </w:r>
      <w:r>
        <w:rPr>
          <w:vertAlign w:val="baseline"/>
        </w:rPr>
        <w:t>spectroscopy</w:t>
      </w:r>
      <w:r>
        <w:rPr>
          <w:spacing w:val="18"/>
          <w:vertAlign w:val="baseline"/>
        </w:rPr>
        <w:t> </w:t>
      </w:r>
      <w:r>
        <w:rPr>
          <w:vertAlign w:val="baseline"/>
        </w:rPr>
        <w:t>as</w:t>
      </w:r>
      <w:r>
        <w:rPr>
          <w:spacing w:val="29"/>
          <w:vertAlign w:val="baseline"/>
        </w:rPr>
        <w:t> </w:t>
      </w:r>
      <w:r>
        <w:rPr>
          <w:vertAlign w:val="baseline"/>
        </w:rPr>
        <w:t>in</w:t>
      </w:r>
      <w:r>
        <w:rPr>
          <w:spacing w:val="27"/>
          <w:vertAlign w:val="baseline"/>
        </w:rPr>
        <w:t> </w:t>
      </w:r>
      <w:r>
        <w:rPr>
          <w:vertAlign w:val="baseline"/>
        </w:rPr>
        <w:t>section</w:t>
      </w:r>
    </w:p>
    <w:p>
      <w:pPr>
        <w:pStyle w:val="BodyText"/>
        <w:spacing w:line="480" w:lineRule="auto" w:before="1"/>
        <w:ind w:left="312" w:right="692"/>
        <w:jc w:val="both"/>
      </w:pPr>
      <w:r>
        <w:rPr/>
        <w:t>5.3.1 (Appendices27, 34 and 42). The two-dimensional (COSY, HSQC and HMBC) NMR</w:t>
      </w:r>
      <w:r>
        <w:rPr>
          <w:spacing w:val="-57"/>
        </w:rPr>
        <w:t> </w:t>
      </w:r>
      <w:r>
        <w:rPr/>
        <w:t>spectroscopic data confirmed the tentative structural assignment that was made using </w:t>
      </w: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1"/>
          <w:vertAlign w:val="baseline"/>
        </w:rPr>
        <w:t> </w:t>
      </w:r>
      <w:r>
        <w:rPr>
          <w:vertAlign w:val="baseline"/>
        </w:rPr>
        <w:t>and </w:t>
      </w:r>
      <w:r>
        <w:rPr>
          <w:vertAlign w:val="superscript"/>
        </w:rPr>
        <w:t>13</w:t>
      </w:r>
      <w:r>
        <w:rPr>
          <w:vertAlign w:val="baseline"/>
        </w:rPr>
        <w:t>C NMR for both compounds (Table 4.7). The connection between each carbon atom</w:t>
      </w:r>
      <w:r>
        <w:rPr>
          <w:spacing w:val="1"/>
          <w:vertAlign w:val="baseline"/>
        </w:rPr>
        <w:t> </w:t>
      </w:r>
      <w:r>
        <w:rPr>
          <w:vertAlign w:val="baseline"/>
        </w:rPr>
        <w:t>and the attached hydrogen atom (atoms) was unambiguously established using HSQC and</w:t>
      </w:r>
      <w:r>
        <w:rPr>
          <w:spacing w:val="1"/>
          <w:vertAlign w:val="baseline"/>
        </w:rPr>
        <w:t> </w:t>
      </w:r>
      <w:r>
        <w:rPr>
          <w:vertAlign w:val="baseline"/>
        </w:rPr>
        <w:t>long-range correlation between protons and carbon was established using HMBC, which</w:t>
      </w:r>
      <w:r>
        <w:rPr>
          <w:spacing w:val="1"/>
          <w:vertAlign w:val="baseline"/>
        </w:rPr>
        <w:t> </w:t>
      </w:r>
      <w:r>
        <w:rPr>
          <w:vertAlign w:val="baseline"/>
        </w:rPr>
        <w:t>led to linking of sub-structuralfragments (Table 4.7 and Appendices29, 30, 36, 37, 44 and</w:t>
      </w:r>
      <w:r>
        <w:rPr>
          <w:spacing w:val="1"/>
          <w:vertAlign w:val="baseline"/>
        </w:rPr>
        <w:t> </w:t>
      </w:r>
      <w:r>
        <w:rPr>
          <w:vertAlign w:val="baseline"/>
        </w:rPr>
        <w:t>45). COSY correlation wasobserved on protons at C3‗–C5‗, C5‗- C6‗, C4‖- C5‖and C7‖-</w:t>
      </w:r>
      <w:r>
        <w:rPr>
          <w:spacing w:val="1"/>
          <w:vertAlign w:val="baseline"/>
        </w:rPr>
        <w:t> </w:t>
      </w:r>
      <w:r>
        <w:rPr>
          <w:vertAlign w:val="baseline"/>
        </w:rPr>
        <w:t>C8‖ for P3 (Appendix 28), C5‗- C6‗, C4‖- C5‖ and C7‖- C8‖ for P8 (Appendix 43) and,</w:t>
      </w:r>
      <w:r>
        <w:rPr>
          <w:spacing w:val="1"/>
          <w:vertAlign w:val="baseline"/>
        </w:rPr>
        <w:t> </w:t>
      </w:r>
      <w:r>
        <w:rPr>
          <w:vertAlign w:val="baseline"/>
        </w:rPr>
        <w:t>C2‗–C3‗,</w:t>
      </w:r>
      <w:r>
        <w:rPr>
          <w:spacing w:val="4"/>
          <w:vertAlign w:val="baseline"/>
        </w:rPr>
        <w:t> </w:t>
      </w:r>
      <w:r>
        <w:rPr>
          <w:vertAlign w:val="baseline"/>
        </w:rPr>
        <w:t>C5‗-</w:t>
      </w:r>
      <w:r>
        <w:rPr>
          <w:spacing w:val="5"/>
          <w:vertAlign w:val="baseline"/>
        </w:rPr>
        <w:t> </w:t>
      </w:r>
      <w:r>
        <w:rPr>
          <w:vertAlign w:val="baseline"/>
        </w:rPr>
        <w:t>C6‗,</w:t>
      </w:r>
      <w:r>
        <w:rPr>
          <w:spacing w:val="4"/>
          <w:vertAlign w:val="baseline"/>
        </w:rPr>
        <w:t> </w:t>
      </w:r>
      <w:r>
        <w:rPr>
          <w:vertAlign w:val="baseline"/>
        </w:rPr>
        <w:t>C5‖-</w:t>
      </w:r>
      <w:r>
        <w:rPr>
          <w:spacing w:val="5"/>
          <w:vertAlign w:val="baseline"/>
        </w:rPr>
        <w:t> </w:t>
      </w:r>
      <w:r>
        <w:rPr>
          <w:vertAlign w:val="baseline"/>
        </w:rPr>
        <w:t>C6‖,</w:t>
      </w:r>
      <w:r>
        <w:rPr>
          <w:spacing w:val="4"/>
          <w:vertAlign w:val="baseline"/>
        </w:rPr>
        <w:t> </w:t>
      </w:r>
      <w:r>
        <w:rPr>
          <w:vertAlign w:val="baseline"/>
        </w:rPr>
        <w:t>C6‖-</w:t>
      </w:r>
      <w:r>
        <w:rPr>
          <w:spacing w:val="5"/>
          <w:vertAlign w:val="baseline"/>
        </w:rPr>
        <w:t> </w:t>
      </w:r>
      <w:r>
        <w:rPr>
          <w:vertAlign w:val="baseline"/>
        </w:rPr>
        <w:t>C7‖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3"/>
          <w:vertAlign w:val="baseline"/>
        </w:rPr>
        <w:t> </w:t>
      </w:r>
      <w:r>
        <w:rPr>
          <w:vertAlign w:val="baseline"/>
        </w:rPr>
        <w:t>C7‖-</w:t>
      </w:r>
      <w:r>
        <w:rPr>
          <w:spacing w:val="-1"/>
          <w:vertAlign w:val="baseline"/>
        </w:rPr>
        <w:t> </w:t>
      </w:r>
      <w:r>
        <w:rPr>
          <w:vertAlign w:val="baseline"/>
        </w:rPr>
        <w:t>C8‖</w:t>
      </w:r>
      <w:r>
        <w:rPr>
          <w:spacing w:val="7"/>
          <w:vertAlign w:val="baseline"/>
        </w:rPr>
        <w:t> </w:t>
      </w:r>
      <w:r>
        <w:rPr>
          <w:vertAlign w:val="baseline"/>
        </w:rPr>
        <w:t>for</w:t>
      </w:r>
      <w:r>
        <w:rPr>
          <w:spacing w:val="4"/>
          <w:vertAlign w:val="baseline"/>
        </w:rPr>
        <w:t> </w:t>
      </w:r>
      <w:r>
        <w:rPr>
          <w:vertAlign w:val="baseline"/>
        </w:rPr>
        <w:t>P4(Appendix 35).</w:t>
      </w:r>
    </w:p>
    <w:p>
      <w:pPr>
        <w:pStyle w:val="Heading1"/>
        <w:numPr>
          <w:ilvl w:val="2"/>
          <w:numId w:val="23"/>
        </w:numPr>
        <w:tabs>
          <w:tab w:pos="865" w:val="left" w:leader="none"/>
        </w:tabs>
        <w:spacing w:line="237" w:lineRule="auto" w:before="210" w:after="0"/>
        <w:ind w:left="312" w:right="703" w:firstLine="0"/>
        <w:jc w:val="both"/>
      </w:pPr>
      <w:r>
        <w:rPr/>
        <w:t>Synthesis and characterization of 2,4–dimethoxy benzaldehyde Chalcones (P11,</w:t>
      </w:r>
      <w:r>
        <w:rPr>
          <w:spacing w:val="-57"/>
        </w:rPr>
        <w:t> </w:t>
      </w:r>
      <w:r>
        <w:rPr/>
        <w:t>P12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P17)</w:t>
      </w:r>
    </w:p>
    <w:p>
      <w:pPr>
        <w:pStyle w:val="BodyText"/>
        <w:spacing w:line="480" w:lineRule="auto" w:before="196"/>
        <w:ind w:left="312" w:right="691"/>
        <w:jc w:val="both"/>
      </w:pPr>
      <w:r>
        <w:rPr/>
        <w:t>The percentage yield for P11, P12 and P17 are 87%, 83.93%, and 37.50% respectively</w:t>
      </w:r>
      <w:r>
        <w:rPr>
          <w:spacing w:val="1"/>
        </w:rPr>
        <w:t> </w:t>
      </w:r>
      <w:r>
        <w:rPr/>
        <w:t>(Table</w:t>
      </w:r>
      <w:r>
        <w:rPr>
          <w:spacing w:val="1"/>
        </w:rPr>
        <w:t> </w:t>
      </w:r>
      <w:r>
        <w:rPr/>
        <w:t>4.5).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recrystallized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ethanol.</w:t>
      </w:r>
      <w:r>
        <w:rPr>
          <w:spacing w:val="1"/>
        </w:rPr>
        <w:t> </w:t>
      </w:r>
      <w:r>
        <w:rPr/>
        <w:t>Completion</w:t>
      </w:r>
      <w:r>
        <w:rPr>
          <w:spacing w:val="60"/>
        </w:rPr>
        <w:t> </w:t>
      </w:r>
      <w:r>
        <w:rPr/>
        <w:t>of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reaction was established by the disappearance of spots due to reactants on the thin layer</w:t>
      </w:r>
      <w:r>
        <w:rPr>
          <w:spacing w:val="1"/>
        </w:rPr>
        <w:t> </w:t>
      </w:r>
      <w:r>
        <w:rPr/>
        <w:t>chromatogram and appearance of a</w:t>
      </w:r>
      <w:r>
        <w:rPr>
          <w:spacing w:val="1"/>
        </w:rPr>
        <w:t> </w:t>
      </w:r>
      <w:r>
        <w:rPr/>
        <w:t>new spot</w:t>
      </w:r>
      <w:r>
        <w:rPr>
          <w:spacing w:val="1"/>
        </w:rPr>
        <w:t> </w:t>
      </w:r>
      <w:r>
        <w:rPr/>
        <w:t>due to</w:t>
      </w:r>
      <w:r>
        <w:rPr>
          <w:spacing w:val="1"/>
        </w:rPr>
        <w:t> </w:t>
      </w:r>
      <w:r>
        <w:rPr/>
        <w:t>product.</w:t>
      </w:r>
      <w:r>
        <w:rPr>
          <w:spacing w:val="60"/>
        </w:rPr>
        <w:t> </w:t>
      </w:r>
      <w:r>
        <w:rPr/>
        <w:t>P11, P12 and P17 appeared</w:t>
      </w:r>
      <w:r>
        <w:rPr>
          <w:spacing w:val="-57"/>
        </w:rPr>
        <w:t> </w:t>
      </w:r>
      <w:r>
        <w:rPr/>
        <w:t>as light-yellow solid, yellow wax-like solid and yellow crystals respectively. The sharp</w:t>
      </w:r>
      <w:r>
        <w:rPr>
          <w:spacing w:val="1"/>
        </w:rPr>
        <w:t> </w:t>
      </w:r>
      <w:r>
        <w:rPr/>
        <w:t>melting point (Table 4.5) observed with the three compounds suggest that the compounds</w:t>
      </w:r>
      <w:r>
        <w:rPr>
          <w:spacing w:val="1"/>
        </w:rPr>
        <w:t> </w:t>
      </w:r>
      <w:r>
        <w:rPr/>
        <w:t>have</w:t>
      </w:r>
      <w:r>
        <w:rPr>
          <w:spacing w:val="5"/>
        </w:rPr>
        <w:t> </w:t>
      </w:r>
      <w:r>
        <w:rPr/>
        <w:t>high</w:t>
      </w:r>
      <w:r>
        <w:rPr>
          <w:spacing w:val="-3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purity</w:t>
      </w:r>
      <w:r>
        <w:rPr>
          <w:spacing w:val="-8"/>
        </w:rPr>
        <w:t> </w:t>
      </w:r>
      <w:r>
        <w:rPr/>
        <w:t>(Vogel,</w:t>
      </w:r>
      <w:r>
        <w:rPr>
          <w:spacing w:val="4"/>
        </w:rPr>
        <w:t> </w:t>
      </w:r>
      <w:r>
        <w:rPr/>
        <w:t>1956).</w:t>
      </w:r>
    </w:p>
    <w:p>
      <w:pPr>
        <w:pStyle w:val="BodyText"/>
        <w:spacing w:line="480" w:lineRule="auto" w:before="203"/>
        <w:ind w:left="312" w:right="692"/>
        <w:jc w:val="both"/>
      </w:pPr>
      <w:r>
        <w:rPr/>
        <w:t>The</w:t>
      </w:r>
      <w:r>
        <w:rPr>
          <w:spacing w:val="1"/>
        </w:rPr>
        <w:t> </w:t>
      </w:r>
      <w:r>
        <w:rPr/>
        <w:t>FT-IR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(Appendices</w:t>
      </w:r>
      <w:r>
        <w:rPr>
          <w:spacing w:val="1"/>
        </w:rPr>
        <w:t> </w:t>
      </w:r>
      <w:r>
        <w:rPr/>
        <w:t>46,</w:t>
      </w:r>
      <w:r>
        <w:rPr>
          <w:spacing w:val="1"/>
        </w:rPr>
        <w:t> </w:t>
      </w:r>
      <w:r>
        <w:rPr/>
        <w:t>53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57)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section 5.3.1with</w:t>
      </w:r>
      <w:r>
        <w:rPr>
          <w:spacing w:val="1"/>
        </w:rPr>
        <w:t> </w:t>
      </w:r>
      <w:r>
        <w:rPr/>
        <w:t>prominent</w:t>
      </w:r>
      <w:r>
        <w:rPr>
          <w:spacing w:val="5"/>
        </w:rPr>
        <w:t> </w:t>
      </w:r>
      <w:r>
        <w:rPr/>
        <w:t>carbonyl</w:t>
      </w:r>
      <w:r>
        <w:rPr>
          <w:spacing w:val="-5"/>
        </w:rPr>
        <w:t> </w:t>
      </w:r>
      <w:r>
        <w:rPr/>
        <w:t>peak</w:t>
      </w:r>
      <w:r>
        <w:rPr>
          <w:spacing w:val="4"/>
        </w:rPr>
        <w:t> </w:t>
      </w:r>
      <w:r>
        <w:rPr/>
        <w:t>C=O</w:t>
      </w:r>
      <w:r>
        <w:rPr>
          <w:spacing w:val="-1"/>
        </w:rPr>
        <w:t> </w:t>
      </w:r>
      <w:r>
        <w:rPr/>
        <w:t>appearing</w:t>
      </w:r>
      <w:r>
        <w:rPr>
          <w:spacing w:val="1"/>
        </w:rPr>
        <w:t> </w:t>
      </w:r>
      <w:r>
        <w:rPr/>
        <w:t>at</w:t>
      </w:r>
      <w:r>
        <w:rPr>
          <w:spacing w:val="5"/>
        </w:rPr>
        <w:t> </w:t>
      </w:r>
      <w:r>
        <w:rPr/>
        <w:t>1647 cm</w:t>
      </w:r>
      <w:r>
        <w:rPr>
          <w:vertAlign w:val="superscript"/>
        </w:rPr>
        <w:t>-1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olefinic</w:t>
      </w:r>
      <w:r>
        <w:rPr>
          <w:spacing w:val="-1"/>
          <w:vertAlign w:val="baseline"/>
        </w:rPr>
        <w:t> </w:t>
      </w:r>
      <w:r>
        <w:rPr>
          <w:vertAlign w:val="baseline"/>
        </w:rPr>
        <w:t>=C-H</w:t>
      </w:r>
      <w:r>
        <w:rPr>
          <w:spacing w:val="4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6"/>
          <w:vertAlign w:val="baseline"/>
        </w:rPr>
        <w:t> </w:t>
      </w:r>
      <w:r>
        <w:rPr>
          <w:vertAlign w:val="baseline"/>
        </w:rPr>
        <w:t>3004</w:t>
      </w:r>
    </w:p>
    <w:p>
      <w:pPr>
        <w:spacing w:after="0" w:line="480" w:lineRule="auto"/>
        <w:jc w:val="both"/>
        <w:sectPr>
          <w:headerReference w:type="default" r:id="rId393"/>
          <w:footerReference w:type="default" r:id="rId394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110"/>
        <w:ind w:left="312" w:right="695"/>
        <w:jc w:val="both"/>
      </w:pPr>
      <w:r>
        <w:rPr/>
        <w:t>cm</w:t>
      </w:r>
      <w:r>
        <w:rPr>
          <w:vertAlign w:val="superscript"/>
        </w:rPr>
        <w:t>-1</w:t>
      </w:r>
      <w:r>
        <w:rPr>
          <w:vertAlign w:val="baseline"/>
        </w:rPr>
        <w:t>. Sharp strong coupled absorption of C-O-C stretching also appeared at 1207 and 1013</w:t>
      </w:r>
      <w:r>
        <w:rPr>
          <w:spacing w:val="-57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</w:t>
      </w:r>
      <w:r>
        <w:rPr>
          <w:vertAlign w:val="baseline"/>
        </w:rPr>
        <w:t>.</w:t>
      </w:r>
    </w:p>
    <w:p>
      <w:pPr>
        <w:pStyle w:val="BodyText"/>
        <w:spacing w:line="480" w:lineRule="auto" w:before="202"/>
        <w:ind w:left="312" w:right="686"/>
        <w:jc w:val="both"/>
      </w:pPr>
      <w:r>
        <w:rPr/>
        <w:t>The </w:t>
      </w:r>
      <w:r>
        <w:rPr>
          <w:vertAlign w:val="superscript"/>
        </w:rPr>
        <w:t>1</w:t>
      </w:r>
      <w:r>
        <w:rPr>
          <w:vertAlign w:val="baseline"/>
        </w:rPr>
        <w:t>HNMR, </w:t>
      </w:r>
      <w:r>
        <w:rPr>
          <w:vertAlign w:val="superscript"/>
        </w:rPr>
        <w:t>13</w:t>
      </w:r>
      <w:r>
        <w:rPr>
          <w:vertAlign w:val="baseline"/>
        </w:rPr>
        <w:t>CNMR and 2D-NMR (P11 only) spectra confirmed the structures of P11,</w:t>
      </w:r>
      <w:r>
        <w:rPr>
          <w:spacing w:val="1"/>
          <w:vertAlign w:val="baseline"/>
        </w:rPr>
        <w:t> </w:t>
      </w:r>
      <w:r>
        <w:rPr>
          <w:vertAlign w:val="baseline"/>
        </w:rPr>
        <w:t>P12 and P17 (Table 4.8). The characteristics α,β-unsaturated ketone linker protons as</w:t>
      </w:r>
      <w:r>
        <w:rPr>
          <w:spacing w:val="1"/>
          <w:vertAlign w:val="baseline"/>
        </w:rPr>
        <w:t> </w:t>
      </w:r>
      <w:r>
        <w:rPr>
          <w:vertAlign w:val="baseline"/>
        </w:rPr>
        <w:t>doublets were also observed in the region of 7.42</w:t>
      </w:r>
      <w:r>
        <w:rPr>
          <w:spacing w:val="60"/>
          <w:vertAlign w:val="baseline"/>
        </w:rPr>
        <w:t> </w:t>
      </w:r>
      <w:r>
        <w:rPr>
          <w:vertAlign w:val="baseline"/>
        </w:rPr>
        <w:t>– 7.93ppm (H- α) and 8.04 - 8.46ppm</w:t>
      </w:r>
      <w:r>
        <w:rPr>
          <w:spacing w:val="1"/>
          <w:vertAlign w:val="baseline"/>
        </w:rPr>
        <w:t> </w:t>
      </w:r>
      <w:r>
        <w:rPr>
          <w:vertAlign w:val="baseline"/>
        </w:rPr>
        <w:t>(H- β) with coupling constants of 14-16 Hz (</w:t>
      </w:r>
      <w:r>
        <w:rPr>
          <w:i/>
          <w:vertAlign w:val="baseline"/>
        </w:rPr>
        <w:t>trans</w:t>
      </w:r>
      <w:r>
        <w:rPr>
          <w:vertAlign w:val="baseline"/>
        </w:rPr>
        <w:t>-isomers) and the methoxy protons as</w:t>
      </w:r>
      <w:r>
        <w:rPr>
          <w:spacing w:val="1"/>
          <w:vertAlign w:val="baseline"/>
        </w:rPr>
        <w:t> </w:t>
      </w:r>
      <w:r>
        <w:rPr>
          <w:vertAlign w:val="baseline"/>
        </w:rPr>
        <w:t>singlet at the region of 3.81 – 4.43 ppm, the rest of the protons appear in their expected</w:t>
      </w:r>
      <w:r>
        <w:rPr>
          <w:spacing w:val="1"/>
          <w:vertAlign w:val="baseline"/>
        </w:rPr>
        <w:t> </w:t>
      </w:r>
      <w:r>
        <w:rPr>
          <w:vertAlign w:val="baseline"/>
        </w:rPr>
        <w:t>regions with their usual coupling constants (Table4.8 and, Appendices47, 54 and 58). For</w:t>
      </w:r>
      <w:r>
        <w:rPr>
          <w:spacing w:val="1"/>
          <w:vertAlign w:val="baseline"/>
        </w:rPr>
        <w:t> </w:t>
      </w:r>
      <w:r>
        <w:rPr>
          <w:vertAlign w:val="baseline"/>
        </w:rPr>
        <w:t>P12 with un-substituted ring A (acetophenone ring) the protons at C2‗and C6‗appeared at</w:t>
      </w:r>
      <w:r>
        <w:rPr>
          <w:spacing w:val="1"/>
          <w:vertAlign w:val="baseline"/>
        </w:rPr>
        <w:t> </w:t>
      </w:r>
      <w:r>
        <w:rPr>
          <w:vertAlign w:val="baseline"/>
        </w:rPr>
        <w:t>the same chemical environment of 7.98 ppm and those at C3‗and C5‗are also on the same</w:t>
      </w:r>
      <w:r>
        <w:rPr>
          <w:spacing w:val="1"/>
          <w:vertAlign w:val="baseline"/>
        </w:rPr>
        <w:t> </w:t>
      </w:r>
      <w:r>
        <w:rPr>
          <w:vertAlign w:val="baseline"/>
        </w:rPr>
        <w:t>environment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7.54</w:t>
      </w:r>
      <w:r>
        <w:rPr>
          <w:spacing w:val="1"/>
          <w:vertAlign w:val="baseline"/>
        </w:rPr>
        <w:t> </w:t>
      </w:r>
      <w:r>
        <w:rPr>
          <w:vertAlign w:val="baseline"/>
        </w:rPr>
        <w:t>ppm</w:t>
      </w:r>
      <w:r>
        <w:rPr>
          <w:spacing w:val="-7"/>
          <w:vertAlign w:val="baseline"/>
        </w:rPr>
        <w:t> </w:t>
      </w:r>
      <w:r>
        <w:rPr>
          <w:vertAlign w:val="baseline"/>
        </w:rPr>
        <w:t>(Table 4.8</w:t>
      </w:r>
      <w:r>
        <w:rPr>
          <w:spacing w:val="2"/>
          <w:vertAlign w:val="baseline"/>
        </w:rPr>
        <w:t> </w:t>
      </w:r>
      <w:r>
        <w:rPr>
          <w:vertAlign w:val="baseline"/>
        </w:rPr>
        <w:t>and,</w:t>
      </w:r>
      <w:r>
        <w:rPr>
          <w:spacing w:val="8"/>
          <w:vertAlign w:val="baseline"/>
        </w:rPr>
        <w:t> </w:t>
      </w:r>
      <w:r>
        <w:rPr>
          <w:vertAlign w:val="baseline"/>
        </w:rPr>
        <w:t>Appendices47,</w:t>
      </w:r>
      <w:r>
        <w:rPr>
          <w:spacing w:val="4"/>
          <w:vertAlign w:val="baseline"/>
        </w:rPr>
        <w:t> </w:t>
      </w:r>
      <w:r>
        <w:rPr>
          <w:vertAlign w:val="baseline"/>
        </w:rPr>
        <w:t>54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58).</w:t>
      </w:r>
    </w:p>
    <w:p>
      <w:pPr>
        <w:pStyle w:val="BodyText"/>
        <w:spacing w:line="480" w:lineRule="auto" w:before="199"/>
        <w:ind w:left="312" w:right="691"/>
        <w:jc w:val="both"/>
      </w:pPr>
      <w:r>
        <w:rPr/>
        <w:t>Furthermore, the </w:t>
      </w:r>
      <w:r>
        <w:rPr>
          <w:vertAlign w:val="superscript"/>
        </w:rPr>
        <w:t>13</w:t>
      </w:r>
      <w:r>
        <w:rPr>
          <w:vertAlign w:val="baseline"/>
        </w:rPr>
        <w:t>CNMR spectra (Table 4.8 and, Appendices48, 55 and 61) of the P11,</w:t>
      </w:r>
      <w:r>
        <w:rPr>
          <w:spacing w:val="1"/>
          <w:vertAlign w:val="baseline"/>
        </w:rPr>
        <w:t> </w:t>
      </w:r>
      <w:r>
        <w:rPr>
          <w:vertAlign w:val="baseline"/>
        </w:rPr>
        <w:t>P12 and P17 showed the carbonyl carbon (C=O) of the α,β- unsaturated</w:t>
      </w:r>
      <w:r>
        <w:rPr>
          <w:spacing w:val="1"/>
          <w:vertAlign w:val="baseline"/>
        </w:rPr>
        <w:t> </w:t>
      </w:r>
      <w:r>
        <w:rPr>
          <w:vertAlign w:val="baseline"/>
        </w:rPr>
        <w:t>ketone</w:t>
      </w:r>
      <w:r>
        <w:rPr>
          <w:spacing w:val="1"/>
          <w:vertAlign w:val="baseline"/>
        </w:rPr>
        <w:t> </w:t>
      </w:r>
      <w:r>
        <w:rPr>
          <w:vertAlign w:val="baseline"/>
        </w:rPr>
        <w:t>linker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characteristic</w:t>
      </w:r>
      <w:r>
        <w:rPr>
          <w:spacing w:val="1"/>
          <w:vertAlign w:val="baseline"/>
        </w:rPr>
        <w:t> </w:t>
      </w:r>
      <w:r>
        <w:rPr>
          <w:vertAlign w:val="baseline"/>
        </w:rPr>
        <w:t>region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193.28, 191.12,191.47 ppm respectively. Also, the α and β-</w:t>
      </w:r>
      <w:r>
        <w:rPr>
          <w:spacing w:val="1"/>
          <w:vertAlign w:val="baseline"/>
        </w:rPr>
        <w:t> </w:t>
      </w:r>
      <w:r>
        <w:rPr>
          <w:vertAlign w:val="baseline"/>
        </w:rPr>
        <w:t>carbon atoms with respect to the carbonyl group give rise to characteristic signals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-4"/>
          <w:vertAlign w:val="baseline"/>
        </w:rPr>
        <w:t> </w:t>
      </w:r>
      <w:r>
        <w:rPr>
          <w:vertAlign w:val="baseline"/>
        </w:rPr>
        <w:t>δ</w:t>
      </w:r>
      <w:r>
        <w:rPr>
          <w:spacing w:val="4"/>
          <w:vertAlign w:val="baseline"/>
        </w:rPr>
        <w:t> </w:t>
      </w:r>
      <w:r>
        <w:rPr>
          <w:vertAlign w:val="baseline"/>
        </w:rPr>
        <w:t>124.15-128.36</w:t>
      </w:r>
      <w:r>
        <w:rPr>
          <w:spacing w:val="-3"/>
          <w:vertAlign w:val="baseline"/>
        </w:rPr>
        <w:t> </w:t>
      </w:r>
      <w:r>
        <w:rPr>
          <w:vertAlign w:val="baseline"/>
        </w:rPr>
        <w:t>ppm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δ</w:t>
      </w:r>
      <w:r>
        <w:rPr>
          <w:spacing w:val="4"/>
          <w:vertAlign w:val="baseline"/>
        </w:rPr>
        <w:t> </w:t>
      </w:r>
      <w:r>
        <w:rPr>
          <w:vertAlign w:val="baseline"/>
        </w:rPr>
        <w:t>138.84-142.55</w:t>
      </w:r>
      <w:r>
        <w:rPr>
          <w:spacing w:val="2"/>
          <w:vertAlign w:val="baseline"/>
        </w:rPr>
        <w:t> </w:t>
      </w:r>
      <w:r>
        <w:rPr>
          <w:vertAlign w:val="baseline"/>
        </w:rPr>
        <w:t>ppm</w:t>
      </w:r>
      <w:r>
        <w:rPr>
          <w:spacing w:val="-8"/>
          <w:vertAlign w:val="baseline"/>
        </w:rPr>
        <w:t> </w:t>
      </w:r>
      <w:r>
        <w:rPr>
          <w:vertAlign w:val="baseline"/>
        </w:rPr>
        <w:t>respectively.</w:t>
      </w:r>
    </w:p>
    <w:p>
      <w:pPr>
        <w:pStyle w:val="BodyText"/>
        <w:spacing w:line="480" w:lineRule="auto" w:before="202"/>
        <w:ind w:left="312" w:right="689"/>
        <w:jc w:val="both"/>
      </w:pPr>
      <w:r>
        <w:rPr/>
        <w:t>Here also, the positions of all C atoms in P11, P12 and P17 have been assigned as shown</w:t>
      </w:r>
      <w:r>
        <w:rPr>
          <w:spacing w:val="1"/>
        </w:rPr>
        <w:t> </w:t>
      </w:r>
      <w:r>
        <w:rPr/>
        <w:t>on Table 4.8 and, Appendices 48, 55 and 61. P11 and P12 with no electron density on the</w:t>
      </w:r>
      <w:r>
        <w:rPr>
          <w:spacing w:val="1"/>
        </w:rPr>
        <w:t> </w:t>
      </w:r>
      <w:r>
        <w:rPr/>
        <w:t>A ring have similar </w:t>
      </w:r>
      <w:r>
        <w:rPr>
          <w:vertAlign w:val="superscript"/>
        </w:rPr>
        <w:t>1</w:t>
      </w:r>
      <w:r>
        <w:rPr>
          <w:vertAlign w:val="baseline"/>
        </w:rPr>
        <w:t> H NMR and </w:t>
      </w:r>
      <w:r>
        <w:rPr>
          <w:vertAlign w:val="superscript"/>
        </w:rPr>
        <w:t>13</w:t>
      </w:r>
      <w:r>
        <w:rPr>
          <w:vertAlign w:val="baseline"/>
        </w:rPr>
        <w:t> CNMR values compared to P17 having electron-rich</w:t>
      </w:r>
      <w:r>
        <w:rPr>
          <w:spacing w:val="1"/>
          <w:vertAlign w:val="baseline"/>
        </w:rPr>
        <w:t> </w:t>
      </w:r>
      <w:r>
        <w:rPr>
          <w:vertAlign w:val="baseline"/>
        </w:rPr>
        <w:t>ring A (Table 4.8 and, Appendices48, 55 and 61). Because the compounds are not new</w:t>
      </w:r>
      <w:r>
        <w:rPr>
          <w:spacing w:val="1"/>
          <w:vertAlign w:val="baseline"/>
        </w:rPr>
        <w:t> </w:t>
      </w:r>
      <w:r>
        <w:rPr>
          <w:vertAlign w:val="baseline"/>
        </w:rPr>
        <w:t>derivatives no 2D-NMR experiment was performed. The </w:t>
      </w:r>
      <w:r>
        <w:rPr>
          <w:vertAlign w:val="superscript"/>
        </w:rPr>
        <w:t>1</w:t>
      </w:r>
      <w:r>
        <w:rPr>
          <w:vertAlign w:val="baseline"/>
        </w:rPr>
        <w:t> H NMR and </w:t>
      </w:r>
      <w:r>
        <w:rPr>
          <w:vertAlign w:val="superscript"/>
        </w:rPr>
        <w:t>13</w:t>
      </w:r>
      <w:r>
        <w:rPr>
          <w:vertAlign w:val="baseline"/>
        </w:rPr>
        <w:t> C NMR values</w:t>
      </w:r>
      <w:r>
        <w:rPr>
          <w:spacing w:val="1"/>
          <w:vertAlign w:val="baseline"/>
        </w:rPr>
        <w:t> </w:t>
      </w:r>
      <w:r>
        <w:rPr>
          <w:vertAlign w:val="baseline"/>
        </w:rPr>
        <w:t>of P11, P12 and P17 agree with what is reported in the literature (Li </w:t>
      </w:r>
      <w:r>
        <w:rPr>
          <w:i/>
          <w:vertAlign w:val="baseline"/>
        </w:rPr>
        <w:t>et al., </w:t>
      </w:r>
      <w:r>
        <w:rPr>
          <w:vertAlign w:val="baseline"/>
        </w:rPr>
        <w:t>1995; Liu </w:t>
      </w:r>
      <w:r>
        <w:rPr>
          <w:i/>
          <w:vertAlign w:val="baseline"/>
        </w:rPr>
        <w:t>et al.,</w:t>
      </w:r>
      <w:r>
        <w:rPr>
          <w:i/>
          <w:spacing w:val="-57"/>
          <w:vertAlign w:val="baseline"/>
        </w:rPr>
        <w:t> </w:t>
      </w:r>
      <w:r>
        <w:rPr>
          <w:vertAlign w:val="baseline"/>
        </w:rPr>
        <w:t>2001;</w:t>
      </w:r>
      <w:r>
        <w:rPr>
          <w:spacing w:val="-4"/>
          <w:vertAlign w:val="baseline"/>
        </w:rPr>
        <w:t> </w:t>
      </w:r>
      <w:r>
        <w:rPr>
          <w:vertAlign w:val="baseline"/>
        </w:rPr>
        <w:t>Bandgar</w:t>
      </w:r>
      <w:r>
        <w:rPr>
          <w:spacing w:val="5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2"/>
          <w:vertAlign w:val="baseline"/>
        </w:rPr>
        <w:t> </w:t>
      </w:r>
      <w:r>
        <w:rPr>
          <w:i/>
          <w:vertAlign w:val="baseline"/>
        </w:rPr>
        <w:t>al., </w:t>
      </w:r>
      <w:r>
        <w:rPr>
          <w:vertAlign w:val="baseline"/>
        </w:rPr>
        <w:t>2010).</w:t>
      </w:r>
    </w:p>
    <w:p>
      <w:pPr>
        <w:spacing w:after="0" w:line="480" w:lineRule="auto"/>
        <w:jc w:val="both"/>
        <w:sectPr>
          <w:headerReference w:type="default" r:id="rId395"/>
          <w:footerReference w:type="default" r:id="rId396"/>
          <w:pgSz w:w="11910" w:h="16840"/>
          <w:pgMar w:header="0" w:footer="878" w:top="1160" w:bottom="1060" w:left="1560" w:right="600"/>
        </w:sectPr>
      </w:pPr>
    </w:p>
    <w:p>
      <w:pPr>
        <w:pStyle w:val="BodyText"/>
        <w:spacing w:line="480" w:lineRule="auto" w:before="70"/>
        <w:ind w:left="312" w:right="690"/>
        <w:jc w:val="both"/>
      </w:pPr>
      <w:r>
        <w:rPr/>
        <w:t>The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spectral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ion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/>
        <w:t>(m/z)</w:t>
      </w:r>
      <w:r>
        <w:rPr>
          <w:spacing w:val="1"/>
        </w:rPr>
        <w:t> </w:t>
      </w:r>
      <w:r>
        <w:rPr/>
        <w:t>corresponding to their molecular weight. The molecular ion peaks (M+1)</w:t>
      </w:r>
      <w:r>
        <w:rPr>
          <w:spacing w:val="60"/>
        </w:rPr>
        <w:t> </w:t>
      </w:r>
      <w:r>
        <w:rPr>
          <w:vertAlign w:val="superscript"/>
        </w:rPr>
        <w:t>+</w:t>
      </w:r>
      <w:r>
        <w:rPr>
          <w:vertAlign w:val="baseline"/>
        </w:rPr>
        <w:t> are 269 and</w:t>
      </w:r>
      <w:r>
        <w:rPr>
          <w:spacing w:val="1"/>
          <w:vertAlign w:val="baseline"/>
        </w:rPr>
        <w:t> </w:t>
      </w:r>
      <w:r>
        <w:rPr>
          <w:vertAlign w:val="baseline"/>
        </w:rPr>
        <w:t>359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3"/>
          <w:vertAlign w:val="baseline"/>
        </w:rPr>
        <w:t> </w:t>
      </w:r>
      <w:r>
        <w:rPr>
          <w:vertAlign w:val="baseline"/>
        </w:rPr>
        <w:t>P12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P17</w:t>
      </w:r>
      <w:r>
        <w:rPr>
          <w:spacing w:val="-4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(Appendices</w:t>
      </w:r>
      <w:r>
        <w:rPr>
          <w:spacing w:val="-1"/>
          <w:vertAlign w:val="baseline"/>
        </w:rPr>
        <w:t> </w:t>
      </w:r>
      <w:r>
        <w:rPr>
          <w:vertAlign w:val="baseline"/>
        </w:rPr>
        <w:t>56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62).</w:t>
      </w:r>
    </w:p>
    <w:p>
      <w:pPr>
        <w:pStyle w:val="Heading1"/>
        <w:numPr>
          <w:ilvl w:val="2"/>
          <w:numId w:val="23"/>
        </w:numPr>
        <w:tabs>
          <w:tab w:pos="913" w:val="left" w:leader="none"/>
        </w:tabs>
        <w:spacing w:line="237" w:lineRule="auto" w:before="209" w:after="0"/>
        <w:ind w:left="312" w:right="698" w:firstLine="0"/>
        <w:jc w:val="left"/>
      </w:pPr>
      <w:bookmarkStart w:name="_TOC_250015" w:id="78"/>
      <w:r>
        <w:rPr/>
        <w:t>Synthesis</w:t>
      </w:r>
      <w:r>
        <w:rPr>
          <w:spacing w:val="51"/>
        </w:rPr>
        <w:t> </w:t>
      </w:r>
      <w:r>
        <w:rPr/>
        <w:t>and</w:t>
      </w:r>
      <w:r>
        <w:rPr>
          <w:spacing w:val="53"/>
        </w:rPr>
        <w:t> </w:t>
      </w:r>
      <w:r>
        <w:rPr/>
        <w:t>characterization</w:t>
      </w:r>
      <w:r>
        <w:rPr>
          <w:spacing w:val="54"/>
        </w:rPr>
        <w:t> </w:t>
      </w:r>
      <w:r>
        <w:rPr/>
        <w:t>of</w:t>
      </w:r>
      <w:r>
        <w:rPr>
          <w:spacing w:val="49"/>
        </w:rPr>
        <w:t> </w:t>
      </w:r>
      <w:r>
        <w:rPr/>
        <w:t>4–methoxy</w:t>
      </w:r>
      <w:r>
        <w:rPr>
          <w:spacing w:val="52"/>
        </w:rPr>
        <w:t> </w:t>
      </w:r>
      <w:r>
        <w:rPr/>
        <w:t>benzaldehyde</w:t>
      </w:r>
      <w:r>
        <w:rPr>
          <w:spacing w:val="52"/>
        </w:rPr>
        <w:t> </w:t>
      </w:r>
      <w:r>
        <w:rPr/>
        <w:t>Chalcones</w:t>
      </w:r>
      <w:r>
        <w:rPr>
          <w:spacing w:val="55"/>
        </w:rPr>
        <w:t> </w:t>
      </w:r>
      <w:r>
        <w:rPr/>
        <w:t>(P15,</w:t>
      </w:r>
      <w:r>
        <w:rPr>
          <w:spacing w:val="-57"/>
        </w:rPr>
        <w:t> </w:t>
      </w:r>
      <w:r>
        <w:rPr/>
        <w:t>P16,</w:t>
      </w:r>
      <w:r>
        <w:rPr>
          <w:spacing w:val="3"/>
        </w:rPr>
        <w:t> </w:t>
      </w:r>
      <w:r>
        <w:rPr/>
        <w:t>P23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bookmarkEnd w:id="78"/>
      <w:r>
        <w:rPr/>
        <w:t>P25)</w:t>
      </w:r>
    </w:p>
    <w:p>
      <w:pPr>
        <w:pStyle w:val="BodyText"/>
        <w:spacing w:line="480" w:lineRule="auto" w:before="195"/>
        <w:ind w:left="312" w:right="697"/>
        <w:jc w:val="both"/>
      </w:pPr>
      <w:r>
        <w:rPr/>
        <w:t>The percentage yield for P15, P16, P23 and P25are 36.87%, 30.00%, 95.50% and 93.40%</w:t>
      </w:r>
      <w:r>
        <w:rPr>
          <w:spacing w:val="1"/>
        </w:rPr>
        <w:t> </w:t>
      </w:r>
      <w:r>
        <w:rPr/>
        <w:t>respectively (Table 4.5). Completion of the reaction was established by the disappearance</w:t>
      </w:r>
      <w:r>
        <w:rPr>
          <w:spacing w:val="1"/>
        </w:rPr>
        <w:t> </w:t>
      </w:r>
      <w:r>
        <w:rPr/>
        <w:t>of spots due to reactants on the thin layer chromatogram and appearance of a new spot due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product. P15 appeared as pale-yellow crystals,</w:t>
      </w:r>
      <w:r>
        <w:rPr>
          <w:spacing w:val="60"/>
        </w:rPr>
        <w:t> </w:t>
      </w:r>
      <w:r>
        <w:rPr/>
        <w:t>P25 as yellow wax while, P16 and P23</w:t>
      </w:r>
      <w:r>
        <w:rPr>
          <w:spacing w:val="1"/>
        </w:rPr>
        <w:t> </w:t>
      </w:r>
      <w:r>
        <w:rPr/>
        <w:t>as yellow crystals. The sharp melting point (Table 4.5) observed with the three compounds</w:t>
      </w:r>
      <w:r>
        <w:rPr>
          <w:spacing w:val="-57"/>
        </w:rPr>
        <w:t> </w:t>
      </w:r>
      <w:r>
        <w:rPr/>
        <w:t>suggest</w:t>
      </w:r>
      <w:r>
        <w:rPr>
          <w:spacing w:val="1"/>
        </w:rPr>
        <w:t> </w:t>
      </w:r>
      <w:r>
        <w:rPr/>
        <w:t>that</w:t>
      </w:r>
      <w:r>
        <w:rPr>
          <w:spacing w:val="2"/>
        </w:rPr>
        <w:t> </w:t>
      </w:r>
      <w:r>
        <w:rPr/>
        <w:t>the compounds</w:t>
      </w:r>
      <w:r>
        <w:rPr>
          <w:spacing w:val="4"/>
        </w:rPr>
        <w:t> </w:t>
      </w:r>
      <w:r>
        <w:rPr/>
        <w:t>have high</w:t>
      </w:r>
      <w:r>
        <w:rPr>
          <w:spacing w:val="-3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purity</w:t>
      </w:r>
      <w:r>
        <w:rPr>
          <w:spacing w:val="-8"/>
        </w:rPr>
        <w:t> </w:t>
      </w:r>
      <w:r>
        <w:rPr/>
        <w:t>(Vogel,</w:t>
      </w:r>
      <w:r>
        <w:rPr>
          <w:spacing w:val="4"/>
        </w:rPr>
        <w:t> </w:t>
      </w:r>
      <w:r>
        <w:rPr/>
        <w:t>1956).</w:t>
      </w:r>
    </w:p>
    <w:p>
      <w:pPr>
        <w:pStyle w:val="BodyText"/>
        <w:spacing w:line="480" w:lineRule="auto" w:before="204"/>
        <w:ind w:left="312" w:right="696"/>
        <w:jc w:val="both"/>
      </w:pPr>
      <w:r>
        <w:rPr/>
        <w:t>The FT-IR data (Appendices63 and 66) were as described in section 5.3.1, with prominent</w:t>
      </w:r>
      <w:r>
        <w:rPr>
          <w:spacing w:val="1"/>
        </w:rPr>
        <w:t> </w:t>
      </w:r>
      <w:r>
        <w:rPr/>
        <w:t>carbonyl peak C=O appearing at 1572 cm</w:t>
      </w:r>
      <w:r>
        <w:rPr>
          <w:vertAlign w:val="superscript"/>
        </w:rPr>
        <w:t>-1</w:t>
      </w:r>
      <w:r>
        <w:rPr>
          <w:vertAlign w:val="baseline"/>
        </w:rPr>
        <w:t> and olefinic =C-H vibration at 2952 cm</w:t>
      </w:r>
      <w:r>
        <w:rPr>
          <w:vertAlign w:val="superscript"/>
        </w:rPr>
        <w:t>-1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Sharp</w:t>
      </w:r>
      <w:r>
        <w:rPr>
          <w:spacing w:val="-2"/>
          <w:vertAlign w:val="baseline"/>
        </w:rPr>
        <w:t> </w:t>
      </w:r>
      <w:r>
        <w:rPr>
          <w:vertAlign w:val="baseline"/>
        </w:rPr>
        <w:t>strong</w:t>
      </w:r>
      <w:r>
        <w:rPr>
          <w:spacing w:val="-1"/>
          <w:vertAlign w:val="baseline"/>
        </w:rPr>
        <w:t> </w:t>
      </w:r>
      <w:r>
        <w:rPr>
          <w:vertAlign w:val="baseline"/>
        </w:rPr>
        <w:t>coupled</w:t>
      </w:r>
      <w:r>
        <w:rPr>
          <w:spacing w:val="-1"/>
          <w:vertAlign w:val="baseline"/>
        </w:rPr>
        <w:t> </w:t>
      </w:r>
      <w:r>
        <w:rPr>
          <w:vertAlign w:val="baseline"/>
        </w:rPr>
        <w:t>absorption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C-O-C</w:t>
      </w:r>
      <w:r>
        <w:rPr>
          <w:spacing w:val="-3"/>
          <w:vertAlign w:val="baseline"/>
        </w:rPr>
        <w:t> </w:t>
      </w:r>
      <w:r>
        <w:rPr>
          <w:vertAlign w:val="baseline"/>
        </w:rPr>
        <w:t>stretching</w:t>
      </w:r>
      <w:r>
        <w:rPr>
          <w:spacing w:val="-1"/>
          <w:vertAlign w:val="baseline"/>
        </w:rPr>
        <w:t> </w:t>
      </w:r>
      <w:r>
        <w:rPr>
          <w:vertAlign w:val="baseline"/>
        </w:rPr>
        <w:t>also</w:t>
      </w:r>
      <w:r>
        <w:rPr>
          <w:spacing w:val="3"/>
          <w:vertAlign w:val="baseline"/>
        </w:rPr>
        <w:t> </w:t>
      </w:r>
      <w:r>
        <w:rPr>
          <w:vertAlign w:val="baseline"/>
        </w:rPr>
        <w:t>appeared</w:t>
      </w:r>
      <w:r>
        <w:rPr>
          <w:spacing w:val="-1"/>
          <w:vertAlign w:val="baseline"/>
        </w:rPr>
        <w:t> </w:t>
      </w:r>
      <w:r>
        <w:rPr>
          <w:vertAlign w:val="baseline"/>
        </w:rPr>
        <w:t>at</w:t>
      </w:r>
      <w:r>
        <w:rPr>
          <w:spacing w:val="4"/>
          <w:vertAlign w:val="baseline"/>
        </w:rPr>
        <w:t> </w:t>
      </w:r>
      <w:r>
        <w:rPr>
          <w:vertAlign w:val="baseline"/>
        </w:rPr>
        <w:t>1285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1025</w:t>
      </w:r>
      <w:r>
        <w:rPr>
          <w:spacing w:val="-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-1.</w:t>
      </w:r>
    </w:p>
    <w:p>
      <w:pPr>
        <w:pStyle w:val="BodyText"/>
        <w:spacing w:line="480" w:lineRule="auto" w:before="202"/>
        <w:ind w:left="312" w:right="691"/>
        <w:jc w:val="both"/>
      </w:pPr>
      <w:r>
        <w:rPr/>
        <w:t>The </w:t>
      </w:r>
      <w:r>
        <w:rPr>
          <w:vertAlign w:val="superscript"/>
        </w:rPr>
        <w:t>1</w:t>
      </w:r>
      <w:r>
        <w:rPr>
          <w:vertAlign w:val="baseline"/>
        </w:rPr>
        <w:t>HNMR and </w:t>
      </w:r>
      <w:r>
        <w:rPr>
          <w:vertAlign w:val="superscript"/>
        </w:rPr>
        <w:t>13</w:t>
      </w:r>
      <w:r>
        <w:rPr>
          <w:vertAlign w:val="baseline"/>
        </w:rPr>
        <w:t>CNMR spectra confirmed the structures of P15, P16, P23 (Table 4.9)</w:t>
      </w:r>
      <w:r>
        <w:rPr>
          <w:spacing w:val="1"/>
          <w:vertAlign w:val="baseline"/>
        </w:rPr>
        <w:t> </w:t>
      </w:r>
      <w:r>
        <w:rPr>
          <w:vertAlign w:val="baseline"/>
        </w:rPr>
        <w:t>and P25 (Table 4.10). The characteristics α,β-unsaturated ketone linker protons as doublets</w:t>
      </w:r>
      <w:r>
        <w:rPr>
          <w:spacing w:val="-57"/>
          <w:vertAlign w:val="baseline"/>
        </w:rPr>
        <w:t> </w:t>
      </w:r>
      <w:r>
        <w:rPr>
          <w:vertAlign w:val="baseline"/>
        </w:rPr>
        <w:t>were observed in the region of 6.31 – 7.52ppm (H- α) and 6.59 – 8.04ppm (H- β) with</w:t>
      </w:r>
      <w:r>
        <w:rPr>
          <w:spacing w:val="1"/>
          <w:vertAlign w:val="baseline"/>
        </w:rPr>
        <w:t> </w:t>
      </w:r>
      <w:r>
        <w:rPr>
          <w:vertAlign w:val="baseline"/>
        </w:rPr>
        <w:t>coupling constants of 15.5-16 Hz (trans-</w:t>
      </w:r>
      <w:r>
        <w:rPr>
          <w:spacing w:val="1"/>
          <w:vertAlign w:val="baseline"/>
        </w:rPr>
        <w:t> </w:t>
      </w:r>
      <w:r>
        <w:rPr>
          <w:vertAlign w:val="baseline"/>
        </w:rPr>
        <w:t>isomers)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methoxy protons as singlet</w:t>
      </w:r>
      <w:r>
        <w:rPr>
          <w:spacing w:val="60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region of 2.77 – 4.35 ppm, the rest of the protons appear in their expected regions with</w:t>
      </w:r>
      <w:r>
        <w:rPr>
          <w:spacing w:val="1"/>
          <w:vertAlign w:val="baseline"/>
        </w:rPr>
        <w:t> </w:t>
      </w:r>
      <w:r>
        <w:rPr>
          <w:vertAlign w:val="baseline"/>
        </w:rPr>
        <w:t>their</w:t>
      </w:r>
      <w:r>
        <w:rPr>
          <w:spacing w:val="1"/>
          <w:vertAlign w:val="baseline"/>
        </w:rPr>
        <w:t> </w:t>
      </w:r>
      <w:r>
        <w:rPr>
          <w:vertAlign w:val="baseline"/>
        </w:rPr>
        <w:t>usual</w:t>
      </w:r>
      <w:r>
        <w:rPr>
          <w:spacing w:val="1"/>
          <w:vertAlign w:val="baseline"/>
        </w:rPr>
        <w:t> </w:t>
      </w:r>
      <w:r>
        <w:rPr>
          <w:vertAlign w:val="baseline"/>
        </w:rPr>
        <w:t>coupling</w:t>
      </w:r>
      <w:r>
        <w:rPr>
          <w:spacing w:val="1"/>
          <w:vertAlign w:val="baseline"/>
        </w:rPr>
        <w:t> </w:t>
      </w:r>
      <w:r>
        <w:rPr>
          <w:vertAlign w:val="baseline"/>
        </w:rPr>
        <w:t>constants</w:t>
      </w:r>
      <w:r>
        <w:rPr>
          <w:spacing w:val="1"/>
          <w:vertAlign w:val="baseline"/>
        </w:rPr>
        <w:t> </w:t>
      </w:r>
      <w:r>
        <w:rPr>
          <w:vertAlign w:val="baseline"/>
        </w:rPr>
        <w:t>(Table</w:t>
      </w:r>
      <w:r>
        <w:rPr>
          <w:spacing w:val="1"/>
          <w:vertAlign w:val="baseline"/>
        </w:rPr>
        <w:t> </w:t>
      </w:r>
      <w:r>
        <w:rPr>
          <w:vertAlign w:val="baseline"/>
        </w:rPr>
        <w:t>4.10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Appendices</w:t>
      </w:r>
      <w:r>
        <w:rPr>
          <w:spacing w:val="1"/>
          <w:vertAlign w:val="baseline"/>
        </w:rPr>
        <w:t> </w:t>
      </w:r>
      <w:r>
        <w:rPr>
          <w:vertAlign w:val="baseline"/>
        </w:rPr>
        <w:t>64,</w:t>
      </w:r>
      <w:r>
        <w:rPr>
          <w:spacing w:val="1"/>
          <w:vertAlign w:val="baseline"/>
        </w:rPr>
        <w:t> </w:t>
      </w:r>
      <w:r>
        <w:rPr>
          <w:vertAlign w:val="baseline"/>
        </w:rPr>
        <w:t>67,</w:t>
      </w:r>
      <w:r>
        <w:rPr>
          <w:spacing w:val="1"/>
          <w:vertAlign w:val="baseline"/>
        </w:rPr>
        <w:t> </w:t>
      </w:r>
      <w:r>
        <w:rPr>
          <w:vertAlign w:val="baseline"/>
        </w:rPr>
        <w:t>71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75).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Furthermore, </w:t>
      </w:r>
      <w:r>
        <w:rPr>
          <w:vertAlign w:val="superscript"/>
        </w:rPr>
        <w:t>13</w:t>
      </w:r>
      <w:r>
        <w:rPr>
          <w:vertAlign w:val="baseline"/>
        </w:rPr>
        <w:t>CNMR spectra (Table 4.9 and, Appendices65, 69, and 73) of the P15, P16,</w:t>
      </w:r>
      <w:r>
        <w:rPr>
          <w:spacing w:val="1"/>
          <w:vertAlign w:val="baseline"/>
        </w:rPr>
        <w:t> </w:t>
      </w:r>
      <w:r>
        <w:rPr>
          <w:vertAlign w:val="baseline"/>
        </w:rPr>
        <w:t>P23 and P25 (Table 4.10, Appendix 76) showed the carbonyl carbon (C=O) of the α,β-</w:t>
      </w:r>
      <w:r>
        <w:rPr>
          <w:spacing w:val="1"/>
          <w:vertAlign w:val="baseline"/>
        </w:rPr>
        <w:t> </w:t>
      </w:r>
      <w:r>
        <w:rPr>
          <w:vertAlign w:val="baseline"/>
        </w:rPr>
        <w:t>unsaturated</w:t>
      </w:r>
      <w:r>
        <w:rPr>
          <w:spacing w:val="80"/>
          <w:vertAlign w:val="baseline"/>
        </w:rPr>
        <w:t> </w:t>
      </w:r>
      <w:r>
        <w:rPr>
          <w:vertAlign w:val="baseline"/>
        </w:rPr>
        <w:t>ketone</w:t>
      </w:r>
      <w:r>
        <w:rPr>
          <w:spacing w:val="84"/>
          <w:vertAlign w:val="baseline"/>
        </w:rPr>
        <w:t> </w:t>
      </w:r>
      <w:r>
        <w:rPr>
          <w:vertAlign w:val="baseline"/>
        </w:rPr>
        <w:t>linker  </w:t>
      </w:r>
      <w:r>
        <w:rPr>
          <w:spacing w:val="36"/>
          <w:vertAlign w:val="baseline"/>
        </w:rPr>
        <w:t> </w:t>
      </w:r>
      <w:r>
        <w:rPr>
          <w:vertAlign w:val="baseline"/>
        </w:rPr>
        <w:t>in</w:t>
      </w:r>
      <w:r>
        <w:rPr>
          <w:spacing w:val="76"/>
          <w:vertAlign w:val="baseline"/>
        </w:rPr>
        <w:t> </w:t>
      </w:r>
      <w:r>
        <w:rPr>
          <w:vertAlign w:val="baseline"/>
        </w:rPr>
        <w:t>the</w:t>
      </w:r>
      <w:r>
        <w:rPr>
          <w:spacing w:val="79"/>
          <w:vertAlign w:val="baseline"/>
        </w:rPr>
        <w:t> </w:t>
      </w:r>
      <w:r>
        <w:rPr>
          <w:vertAlign w:val="baseline"/>
        </w:rPr>
        <w:t>characteristic</w:t>
      </w:r>
      <w:r>
        <w:rPr>
          <w:spacing w:val="84"/>
          <w:vertAlign w:val="baseline"/>
        </w:rPr>
        <w:t> </w:t>
      </w:r>
      <w:r>
        <w:rPr>
          <w:vertAlign w:val="baseline"/>
        </w:rPr>
        <w:t>region</w:t>
      </w:r>
      <w:r>
        <w:rPr>
          <w:spacing w:val="75"/>
          <w:vertAlign w:val="baseline"/>
        </w:rPr>
        <w:t> </w:t>
      </w:r>
      <w:r>
        <w:rPr>
          <w:vertAlign w:val="baseline"/>
        </w:rPr>
        <w:t>of</w:t>
      </w:r>
      <w:r>
        <w:rPr>
          <w:spacing w:val="73"/>
          <w:vertAlign w:val="baseline"/>
        </w:rPr>
        <w:t> </w:t>
      </w:r>
      <w:r>
        <w:rPr>
          <w:vertAlign w:val="baseline"/>
        </w:rPr>
        <w:t>189.81,</w:t>
      </w:r>
      <w:r>
        <w:rPr>
          <w:spacing w:val="11"/>
          <w:vertAlign w:val="baseline"/>
        </w:rPr>
        <w:t> </w:t>
      </w:r>
      <w:r>
        <w:rPr>
          <w:vertAlign w:val="baseline"/>
        </w:rPr>
        <w:t>189.96,</w:t>
      </w:r>
      <w:r>
        <w:rPr>
          <w:spacing w:val="13"/>
          <w:vertAlign w:val="baseline"/>
        </w:rPr>
        <w:t> </w:t>
      </w:r>
      <w:r>
        <w:rPr>
          <w:vertAlign w:val="baseline"/>
        </w:rPr>
        <w:t>191.31</w:t>
      </w:r>
      <w:r>
        <w:rPr>
          <w:spacing w:val="9"/>
          <w:vertAlign w:val="baseline"/>
        </w:rPr>
        <w:t> </w:t>
      </w:r>
      <w:r>
        <w:rPr>
          <w:vertAlign w:val="baseline"/>
        </w:rPr>
        <w:t>and</w:t>
      </w:r>
    </w:p>
    <w:p>
      <w:pPr>
        <w:pStyle w:val="BodyText"/>
        <w:spacing w:line="273" w:lineRule="exact"/>
        <w:ind w:left="312"/>
      </w:pPr>
      <w:r>
        <w:rPr/>
        <w:t>192.60</w:t>
      </w:r>
      <w:r>
        <w:rPr>
          <w:spacing w:val="29"/>
        </w:rPr>
        <w:t> </w:t>
      </w:r>
      <w:r>
        <w:rPr/>
        <w:t>ppm</w:t>
      </w:r>
      <w:r>
        <w:rPr>
          <w:spacing w:val="21"/>
        </w:rPr>
        <w:t> </w:t>
      </w:r>
      <w:r>
        <w:rPr/>
        <w:t>respectively.</w:t>
      </w:r>
      <w:r>
        <w:rPr>
          <w:spacing w:val="42"/>
        </w:rPr>
        <w:t> </w:t>
      </w:r>
      <w:r>
        <w:rPr/>
        <w:t>Also,</w:t>
      </w:r>
      <w:r>
        <w:rPr>
          <w:spacing w:val="33"/>
        </w:rPr>
        <w:t> </w:t>
      </w:r>
      <w:r>
        <w:rPr/>
        <w:t>the</w:t>
      </w:r>
      <w:r>
        <w:rPr>
          <w:spacing w:val="30"/>
        </w:rPr>
        <w:t> </w:t>
      </w:r>
      <w:r>
        <w:rPr/>
        <w:t>α</w:t>
      </w:r>
      <w:r>
        <w:rPr>
          <w:spacing w:val="30"/>
        </w:rPr>
        <w:t> </w:t>
      </w:r>
      <w:r>
        <w:rPr/>
        <w:t>and</w:t>
      </w:r>
      <w:r>
        <w:rPr>
          <w:spacing w:val="34"/>
        </w:rPr>
        <w:t> </w:t>
      </w:r>
      <w:r>
        <w:rPr/>
        <w:t>β-</w:t>
      </w:r>
      <w:r>
        <w:rPr>
          <w:spacing w:val="32"/>
        </w:rPr>
        <w:t> </w:t>
      </w:r>
      <w:r>
        <w:rPr/>
        <w:t>carbon</w:t>
      </w:r>
      <w:r>
        <w:rPr>
          <w:spacing w:val="30"/>
        </w:rPr>
        <w:t> </w:t>
      </w:r>
      <w:r>
        <w:rPr/>
        <w:t>atoms</w:t>
      </w:r>
      <w:r>
        <w:rPr>
          <w:spacing w:val="28"/>
        </w:rPr>
        <w:t> </w:t>
      </w:r>
      <w:r>
        <w:rPr/>
        <w:t>with</w:t>
      </w:r>
      <w:r>
        <w:rPr>
          <w:spacing w:val="26"/>
        </w:rPr>
        <w:t> </w:t>
      </w:r>
      <w:r>
        <w:rPr/>
        <w:t>respect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the</w:t>
      </w:r>
      <w:r>
        <w:rPr>
          <w:spacing w:val="29"/>
        </w:rPr>
        <w:t> </w:t>
      </w:r>
      <w:r>
        <w:rPr/>
        <w:t>carbonyl</w:t>
      </w:r>
    </w:p>
    <w:p>
      <w:pPr>
        <w:spacing w:after="0" w:line="273" w:lineRule="exact"/>
        <w:sectPr>
          <w:headerReference w:type="default" r:id="rId397"/>
          <w:footerReference w:type="default" r:id="rId398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1"/>
        <w:jc w:val="both"/>
      </w:pPr>
      <w:r>
        <w:rPr/>
        <w:t>group give rise to characteristic signals in between δ 119.24 - 124.61ppm and δ 141.23 -</w:t>
      </w:r>
      <w:r>
        <w:rPr>
          <w:spacing w:val="1"/>
        </w:rPr>
        <w:t> </w:t>
      </w:r>
      <w:r>
        <w:rPr/>
        <w:t>146.71ppm</w:t>
      </w:r>
      <w:r>
        <w:rPr>
          <w:spacing w:val="-8"/>
        </w:rPr>
        <w:t> </w:t>
      </w:r>
      <w:r>
        <w:rPr/>
        <w:t>respectively.</w:t>
      </w:r>
    </w:p>
    <w:p>
      <w:pPr>
        <w:pStyle w:val="BodyText"/>
        <w:spacing w:line="480" w:lineRule="auto" w:before="202"/>
        <w:ind w:left="312" w:right="688"/>
        <w:jc w:val="both"/>
      </w:pPr>
      <w:r>
        <w:rPr/>
        <w:t>Here also, the positions of all carbon atoms in P15, P16, P23 and P25 have been assigned</w:t>
      </w:r>
      <w:r>
        <w:rPr>
          <w:spacing w:val="1"/>
        </w:rPr>
        <w:t> </w:t>
      </w:r>
      <w:r>
        <w:rPr/>
        <w:t>as shown on Table 4.9 and,Appendices65, 69, 73 and 76. P15 and P23 with electron</w:t>
      </w:r>
      <w:r>
        <w:rPr>
          <w:spacing w:val="1"/>
        </w:rPr>
        <w:t> </w:t>
      </w:r>
      <w:r>
        <w:rPr/>
        <w:t>density on the A ring have similar </w:t>
      </w:r>
      <w:r>
        <w:rPr>
          <w:vertAlign w:val="superscript"/>
        </w:rPr>
        <w:t>1</w:t>
      </w:r>
      <w:r>
        <w:rPr>
          <w:vertAlign w:val="baseline"/>
        </w:rPr>
        <w:t> H NMR and </w:t>
      </w:r>
      <w:r>
        <w:rPr>
          <w:vertAlign w:val="superscript"/>
        </w:rPr>
        <w:t>13</w:t>
      </w:r>
      <w:r>
        <w:rPr>
          <w:vertAlign w:val="baseline"/>
        </w:rPr>
        <w:t> C NMR values as compared to P16</w:t>
      </w:r>
      <w:r>
        <w:rPr>
          <w:spacing w:val="1"/>
          <w:vertAlign w:val="baseline"/>
        </w:rPr>
        <w:t> </w:t>
      </w:r>
      <w:r>
        <w:rPr>
          <w:vertAlign w:val="baseline"/>
        </w:rPr>
        <w:t>having no electron density on ring A. Since the compounds are not new derivatives no 2D-</w:t>
      </w:r>
      <w:r>
        <w:rPr>
          <w:spacing w:val="-57"/>
          <w:vertAlign w:val="baseline"/>
        </w:rPr>
        <w:t> </w:t>
      </w:r>
      <w:r>
        <w:rPr>
          <w:vertAlign w:val="baseline"/>
        </w:rPr>
        <w:t>NMR experiment was performed. The </w:t>
      </w:r>
      <w:r>
        <w:rPr>
          <w:vertAlign w:val="superscript"/>
        </w:rPr>
        <w:t>1</w:t>
      </w:r>
      <w:r>
        <w:rPr>
          <w:vertAlign w:val="baseline"/>
        </w:rPr>
        <w:t>HNMR and </w:t>
      </w:r>
      <w:r>
        <w:rPr>
          <w:vertAlign w:val="superscript"/>
        </w:rPr>
        <w:t>13</w:t>
      </w:r>
      <w:r>
        <w:rPr>
          <w:vertAlign w:val="baseline"/>
        </w:rPr>
        <w:t>CNMR of P15, P16, P23 and P25</w:t>
      </w:r>
      <w:r>
        <w:rPr>
          <w:spacing w:val="1"/>
          <w:vertAlign w:val="baseline"/>
        </w:rPr>
        <w:t> </w:t>
      </w:r>
      <w:r>
        <w:rPr>
          <w:vertAlign w:val="baseline"/>
        </w:rPr>
        <w:t>agree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vertAlign w:val="baseline"/>
        </w:rPr>
        <w:t>what</w:t>
      </w:r>
      <w:r>
        <w:rPr>
          <w:spacing w:val="10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reported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vertAlign w:val="baseline"/>
        </w:rPr>
        <w:t>the literature</w:t>
      </w:r>
      <w:r>
        <w:rPr>
          <w:spacing w:val="-1"/>
          <w:vertAlign w:val="baseline"/>
        </w:rPr>
        <w:t> </w:t>
      </w:r>
      <w:r>
        <w:rPr>
          <w:vertAlign w:val="baseline"/>
        </w:rPr>
        <w:t>(Li</w:t>
      </w:r>
      <w:r>
        <w:rPr>
          <w:spacing w:val="-2"/>
          <w:vertAlign w:val="baseline"/>
        </w:rPr>
        <w:t> </w:t>
      </w:r>
      <w:r>
        <w:rPr>
          <w:i/>
          <w:vertAlign w:val="baseline"/>
        </w:rPr>
        <w:t>et al.,</w:t>
      </w:r>
      <w:r>
        <w:rPr>
          <w:i/>
          <w:spacing w:val="-1"/>
          <w:vertAlign w:val="baseline"/>
        </w:rPr>
        <w:t> </w:t>
      </w:r>
      <w:r>
        <w:rPr>
          <w:vertAlign w:val="baseline"/>
        </w:rPr>
        <w:t>1995;</w:t>
      </w:r>
      <w:r>
        <w:rPr>
          <w:spacing w:val="-5"/>
          <w:vertAlign w:val="baseline"/>
        </w:rPr>
        <w:t> </w:t>
      </w:r>
      <w:r>
        <w:rPr>
          <w:vertAlign w:val="baseline"/>
        </w:rPr>
        <w:t>Mohammad</w:t>
      </w:r>
      <w:r>
        <w:rPr>
          <w:spacing w:val="2"/>
          <w:vertAlign w:val="baseline"/>
        </w:rPr>
        <w:t> </w:t>
      </w:r>
      <w:r>
        <w:rPr>
          <w:i/>
          <w:vertAlign w:val="baseline"/>
        </w:rPr>
        <w:t>et al.,</w:t>
      </w:r>
      <w:r>
        <w:rPr>
          <w:i/>
          <w:spacing w:val="4"/>
          <w:vertAlign w:val="baseline"/>
        </w:rPr>
        <w:t> </w:t>
      </w:r>
      <w:r>
        <w:rPr>
          <w:vertAlign w:val="baseline"/>
        </w:rPr>
        <w:t>2010).</w:t>
      </w:r>
    </w:p>
    <w:p>
      <w:pPr>
        <w:pStyle w:val="BodyText"/>
        <w:spacing w:line="480" w:lineRule="auto" w:before="198"/>
        <w:ind w:left="312" w:right="686"/>
        <w:jc w:val="both"/>
      </w:pPr>
      <w:r>
        <w:rPr/>
        <w:t>The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spectral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ion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/>
        <w:t>(m/z)</w:t>
      </w:r>
      <w:r>
        <w:rPr>
          <w:spacing w:val="1"/>
        </w:rPr>
        <w:t> </w:t>
      </w:r>
      <w:r>
        <w:rPr/>
        <w:t>corresponding to their molecular weight. The molecular ion peaks (M+1) </w:t>
      </w:r>
      <w:r>
        <w:rPr>
          <w:vertAlign w:val="superscript"/>
        </w:rPr>
        <w:t>+</w:t>
      </w:r>
      <w:r>
        <w:rPr>
          <w:vertAlign w:val="baseline"/>
        </w:rPr>
        <w:t> are 299, 239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329</w:t>
      </w:r>
      <w:r>
        <w:rPr>
          <w:spacing w:val="5"/>
          <w:vertAlign w:val="baseline"/>
        </w:rPr>
        <w:t> </w:t>
      </w:r>
      <w:r>
        <w:rPr>
          <w:vertAlign w:val="baseline"/>
        </w:rPr>
        <w:t>for</w:t>
      </w:r>
      <w:r>
        <w:rPr>
          <w:spacing w:val="4"/>
          <w:vertAlign w:val="baseline"/>
        </w:rPr>
        <w:t> </w:t>
      </w:r>
      <w:r>
        <w:rPr>
          <w:vertAlign w:val="baseline"/>
        </w:rPr>
        <w:t>P15,</w:t>
      </w:r>
      <w:r>
        <w:rPr>
          <w:spacing w:val="3"/>
          <w:vertAlign w:val="baseline"/>
        </w:rPr>
        <w:t> </w:t>
      </w:r>
      <w:r>
        <w:rPr>
          <w:vertAlign w:val="baseline"/>
        </w:rPr>
        <w:t>P16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P23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-3"/>
          <w:vertAlign w:val="baseline"/>
        </w:rPr>
        <w:t> </w:t>
      </w:r>
      <w:r>
        <w:rPr>
          <w:vertAlign w:val="baseline"/>
        </w:rPr>
        <w:t>(Appendices</w:t>
      </w:r>
      <w:r>
        <w:rPr>
          <w:spacing w:val="-1"/>
          <w:vertAlign w:val="baseline"/>
        </w:rPr>
        <w:t> </w:t>
      </w:r>
      <w:r>
        <w:rPr>
          <w:vertAlign w:val="baseline"/>
        </w:rPr>
        <w:t>63,</w:t>
      </w:r>
      <w:r>
        <w:rPr>
          <w:spacing w:val="3"/>
          <w:vertAlign w:val="baseline"/>
        </w:rPr>
        <w:t> </w:t>
      </w:r>
      <w:r>
        <w:rPr>
          <w:vertAlign w:val="baseline"/>
        </w:rPr>
        <w:t>70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74).</w:t>
      </w:r>
    </w:p>
    <w:p>
      <w:pPr>
        <w:pStyle w:val="Heading1"/>
        <w:numPr>
          <w:ilvl w:val="2"/>
          <w:numId w:val="23"/>
        </w:numPr>
        <w:tabs>
          <w:tab w:pos="932" w:val="left" w:leader="none"/>
        </w:tabs>
        <w:spacing w:line="237" w:lineRule="auto" w:before="209" w:after="0"/>
        <w:ind w:left="312" w:right="698" w:firstLine="0"/>
        <w:jc w:val="left"/>
      </w:pPr>
      <w:bookmarkStart w:name="_TOC_250014" w:id="79"/>
      <w:r>
        <w:rPr/>
        <w:t>Synthesis</w:t>
      </w:r>
      <w:r>
        <w:rPr>
          <w:spacing w:val="9"/>
        </w:rPr>
        <w:t> </w:t>
      </w:r>
      <w:r>
        <w:rPr/>
        <w:t>and</w:t>
      </w:r>
      <w:r>
        <w:rPr>
          <w:spacing w:val="11"/>
        </w:rPr>
        <w:t> </w:t>
      </w:r>
      <w:r>
        <w:rPr/>
        <w:t>characterization</w:t>
      </w:r>
      <w:r>
        <w:rPr>
          <w:spacing w:val="12"/>
        </w:rPr>
        <w:t> </w:t>
      </w:r>
      <w:r>
        <w:rPr/>
        <w:t>of</w:t>
      </w:r>
      <w:r>
        <w:rPr>
          <w:spacing w:val="8"/>
        </w:rPr>
        <w:t> </w:t>
      </w:r>
      <w:r>
        <w:rPr/>
        <w:t>un-substituted</w:t>
      </w:r>
      <w:r>
        <w:rPr>
          <w:spacing w:val="7"/>
        </w:rPr>
        <w:t> </w:t>
      </w:r>
      <w:r>
        <w:rPr/>
        <w:t>(benzaldehyde)</w:t>
      </w:r>
      <w:r>
        <w:rPr>
          <w:spacing w:val="12"/>
        </w:rPr>
        <w:t> </w:t>
      </w:r>
      <w:r>
        <w:rPr/>
        <w:t>Chalcones</w:t>
      </w:r>
      <w:r>
        <w:rPr>
          <w:spacing w:val="-57"/>
        </w:rPr>
        <w:t> </w:t>
      </w:r>
      <w:r>
        <w:rPr/>
        <w:t>(P19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bookmarkEnd w:id="79"/>
      <w:r>
        <w:rPr/>
        <w:t>P24)</w:t>
      </w:r>
    </w:p>
    <w:p>
      <w:pPr>
        <w:pStyle w:val="BodyText"/>
        <w:spacing w:line="480" w:lineRule="auto" w:before="200"/>
        <w:ind w:left="312" w:right="687"/>
        <w:jc w:val="both"/>
      </w:pPr>
      <w:r>
        <w:rPr/>
        <w:t>The percentage yield for P19 and, P24 are 76.00% and 31.10% respectively (Table 4.5).</w:t>
      </w:r>
      <w:r>
        <w:rPr>
          <w:spacing w:val="1"/>
        </w:rPr>
        <w:t> </w:t>
      </w:r>
      <w:r>
        <w:rPr/>
        <w:t>Completion of the reaction was established by the disappearance of spots due to reactants</w:t>
      </w:r>
      <w:r>
        <w:rPr>
          <w:spacing w:val="1"/>
        </w:rPr>
        <w:t> </w:t>
      </w:r>
      <w:r>
        <w:rPr/>
        <w:t>on the thin layer chromatogram and appearance of a new spot due to product. P1 appeared</w:t>
      </w:r>
      <w:r>
        <w:rPr>
          <w:spacing w:val="1"/>
        </w:rPr>
        <w:t> </w:t>
      </w:r>
      <w:r>
        <w:rPr/>
        <w:t>as light-yellow powder while, P24 as yellow crystals. The sharp melting point (Table 4.5)</w:t>
      </w:r>
      <w:r>
        <w:rPr>
          <w:spacing w:val="1"/>
        </w:rPr>
        <w:t> </w:t>
      </w:r>
      <w:r>
        <w:rPr/>
        <w:t>observed with the three compounds suggest that the compounds have high degree of purity</w:t>
      </w:r>
      <w:r>
        <w:rPr>
          <w:spacing w:val="-57"/>
        </w:rPr>
        <w:t> </w:t>
      </w:r>
      <w:r>
        <w:rPr/>
        <w:t>(Vogel,</w:t>
      </w:r>
      <w:r>
        <w:rPr>
          <w:spacing w:val="3"/>
        </w:rPr>
        <w:t> </w:t>
      </w:r>
      <w:r>
        <w:rPr/>
        <w:t>1956).</w:t>
      </w:r>
    </w:p>
    <w:p>
      <w:pPr>
        <w:pStyle w:val="BodyText"/>
        <w:spacing w:line="480" w:lineRule="auto" w:before="198"/>
        <w:ind w:left="312" w:right="687"/>
        <w:jc w:val="both"/>
      </w:pPr>
      <w:r>
        <w:rPr/>
        <w:t>The </w:t>
      </w:r>
      <w:r>
        <w:rPr>
          <w:vertAlign w:val="superscript"/>
        </w:rPr>
        <w:t>1</w:t>
      </w:r>
      <w:r>
        <w:rPr>
          <w:vertAlign w:val="baseline"/>
        </w:rPr>
        <w:t>HNMR and </w:t>
      </w:r>
      <w:r>
        <w:rPr>
          <w:vertAlign w:val="superscript"/>
        </w:rPr>
        <w:t>13</w:t>
      </w:r>
      <w:r>
        <w:rPr>
          <w:vertAlign w:val="baseline"/>
        </w:rPr>
        <w:t>CNMR spectra confirmed the structures of P19 and P24 (Table 4.10).</w:t>
      </w:r>
      <w:r>
        <w:rPr>
          <w:spacing w:val="1"/>
          <w:vertAlign w:val="baseline"/>
        </w:rPr>
        <w:t> </w:t>
      </w:r>
      <w:r>
        <w:rPr>
          <w:vertAlign w:val="baseline"/>
        </w:rPr>
        <w:t>The characteristics α,β- unsaturated ketone linker protons as doublets were observed in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region of 7.03 – 7.78ppm (H- α) and 7.19 – 7.79ppm (H- β) with coupling constants of 16</w:t>
      </w:r>
      <w:r>
        <w:rPr>
          <w:spacing w:val="1"/>
          <w:vertAlign w:val="baseline"/>
        </w:rPr>
        <w:t> </w:t>
      </w:r>
      <w:r>
        <w:rPr>
          <w:vertAlign w:val="baseline"/>
        </w:rPr>
        <w:t>Hz</w:t>
      </w:r>
      <w:r>
        <w:rPr>
          <w:spacing w:val="1"/>
          <w:vertAlign w:val="baseline"/>
        </w:rPr>
        <w:t> </w:t>
      </w:r>
      <w:r>
        <w:rPr>
          <w:vertAlign w:val="baseline"/>
        </w:rPr>
        <w:t>(trans-isomers) and the methoxy protons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60"/>
          <w:vertAlign w:val="baseline"/>
        </w:rPr>
        <w:t> </w:t>
      </w:r>
      <w:r>
        <w:rPr>
          <w:vertAlign w:val="baseline"/>
        </w:rPr>
        <w:t>singlet in the</w:t>
      </w:r>
      <w:r>
        <w:rPr>
          <w:spacing w:val="60"/>
          <w:vertAlign w:val="baseline"/>
        </w:rPr>
        <w:t> </w:t>
      </w:r>
      <w:r>
        <w:rPr>
          <w:vertAlign w:val="baseline"/>
        </w:rPr>
        <w:t>region of 3.29 - 4.04 ppm,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rest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protons</w:t>
      </w:r>
      <w:r>
        <w:rPr>
          <w:spacing w:val="1"/>
          <w:vertAlign w:val="baseline"/>
        </w:rPr>
        <w:t> </w:t>
      </w:r>
      <w:r>
        <w:rPr>
          <w:vertAlign w:val="baseline"/>
        </w:rPr>
        <w:t>appeared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their</w:t>
      </w:r>
      <w:r>
        <w:rPr>
          <w:spacing w:val="1"/>
          <w:vertAlign w:val="baseline"/>
        </w:rPr>
        <w:t> </w:t>
      </w:r>
      <w:r>
        <w:rPr>
          <w:vertAlign w:val="baseline"/>
        </w:rPr>
        <w:t>expected</w:t>
      </w:r>
      <w:r>
        <w:rPr>
          <w:spacing w:val="1"/>
          <w:vertAlign w:val="baseline"/>
        </w:rPr>
        <w:t> </w:t>
      </w:r>
      <w:r>
        <w:rPr>
          <w:vertAlign w:val="baseline"/>
        </w:rPr>
        <w:t>regions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their</w:t>
      </w:r>
      <w:r>
        <w:rPr>
          <w:spacing w:val="1"/>
          <w:vertAlign w:val="baseline"/>
        </w:rPr>
        <w:t> </w:t>
      </w:r>
      <w:r>
        <w:rPr>
          <w:vertAlign w:val="baseline"/>
        </w:rPr>
        <w:t>usual</w:t>
      </w:r>
      <w:r>
        <w:rPr>
          <w:spacing w:val="1"/>
          <w:vertAlign w:val="baseline"/>
        </w:rPr>
        <w:t> </w:t>
      </w:r>
      <w:r>
        <w:rPr>
          <w:vertAlign w:val="baseline"/>
        </w:rPr>
        <w:t>coupling</w:t>
      </w:r>
      <w:r>
        <w:rPr>
          <w:spacing w:val="1"/>
          <w:vertAlign w:val="baseline"/>
        </w:rPr>
        <w:t> </w:t>
      </w:r>
      <w:r>
        <w:rPr>
          <w:vertAlign w:val="baseline"/>
        </w:rPr>
        <w:t>constants</w:t>
      </w:r>
      <w:r>
        <w:rPr>
          <w:spacing w:val="-1"/>
          <w:vertAlign w:val="baseline"/>
        </w:rPr>
        <w:t> </w:t>
      </w:r>
      <w:r>
        <w:rPr>
          <w:vertAlign w:val="baseline"/>
        </w:rPr>
        <w:t>(Table</w:t>
      </w:r>
      <w:r>
        <w:rPr>
          <w:spacing w:val="1"/>
          <w:vertAlign w:val="baseline"/>
        </w:rPr>
        <w:t> </w:t>
      </w:r>
      <w:r>
        <w:rPr>
          <w:vertAlign w:val="baseline"/>
        </w:rPr>
        <w:t>4.10</w:t>
      </w:r>
      <w:r>
        <w:rPr>
          <w:spacing w:val="1"/>
          <w:vertAlign w:val="baseline"/>
        </w:rPr>
        <w:t> </w:t>
      </w:r>
      <w:r>
        <w:rPr>
          <w:vertAlign w:val="baseline"/>
        </w:rPr>
        <w:t>and,</w:t>
      </w:r>
      <w:r>
        <w:rPr>
          <w:spacing w:val="8"/>
          <w:vertAlign w:val="baseline"/>
        </w:rPr>
        <w:t> </w:t>
      </w:r>
      <w:r>
        <w:rPr>
          <w:vertAlign w:val="baseline"/>
        </w:rPr>
        <w:t>Appendices77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81).</w:t>
      </w:r>
    </w:p>
    <w:p>
      <w:pPr>
        <w:spacing w:after="0" w:line="480" w:lineRule="auto"/>
        <w:jc w:val="both"/>
        <w:sectPr>
          <w:headerReference w:type="default" r:id="rId399"/>
          <w:footerReference w:type="default" r:id="rId40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110"/>
        <w:ind w:left="312" w:right="694"/>
        <w:jc w:val="both"/>
      </w:pPr>
      <w:r>
        <w:rPr>
          <w:vertAlign w:val="superscript"/>
        </w:rPr>
        <w:t>13</w:t>
      </w:r>
      <w:r>
        <w:rPr>
          <w:vertAlign w:val="baseline"/>
        </w:rPr>
        <w:t>CNMR spectra of P19 and P24 (Table 4.10 and, Appendices79 and 82) showed the</w:t>
      </w:r>
      <w:r>
        <w:rPr>
          <w:spacing w:val="1"/>
          <w:vertAlign w:val="baseline"/>
        </w:rPr>
        <w:t> </w:t>
      </w:r>
      <w:r>
        <w:rPr>
          <w:vertAlign w:val="baseline"/>
        </w:rPr>
        <w:t>carbonyl</w:t>
      </w:r>
      <w:r>
        <w:rPr>
          <w:spacing w:val="6"/>
          <w:vertAlign w:val="baseline"/>
        </w:rPr>
        <w:t> </w:t>
      </w:r>
      <w:r>
        <w:rPr>
          <w:vertAlign w:val="baseline"/>
        </w:rPr>
        <w:t>carbon</w:t>
      </w:r>
      <w:r>
        <w:rPr>
          <w:spacing w:val="5"/>
          <w:vertAlign w:val="baseline"/>
        </w:rPr>
        <w:t> </w:t>
      </w:r>
      <w:r>
        <w:rPr>
          <w:vertAlign w:val="baseline"/>
        </w:rPr>
        <w:t>(C=O)</w:t>
      </w:r>
      <w:r>
        <w:rPr>
          <w:spacing w:val="12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α,β-unsaturated</w:t>
      </w:r>
      <w:r>
        <w:rPr>
          <w:spacing w:val="10"/>
          <w:vertAlign w:val="baseline"/>
        </w:rPr>
        <w:t> </w:t>
      </w:r>
      <w:r>
        <w:rPr>
          <w:vertAlign w:val="baseline"/>
        </w:rPr>
        <w:t>ketone</w:t>
      </w:r>
      <w:r>
        <w:rPr>
          <w:spacing w:val="14"/>
          <w:vertAlign w:val="baseline"/>
        </w:rPr>
        <w:t> </w:t>
      </w:r>
      <w:r>
        <w:rPr>
          <w:vertAlign w:val="baseline"/>
        </w:rPr>
        <w:t>linker</w:t>
      </w:r>
      <w:r>
        <w:rPr>
          <w:spacing w:val="17"/>
          <w:vertAlign w:val="baseline"/>
        </w:rPr>
        <w:t> </w:t>
      </w:r>
      <w:r>
        <w:rPr>
          <w:vertAlign w:val="baseline"/>
        </w:rPr>
        <w:t>in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  <w:r>
        <w:rPr>
          <w:spacing w:val="9"/>
          <w:vertAlign w:val="baseline"/>
        </w:rPr>
        <w:t> </w:t>
      </w:r>
      <w:r>
        <w:rPr>
          <w:vertAlign w:val="baseline"/>
        </w:rPr>
        <w:t>characteristic</w:t>
      </w:r>
      <w:r>
        <w:rPr>
          <w:spacing w:val="9"/>
          <w:vertAlign w:val="baseline"/>
        </w:rPr>
        <w:t> </w:t>
      </w:r>
      <w:r>
        <w:rPr>
          <w:vertAlign w:val="baseline"/>
        </w:rPr>
        <w:t>region</w:t>
      </w:r>
      <w:r>
        <w:rPr>
          <w:spacing w:val="5"/>
          <w:vertAlign w:val="baseline"/>
        </w:rPr>
        <w:t> </w:t>
      </w:r>
      <w:r>
        <w:rPr>
          <w:vertAlign w:val="baseline"/>
        </w:rPr>
        <w:t>of</w:t>
      </w:r>
    </w:p>
    <w:p>
      <w:pPr>
        <w:pStyle w:val="BodyText"/>
        <w:spacing w:line="480" w:lineRule="auto"/>
        <w:ind w:left="312" w:right="693"/>
        <w:jc w:val="both"/>
      </w:pPr>
      <w:r>
        <w:rPr/>
        <w:t>190.47 and, 190.80 ppm respectively. Also, the α and β- carbon atoms with respect to the</w:t>
      </w:r>
      <w:r>
        <w:rPr>
          <w:spacing w:val="1"/>
        </w:rPr>
        <w:t> </w:t>
      </w:r>
      <w:r>
        <w:rPr/>
        <w:t>carbonyl group give rise to characteristic signalsin between δ 125.87-127.48 ppm and δ</w:t>
      </w:r>
      <w:r>
        <w:rPr>
          <w:spacing w:val="1"/>
        </w:rPr>
        <w:t> </w:t>
      </w:r>
      <w:r>
        <w:rPr/>
        <w:t>142.07-142.98 ppm respectively. Also, the positions of all carbon atoms in P19 and P24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assigned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4.10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Appendices</w:t>
      </w:r>
      <w:r>
        <w:rPr>
          <w:spacing w:val="1"/>
        </w:rPr>
        <w:t> </w:t>
      </w:r>
      <w:r>
        <w:rPr/>
        <w:t>79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82.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compounds are not new derivatives no 2D-NMR experiment was performed. </w:t>
      </w:r>
      <w:r>
        <w:rPr>
          <w:vertAlign w:val="superscript"/>
        </w:rPr>
        <w:t>1</w:t>
      </w:r>
      <w:r>
        <w:rPr>
          <w:vertAlign w:val="baseline"/>
        </w:rPr>
        <w:t>HNMR and</w:t>
      </w:r>
      <w:r>
        <w:rPr>
          <w:spacing w:val="1"/>
          <w:vertAlign w:val="baseline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CNMR</w:t>
      </w:r>
      <w:r>
        <w:rPr>
          <w:spacing w:val="-1"/>
          <w:vertAlign w:val="baseline"/>
        </w:rPr>
        <w:t> </w:t>
      </w:r>
      <w:r>
        <w:rPr>
          <w:vertAlign w:val="baseline"/>
        </w:rPr>
        <w:t>data</w:t>
      </w:r>
      <w:r>
        <w:rPr>
          <w:spacing w:val="1"/>
          <w:vertAlign w:val="baseline"/>
        </w:rPr>
        <w:t> </w:t>
      </w:r>
      <w:r>
        <w:rPr>
          <w:vertAlign w:val="baseline"/>
        </w:rPr>
        <w:t>agreed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-3"/>
          <w:vertAlign w:val="baseline"/>
        </w:rPr>
        <w:t> </w:t>
      </w:r>
      <w:r>
        <w:rPr>
          <w:vertAlign w:val="baseline"/>
        </w:rPr>
        <w:t>Liu</w:t>
      </w:r>
      <w:r>
        <w:rPr>
          <w:spacing w:val="4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</w:t>
      </w:r>
      <w:r>
        <w:rPr>
          <w:i/>
          <w:spacing w:val="5"/>
          <w:vertAlign w:val="baseline"/>
        </w:rPr>
        <w:t> </w:t>
      </w:r>
      <w:r>
        <w:rPr>
          <w:vertAlign w:val="baseline"/>
        </w:rPr>
        <w:t>(2001)</w:t>
      </w:r>
      <w:r>
        <w:rPr>
          <w:spacing w:val="-2"/>
          <w:vertAlign w:val="baseline"/>
        </w:rPr>
        <w:t> </w:t>
      </w:r>
      <w:r>
        <w:rPr>
          <w:vertAlign w:val="baseline"/>
        </w:rPr>
        <w:t>values.</w:t>
      </w:r>
    </w:p>
    <w:p>
      <w:pPr>
        <w:pStyle w:val="BodyText"/>
        <w:spacing w:line="480" w:lineRule="auto" w:before="203"/>
        <w:ind w:left="312" w:right="690"/>
        <w:jc w:val="both"/>
      </w:pPr>
      <w:r>
        <w:rPr/>
        <w:t>The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spectral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ion</w:t>
      </w:r>
      <w:r>
        <w:rPr>
          <w:spacing w:val="1"/>
        </w:rPr>
        <w:t> </w:t>
      </w:r>
      <w:r>
        <w:rPr/>
        <w:t>peak</w:t>
      </w:r>
      <w:r>
        <w:rPr>
          <w:spacing w:val="1"/>
        </w:rPr>
        <w:t> </w:t>
      </w:r>
      <w:r>
        <w:rPr/>
        <w:t>(m/z)</w:t>
      </w:r>
      <w:r>
        <w:rPr>
          <w:spacing w:val="1"/>
        </w:rPr>
        <w:t> </w:t>
      </w:r>
      <w:r>
        <w:rPr/>
        <w:t>corresponding to their molecular weight. The molecular ion peaks (M+1)</w:t>
      </w:r>
      <w:r>
        <w:rPr>
          <w:spacing w:val="60"/>
        </w:rPr>
        <w:t> </w:t>
      </w:r>
      <w:r>
        <w:rPr>
          <w:vertAlign w:val="superscript"/>
        </w:rPr>
        <w:t>+</w:t>
      </w:r>
      <w:r>
        <w:rPr>
          <w:vertAlign w:val="baseline"/>
        </w:rPr>
        <w:t> are 269 and</w:t>
      </w:r>
      <w:r>
        <w:rPr>
          <w:spacing w:val="1"/>
          <w:vertAlign w:val="baseline"/>
        </w:rPr>
        <w:t> </w:t>
      </w:r>
      <w:r>
        <w:rPr>
          <w:vertAlign w:val="baseline"/>
        </w:rPr>
        <w:t>299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3"/>
          <w:vertAlign w:val="baseline"/>
        </w:rPr>
        <w:t> </w:t>
      </w:r>
      <w:r>
        <w:rPr>
          <w:vertAlign w:val="baseline"/>
        </w:rPr>
        <w:t>P19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P24</w:t>
      </w:r>
      <w:r>
        <w:rPr>
          <w:spacing w:val="-4"/>
          <w:vertAlign w:val="baseline"/>
        </w:rPr>
        <w:t> </w:t>
      </w:r>
      <w:r>
        <w:rPr>
          <w:vertAlign w:val="baseline"/>
        </w:rPr>
        <w:t>respectively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(Appendices</w:t>
      </w:r>
      <w:r>
        <w:rPr>
          <w:spacing w:val="-1"/>
          <w:vertAlign w:val="baseline"/>
        </w:rPr>
        <w:t> </w:t>
      </w:r>
      <w:r>
        <w:rPr>
          <w:vertAlign w:val="baseline"/>
        </w:rPr>
        <w:t>80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83).</w:t>
      </w:r>
    </w:p>
    <w:p>
      <w:pPr>
        <w:pStyle w:val="Heading1"/>
        <w:numPr>
          <w:ilvl w:val="2"/>
          <w:numId w:val="23"/>
        </w:numPr>
        <w:tabs>
          <w:tab w:pos="908" w:val="left" w:leader="none"/>
        </w:tabs>
        <w:spacing w:line="242" w:lineRule="auto" w:before="202" w:after="0"/>
        <w:ind w:left="312" w:right="698" w:firstLine="0"/>
        <w:jc w:val="both"/>
      </w:pPr>
      <w:bookmarkStart w:name="_TOC_250013" w:id="80"/>
      <w:r>
        <w:rPr/>
        <w:t>Synthesis and characterization of 4-triflouromethyl benzaldehyde Chalcones</w:t>
      </w:r>
      <w:r>
        <w:rPr>
          <w:spacing w:val="1"/>
        </w:rPr>
        <w:t> </w:t>
      </w:r>
      <w:r>
        <w:rPr/>
        <w:t>(P21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bookmarkEnd w:id="80"/>
      <w:r>
        <w:rPr/>
        <w:t>P22)</w:t>
      </w:r>
    </w:p>
    <w:p>
      <w:pPr>
        <w:pStyle w:val="BodyText"/>
        <w:spacing w:line="480" w:lineRule="auto" w:before="192"/>
        <w:ind w:left="312" w:right="687"/>
        <w:jc w:val="both"/>
      </w:pPr>
      <w:r>
        <w:rPr/>
        <w:t>The percentage yield for P21 and, P22 are 58.63% and 97.01% respectively (Table 4.5).</w:t>
      </w:r>
      <w:r>
        <w:rPr>
          <w:spacing w:val="1"/>
        </w:rPr>
        <w:t> </w:t>
      </w:r>
      <w:r>
        <w:rPr/>
        <w:t>Completion of the reaction was established by the disappearance of spots due to reactants</w:t>
      </w:r>
      <w:r>
        <w:rPr>
          <w:spacing w:val="1"/>
        </w:rPr>
        <w:t> </w:t>
      </w:r>
      <w:r>
        <w:rPr/>
        <w:t>on the thin layer chromatogram and appearance of a new spot due to product. P21 and P22</w:t>
      </w:r>
      <w:r>
        <w:rPr>
          <w:spacing w:val="-57"/>
        </w:rPr>
        <w:t> </w:t>
      </w:r>
      <w:r>
        <w:rPr/>
        <w:t>appeared as light-yellow crystals. The sharp melting point (Table 4.5) observed with the</w:t>
      </w:r>
      <w:r>
        <w:rPr>
          <w:spacing w:val="1"/>
        </w:rPr>
        <w:t> </w:t>
      </w:r>
      <w:r>
        <w:rPr/>
        <w:t>three</w:t>
      </w:r>
      <w:r>
        <w:rPr>
          <w:spacing w:val="-1"/>
        </w:rPr>
        <w:t> </w:t>
      </w:r>
      <w:r>
        <w:rPr/>
        <w:t>compounds</w:t>
      </w:r>
      <w:r>
        <w:rPr>
          <w:spacing w:val="-2"/>
        </w:rPr>
        <w:t> </w:t>
      </w:r>
      <w:r>
        <w:rPr/>
        <w:t>suggest that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compounds</w:t>
      </w:r>
      <w:r>
        <w:rPr>
          <w:spacing w:val="2"/>
        </w:rPr>
        <w:t> </w:t>
      </w:r>
      <w:r>
        <w:rPr/>
        <w:t>have</w:t>
      </w:r>
      <w:r>
        <w:rPr>
          <w:spacing w:val="3"/>
        </w:rPr>
        <w:t> </w:t>
      </w:r>
      <w:r>
        <w:rPr/>
        <w:t>high</w:t>
      </w:r>
      <w:r>
        <w:rPr>
          <w:spacing w:val="-4"/>
        </w:rPr>
        <w:t> </w:t>
      </w:r>
      <w:r>
        <w:rPr/>
        <w:t>degree</w:t>
      </w:r>
      <w:r>
        <w:rPr>
          <w:spacing w:val="7"/>
        </w:rPr>
        <w:t> </w:t>
      </w:r>
      <w:r>
        <w:rPr/>
        <w:t>of</w:t>
      </w:r>
      <w:r>
        <w:rPr>
          <w:spacing w:val="-8"/>
        </w:rPr>
        <w:t> </w:t>
      </w:r>
      <w:r>
        <w:rPr/>
        <w:t>purity</w:t>
      </w:r>
      <w:r>
        <w:rPr>
          <w:spacing w:val="-9"/>
        </w:rPr>
        <w:t> </w:t>
      </w:r>
      <w:r>
        <w:rPr/>
        <w:t>(Vogel,</w:t>
      </w:r>
      <w:r>
        <w:rPr>
          <w:spacing w:val="2"/>
        </w:rPr>
        <w:t> </w:t>
      </w:r>
      <w:r>
        <w:rPr/>
        <w:t>1956).</w:t>
      </w:r>
    </w:p>
    <w:p>
      <w:pPr>
        <w:pStyle w:val="BodyText"/>
        <w:spacing w:line="475" w:lineRule="auto" w:before="203"/>
        <w:ind w:left="312" w:right="701"/>
        <w:jc w:val="both"/>
      </w:pPr>
      <w:r>
        <w:rPr/>
        <w:t>The FT-IR data (Appendices86 and 90) were as described in section 5.3.1, with prominent</w:t>
      </w:r>
      <w:r>
        <w:rPr>
          <w:spacing w:val="-57"/>
        </w:rPr>
        <w:t> </w:t>
      </w:r>
      <w:r>
        <w:rPr/>
        <w:t>carbonyl</w:t>
      </w:r>
      <w:r>
        <w:rPr>
          <w:spacing w:val="-9"/>
        </w:rPr>
        <w:t> </w:t>
      </w:r>
      <w:r>
        <w:rPr/>
        <w:t>peak C=O</w:t>
      </w:r>
      <w:r>
        <w:rPr>
          <w:spacing w:val="-1"/>
        </w:rPr>
        <w:t> </w:t>
      </w:r>
      <w:r>
        <w:rPr/>
        <w:t>appearing</w:t>
      </w:r>
      <w:r>
        <w:rPr>
          <w:spacing w:val="-1"/>
        </w:rPr>
        <w:t> </w:t>
      </w:r>
      <w:r>
        <w:rPr/>
        <w:t>at</w:t>
      </w:r>
      <w:r>
        <w:rPr>
          <w:spacing w:val="5"/>
        </w:rPr>
        <w:t> </w:t>
      </w:r>
      <w:r>
        <w:rPr/>
        <w:t>1658 cm</w:t>
      </w:r>
      <w:r>
        <w:rPr>
          <w:vertAlign w:val="superscript"/>
        </w:rPr>
        <w:t>-1</w:t>
      </w:r>
      <w:r>
        <w:rPr>
          <w:spacing w:val="2"/>
          <w:vertAlign w:val="baseline"/>
        </w:rPr>
        <w:t> </w:t>
      </w:r>
      <w:r>
        <w:rPr>
          <w:vertAlign w:val="baseline"/>
        </w:rPr>
        <w:t>and olefinic</w:t>
      </w:r>
      <w:r>
        <w:rPr>
          <w:spacing w:val="-1"/>
          <w:vertAlign w:val="baseline"/>
        </w:rPr>
        <w:t> </w:t>
      </w:r>
      <w:r>
        <w:rPr>
          <w:vertAlign w:val="baseline"/>
        </w:rPr>
        <w:t>=C-H</w:t>
      </w:r>
      <w:r>
        <w:rPr>
          <w:spacing w:val="-1"/>
          <w:vertAlign w:val="baseline"/>
        </w:rPr>
        <w:t> </w:t>
      </w:r>
      <w:r>
        <w:rPr>
          <w:vertAlign w:val="baseline"/>
        </w:rPr>
        <w:t>vibration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4"/>
          <w:vertAlign w:val="baseline"/>
        </w:rPr>
        <w:t> </w:t>
      </w:r>
      <w:r>
        <w:rPr>
          <w:vertAlign w:val="baseline"/>
        </w:rPr>
        <w:t>3008 cm</w:t>
      </w:r>
      <w:r>
        <w:rPr>
          <w:vertAlign w:val="superscript"/>
        </w:rPr>
        <w:t>-1</w:t>
      </w:r>
      <w:r>
        <w:rPr>
          <w:vertAlign w:val="baseline"/>
        </w:rPr>
        <w:t>.</w:t>
      </w:r>
    </w:p>
    <w:p>
      <w:pPr>
        <w:pStyle w:val="BodyText"/>
        <w:spacing w:line="480" w:lineRule="auto" w:before="208"/>
        <w:ind w:left="312" w:right="691"/>
        <w:jc w:val="both"/>
      </w:pPr>
      <w:r>
        <w:rPr/>
        <w:t>The </w:t>
      </w:r>
      <w:r>
        <w:rPr>
          <w:vertAlign w:val="superscript"/>
        </w:rPr>
        <w:t>1</w:t>
      </w:r>
      <w:r>
        <w:rPr>
          <w:vertAlign w:val="baseline"/>
        </w:rPr>
        <w:t>HNMR and, </w:t>
      </w:r>
      <w:r>
        <w:rPr>
          <w:vertAlign w:val="superscript"/>
        </w:rPr>
        <w:t>13</w:t>
      </w:r>
      <w:r>
        <w:rPr>
          <w:vertAlign w:val="baseline"/>
        </w:rPr>
        <w:t>CNMR spectra confirmed the structures of P21 and P22 (Table 4.11).</w:t>
      </w:r>
      <w:r>
        <w:rPr>
          <w:spacing w:val="1"/>
          <w:vertAlign w:val="baseline"/>
        </w:rPr>
        <w:t> </w:t>
      </w:r>
      <w:r>
        <w:rPr>
          <w:vertAlign w:val="baseline"/>
        </w:rPr>
        <w:t>The characteristics α,β- unsaturated ketone linker protons as doublets were observed in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region of7.55 – 7.60ppm (H- α) and 7.77 – 7.80ppm (H- β) with coupling constants of 14-</w:t>
      </w:r>
      <w:r>
        <w:rPr>
          <w:spacing w:val="1"/>
          <w:vertAlign w:val="baseline"/>
        </w:rPr>
        <w:t> </w:t>
      </w:r>
      <w:r>
        <w:rPr>
          <w:vertAlign w:val="baseline"/>
        </w:rPr>
        <w:t>17 Hz (</w:t>
      </w:r>
      <w:r>
        <w:rPr>
          <w:i/>
          <w:vertAlign w:val="baseline"/>
        </w:rPr>
        <w:t>trans</w:t>
      </w:r>
      <w:r>
        <w:rPr>
          <w:vertAlign w:val="baseline"/>
        </w:rPr>
        <w:t>-isomers) and the methoxy protons as singlet in the region of 3.89 – 4.04 ppm,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rest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55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protons</w:t>
      </w:r>
      <w:r>
        <w:rPr>
          <w:spacing w:val="2"/>
          <w:vertAlign w:val="baseline"/>
        </w:rPr>
        <w:t> </w:t>
      </w:r>
      <w:r>
        <w:rPr>
          <w:vertAlign w:val="baseline"/>
        </w:rPr>
        <w:t>appeared</w:t>
      </w:r>
      <w:r>
        <w:rPr>
          <w:spacing w:val="10"/>
          <w:vertAlign w:val="baseline"/>
        </w:rPr>
        <w:t> </w:t>
      </w:r>
      <w:r>
        <w:rPr>
          <w:vertAlign w:val="baseline"/>
        </w:rPr>
        <w:t>in</w:t>
      </w:r>
      <w:r>
        <w:rPr>
          <w:spacing w:val="58"/>
          <w:vertAlign w:val="baseline"/>
        </w:rPr>
        <w:t> </w:t>
      </w:r>
      <w:r>
        <w:rPr>
          <w:vertAlign w:val="baseline"/>
        </w:rPr>
        <w:t>their</w:t>
      </w:r>
      <w:r>
        <w:rPr>
          <w:spacing w:val="6"/>
          <w:vertAlign w:val="baseline"/>
        </w:rPr>
        <w:t> </w:t>
      </w:r>
      <w:r>
        <w:rPr>
          <w:vertAlign w:val="baseline"/>
        </w:rPr>
        <w:t>expected</w:t>
      </w:r>
      <w:r>
        <w:rPr>
          <w:spacing w:val="4"/>
          <w:vertAlign w:val="baseline"/>
        </w:rPr>
        <w:t> </w:t>
      </w:r>
      <w:r>
        <w:rPr>
          <w:vertAlign w:val="baseline"/>
        </w:rPr>
        <w:t>regions</w:t>
      </w:r>
      <w:r>
        <w:rPr>
          <w:spacing w:val="2"/>
          <w:vertAlign w:val="baseline"/>
        </w:rPr>
        <w:t> </w:t>
      </w:r>
      <w:r>
        <w:rPr>
          <w:vertAlign w:val="baseline"/>
        </w:rPr>
        <w:t>with</w:t>
      </w:r>
      <w:r>
        <w:rPr>
          <w:spacing w:val="59"/>
          <w:vertAlign w:val="baseline"/>
        </w:rPr>
        <w:t> </w:t>
      </w:r>
      <w:r>
        <w:rPr>
          <w:vertAlign w:val="baseline"/>
        </w:rPr>
        <w:t>their</w:t>
      </w:r>
      <w:r>
        <w:rPr>
          <w:spacing w:val="6"/>
          <w:vertAlign w:val="baseline"/>
        </w:rPr>
        <w:t> </w:t>
      </w:r>
      <w:r>
        <w:rPr>
          <w:vertAlign w:val="baseline"/>
        </w:rPr>
        <w:t>usual</w:t>
      </w:r>
      <w:r>
        <w:rPr>
          <w:spacing w:val="5"/>
          <w:vertAlign w:val="baseline"/>
        </w:rPr>
        <w:t> </w:t>
      </w:r>
      <w:r>
        <w:rPr>
          <w:vertAlign w:val="baseline"/>
        </w:rPr>
        <w:t>coupling</w:t>
      </w:r>
    </w:p>
    <w:p>
      <w:pPr>
        <w:spacing w:after="0" w:line="480" w:lineRule="auto"/>
        <w:jc w:val="both"/>
        <w:sectPr>
          <w:headerReference w:type="default" r:id="rId401"/>
          <w:footerReference w:type="default" r:id="rId402"/>
          <w:pgSz w:w="11910" w:h="16840"/>
          <w:pgMar w:header="0" w:footer="878" w:top="1160" w:bottom="1060" w:left="1560" w:right="600"/>
        </w:sectPr>
      </w:pPr>
    </w:p>
    <w:p>
      <w:pPr>
        <w:pStyle w:val="BodyText"/>
        <w:spacing w:line="480" w:lineRule="auto" w:before="110"/>
        <w:ind w:left="312" w:right="686"/>
        <w:jc w:val="both"/>
      </w:pPr>
      <w:r>
        <w:rPr/>
        <w:t>constants (Table 4.11 and,</w:t>
      </w:r>
      <w:r>
        <w:rPr>
          <w:spacing w:val="1"/>
        </w:rPr>
        <w:t> </w:t>
      </w:r>
      <w:r>
        <w:rPr/>
        <w:t>Appendices 87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91).</w:t>
      </w:r>
      <w:r>
        <w:rPr>
          <w:spacing w:val="1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CNMR spectra of P21</w:t>
      </w:r>
      <w:r>
        <w:rPr>
          <w:spacing w:val="60"/>
          <w:vertAlign w:val="baseline"/>
        </w:rPr>
        <w:t> </w:t>
      </w:r>
      <w:r>
        <w:rPr>
          <w:vertAlign w:val="baseline"/>
        </w:rPr>
        <w:t>and P22</w:t>
      </w:r>
      <w:r>
        <w:rPr>
          <w:spacing w:val="1"/>
          <w:vertAlign w:val="baseline"/>
        </w:rPr>
        <w:t> </w:t>
      </w:r>
      <w:r>
        <w:rPr>
          <w:vertAlign w:val="baseline"/>
        </w:rPr>
        <w:t>(Table 4.11 and, Appendices88 and 92) showed the carbonyl carbon (C=O) of the α,β-</w:t>
      </w:r>
      <w:r>
        <w:rPr>
          <w:spacing w:val="1"/>
          <w:vertAlign w:val="baseline"/>
        </w:rPr>
        <w:t> </w:t>
      </w:r>
      <w:r>
        <w:rPr>
          <w:vertAlign w:val="baseline"/>
        </w:rPr>
        <w:t>unsaturated</w:t>
      </w:r>
      <w:r>
        <w:rPr>
          <w:spacing w:val="1"/>
          <w:vertAlign w:val="baseline"/>
        </w:rPr>
        <w:t> </w:t>
      </w:r>
      <w:r>
        <w:rPr>
          <w:vertAlign w:val="baseline"/>
        </w:rPr>
        <w:t>ketone</w:t>
      </w:r>
      <w:r>
        <w:rPr>
          <w:spacing w:val="1"/>
          <w:vertAlign w:val="baseline"/>
        </w:rPr>
        <w:t> </w:t>
      </w:r>
      <w:r>
        <w:rPr>
          <w:vertAlign w:val="baseline"/>
        </w:rPr>
        <w:t>linker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characteristic</w:t>
      </w:r>
      <w:r>
        <w:rPr>
          <w:spacing w:val="1"/>
          <w:vertAlign w:val="baseline"/>
        </w:rPr>
        <w:t> </w:t>
      </w:r>
      <w:r>
        <w:rPr>
          <w:vertAlign w:val="baseline"/>
        </w:rPr>
        <w:t>region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189.76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189.46ppm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respectively. Also, the α and β- carbon atoms with respect to the carbonyl group give rise</w:t>
      </w:r>
      <w:r>
        <w:rPr>
          <w:spacing w:val="1"/>
          <w:vertAlign w:val="baseline"/>
        </w:rPr>
        <w:t> </w:t>
      </w:r>
      <w:r>
        <w:rPr>
          <w:vertAlign w:val="baseline"/>
        </w:rPr>
        <w:t>to characteristic signals in between δ 123.73 - 124.75 ppm and δ 139.60 -142.20 ppm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respectively. The positions of all carbon atoms in P21 and 22 have been assigned as shown</w:t>
      </w:r>
      <w:r>
        <w:rPr>
          <w:spacing w:val="-57"/>
          <w:vertAlign w:val="baseline"/>
        </w:rPr>
        <w:t> </w:t>
      </w:r>
      <w:r>
        <w:rPr>
          <w:vertAlign w:val="baseline"/>
        </w:rPr>
        <w:t>on Table 4.11 and, Appendices 88 and 92. Since the compounds are</w:t>
      </w:r>
      <w:r>
        <w:rPr>
          <w:spacing w:val="60"/>
          <w:vertAlign w:val="baseline"/>
        </w:rPr>
        <w:t> </w:t>
      </w:r>
      <w:r>
        <w:rPr>
          <w:vertAlign w:val="baseline"/>
        </w:rPr>
        <w:t>not new derivatives</w:t>
      </w:r>
      <w:r>
        <w:rPr>
          <w:spacing w:val="1"/>
          <w:vertAlign w:val="baseline"/>
        </w:rPr>
        <w:t> </w:t>
      </w:r>
      <w:r>
        <w:rPr>
          <w:vertAlign w:val="baseline"/>
        </w:rPr>
        <w:t>no 2D-NMR experiment was performed, and the NMR spectra agree with the literature</w:t>
      </w:r>
      <w:r>
        <w:rPr>
          <w:spacing w:val="1"/>
          <w:vertAlign w:val="baseline"/>
        </w:rPr>
        <w:t> </w:t>
      </w:r>
      <w:r>
        <w:rPr>
          <w:vertAlign w:val="baseline"/>
        </w:rPr>
        <w:t>(Liu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2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5"/>
          <w:vertAlign w:val="baseline"/>
        </w:rPr>
        <w:t> </w:t>
      </w:r>
      <w:r>
        <w:rPr>
          <w:vertAlign w:val="baseline"/>
        </w:rPr>
        <w:t>2001).</w:t>
      </w:r>
    </w:p>
    <w:p>
      <w:pPr>
        <w:pStyle w:val="BodyText"/>
        <w:spacing w:line="480" w:lineRule="auto" w:before="203"/>
        <w:ind w:left="312" w:right="695"/>
        <w:jc w:val="both"/>
      </w:pPr>
      <w:r>
        <w:rPr/>
        <w:t>The mass spectral data of the P21 (Appendix 89) indicated the molecular ion peak (m/z)</w:t>
      </w:r>
      <w:r>
        <w:rPr>
          <w:spacing w:val="1"/>
        </w:rPr>
        <w:t> </w:t>
      </w:r>
      <w:r>
        <w:rPr/>
        <w:t>corresponding to its molecular weight (Table 4.4). The molecular ion peak (M+1) </w:t>
      </w:r>
      <w:r>
        <w:rPr>
          <w:vertAlign w:val="superscript"/>
        </w:rPr>
        <w:t>+</w:t>
      </w:r>
      <w:r>
        <w:rPr>
          <w:vertAlign w:val="baseline"/>
        </w:rPr>
        <w:t> is 337</w:t>
      </w:r>
      <w:r>
        <w:rPr>
          <w:spacing w:val="1"/>
          <w:vertAlign w:val="baseline"/>
        </w:rPr>
        <w:t> </w:t>
      </w:r>
      <w:r>
        <w:rPr>
          <w:vertAlign w:val="baseline"/>
        </w:rPr>
        <w:t>(Appendix</w:t>
      </w:r>
      <w:r>
        <w:rPr>
          <w:spacing w:val="-4"/>
          <w:vertAlign w:val="baseline"/>
        </w:rPr>
        <w:t> </w:t>
      </w:r>
      <w:r>
        <w:rPr>
          <w:vertAlign w:val="baseline"/>
        </w:rPr>
        <w:t>89).</w:t>
      </w:r>
    </w:p>
    <w:p>
      <w:pPr>
        <w:pStyle w:val="Heading1"/>
        <w:numPr>
          <w:ilvl w:val="1"/>
          <w:numId w:val="24"/>
        </w:numPr>
        <w:tabs>
          <w:tab w:pos="3804" w:val="left" w:leader="none"/>
        </w:tabs>
        <w:spacing w:line="240" w:lineRule="auto" w:before="202" w:after="0"/>
        <w:ind w:left="3804" w:right="0" w:hanging="366"/>
        <w:jc w:val="both"/>
      </w:pPr>
      <w:bookmarkStart w:name="_TOC_250012" w:id="81"/>
      <w:r>
        <w:rPr/>
        <w:t>Antimalarial</w:t>
      </w:r>
      <w:r>
        <w:rPr>
          <w:spacing w:val="-7"/>
        </w:rPr>
        <w:t> </w:t>
      </w:r>
      <w:bookmarkEnd w:id="81"/>
      <w:r>
        <w:rPr/>
        <w:t>Studies</w:t>
      </w:r>
    </w:p>
    <w:p>
      <w:pPr>
        <w:pStyle w:val="Heading1"/>
        <w:numPr>
          <w:ilvl w:val="2"/>
          <w:numId w:val="25"/>
        </w:numPr>
        <w:tabs>
          <w:tab w:pos="856" w:val="left" w:leader="none"/>
        </w:tabs>
        <w:spacing w:line="240" w:lineRule="auto" w:before="200" w:after="0"/>
        <w:ind w:left="855" w:right="0" w:hanging="544"/>
        <w:jc w:val="both"/>
      </w:pPr>
      <w:bookmarkStart w:name="_TOC_250011" w:id="82"/>
      <w:r>
        <w:rPr>
          <w:i/>
        </w:rPr>
        <w:t>In-vivo</w:t>
      </w:r>
      <w:r>
        <w:rPr>
          <w:i/>
          <w:spacing w:val="-2"/>
        </w:rPr>
        <w:t> </w:t>
      </w:r>
      <w:r>
        <w:rPr/>
        <w:t>antimalarial</w:t>
      </w:r>
      <w:r>
        <w:rPr>
          <w:spacing w:val="-7"/>
        </w:rPr>
        <w:t> </w:t>
      </w:r>
      <w:r>
        <w:rPr/>
        <w:t>studies</w:t>
      </w:r>
      <w:r>
        <w:rPr>
          <w:spacing w:val="-5"/>
        </w:rPr>
        <w:t> </w:t>
      </w:r>
      <w:r>
        <w:rPr/>
        <w:t>(Curative</w:t>
      </w:r>
      <w:r>
        <w:rPr>
          <w:spacing w:val="-3"/>
        </w:rPr>
        <w:t> </w:t>
      </w:r>
      <w:bookmarkEnd w:id="82"/>
      <w:r>
        <w:rPr/>
        <w:t>test)</w:t>
      </w:r>
    </w:p>
    <w:p>
      <w:pPr>
        <w:pStyle w:val="BodyText"/>
        <w:spacing w:line="480" w:lineRule="auto" w:before="199"/>
        <w:ind w:left="312" w:right="692"/>
        <w:jc w:val="both"/>
      </w:pPr>
      <w:r>
        <w:rPr/>
        <w:t>Rane‗s test evaluates the curative capability of test compounds on established infection</w:t>
      </w:r>
      <w:r>
        <w:rPr>
          <w:spacing w:val="1"/>
        </w:rPr>
        <w:t> </w:t>
      </w:r>
      <w:r>
        <w:rPr/>
        <w:t>(Ryley</w:t>
      </w:r>
      <w:r>
        <w:rPr>
          <w:spacing w:val="4"/>
        </w:rPr>
        <w:t> </w:t>
      </w:r>
      <w:r>
        <w:rPr/>
        <w:t>and</w:t>
      </w:r>
      <w:r>
        <w:rPr>
          <w:spacing w:val="9"/>
        </w:rPr>
        <w:t> </w:t>
      </w:r>
      <w:r>
        <w:rPr/>
        <w:t>Peters,</w:t>
      </w:r>
      <w:r>
        <w:rPr>
          <w:spacing w:val="12"/>
        </w:rPr>
        <w:t> </w:t>
      </w:r>
      <w:r>
        <w:rPr/>
        <w:t>1970).</w:t>
      </w:r>
      <w:r>
        <w:rPr>
          <w:spacing w:val="7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curative</w:t>
      </w:r>
      <w:r>
        <w:rPr>
          <w:spacing w:val="14"/>
        </w:rPr>
        <w:t> </w:t>
      </w:r>
      <w:r>
        <w:rPr/>
        <w:t>study the</w:t>
      </w:r>
      <w:r>
        <w:rPr>
          <w:spacing w:val="9"/>
        </w:rPr>
        <w:t> </w:t>
      </w:r>
      <w:r>
        <w:rPr/>
        <w:t>substituted</w:t>
      </w:r>
      <w:r>
        <w:rPr>
          <w:spacing w:val="9"/>
        </w:rPr>
        <w:t> </w:t>
      </w:r>
      <w:r>
        <w:rPr/>
        <w:t>chalcones</w:t>
      </w:r>
      <w:r>
        <w:rPr>
          <w:spacing w:val="8"/>
        </w:rPr>
        <w:t> </w:t>
      </w:r>
      <w:r>
        <w:rPr/>
        <w:t>did</w:t>
      </w:r>
      <w:r>
        <w:rPr>
          <w:spacing w:val="9"/>
        </w:rPr>
        <w:t> </w:t>
      </w:r>
      <w:r>
        <w:rPr/>
        <w:t>not</w:t>
      </w:r>
      <w:r>
        <w:rPr>
          <w:spacing w:val="14"/>
        </w:rPr>
        <w:t> </w:t>
      </w:r>
      <w:r>
        <w:rPr/>
        <w:t>eradicate</w:t>
      </w:r>
    </w:p>
    <w:p>
      <w:pPr>
        <w:pStyle w:val="BodyText"/>
        <w:spacing w:line="480" w:lineRule="auto"/>
        <w:ind w:left="312" w:right="692"/>
        <w:jc w:val="both"/>
      </w:pPr>
      <w:r>
        <w:rPr>
          <w:i/>
        </w:rPr>
        <w:t>P. falciparum </w:t>
      </w:r>
      <w:r>
        <w:rPr/>
        <w:t>parasite completely on four days treatment, but showed significant parasite</w:t>
      </w:r>
      <w:r>
        <w:rPr>
          <w:spacing w:val="1"/>
        </w:rPr>
        <w:t> </w:t>
      </w:r>
      <w:r>
        <w:rPr/>
        <w:t>suppressive effects. Nine of the compounds showed antimalarial potentials greater than</w:t>
      </w:r>
      <w:r>
        <w:rPr>
          <w:spacing w:val="1"/>
        </w:rPr>
        <w:t> </w:t>
      </w:r>
      <w:r>
        <w:rPr/>
        <w:t>standard drugs used in the study at certain dose (Figure 4.7, Appendix 1). In the first</w:t>
      </w:r>
      <w:r>
        <w:rPr>
          <w:spacing w:val="1"/>
        </w:rPr>
        <w:t> </w:t>
      </w:r>
      <w:r>
        <w:rPr/>
        <w:t>segment of the experiment P3, P4, P8 and P25 showed significant non-dose dependent</w:t>
      </w:r>
      <w:r>
        <w:rPr>
          <w:spacing w:val="1"/>
        </w:rPr>
        <w:t> </w:t>
      </w:r>
      <w:r>
        <w:rPr/>
        <w:t>parasitemia suppression with highest percentage inhibition of 73.9, 67.1, 77.6, and 72.3%</w:t>
      </w:r>
      <w:r>
        <w:rPr>
          <w:spacing w:val="1"/>
        </w:rPr>
        <w:t> </w:t>
      </w:r>
      <w:r>
        <w:rPr/>
        <w:t>respectively. At a dose of 25, 50, 100 and 25mg for P3, P4, P8 and P25 suppressed the</w:t>
      </w:r>
      <w:r>
        <w:rPr>
          <w:spacing w:val="1"/>
        </w:rPr>
        <w:t> </w:t>
      </w:r>
      <w:r>
        <w:rPr/>
        <w:t>parasitemia better than chloroquine (57.5% inhibition) at a dose of 10mg/kg, arthemeter</w:t>
      </w:r>
      <w:r>
        <w:rPr>
          <w:spacing w:val="1"/>
        </w:rPr>
        <w:t> </w:t>
      </w:r>
      <w:r>
        <w:rPr/>
        <w:t>(67% inhibition) at a dose of 1.8mg. However, P2 showed significant suppression (90%,</w:t>
      </w:r>
      <w:r>
        <w:rPr>
          <w:spacing w:val="1"/>
        </w:rPr>
        <w:t> </w:t>
      </w:r>
      <w:r>
        <w:rPr>
          <w:i/>
        </w:rPr>
        <w:t>p</w:t>
      </w:r>
      <w:r>
        <w:rPr/>
        <w:t>˂0.05)</w:t>
      </w:r>
      <w:r>
        <w:rPr>
          <w:spacing w:val="66"/>
        </w:rPr>
        <w:t> </w:t>
      </w:r>
      <w:r>
        <w:rPr/>
        <w:t>comparable</w:t>
      </w:r>
      <w:r>
        <w:rPr>
          <w:spacing w:val="65"/>
        </w:rPr>
        <w:t> </w:t>
      </w:r>
      <w:r>
        <w:rPr/>
        <w:t>to</w:t>
      </w:r>
      <w:r>
        <w:rPr>
          <w:spacing w:val="66"/>
        </w:rPr>
        <w:t> </w:t>
      </w:r>
      <w:r>
        <w:rPr/>
        <w:t>the</w:t>
      </w:r>
      <w:r>
        <w:rPr>
          <w:spacing w:val="65"/>
        </w:rPr>
        <w:t> </w:t>
      </w:r>
      <w:r>
        <w:rPr/>
        <w:t>most</w:t>
      </w:r>
      <w:r>
        <w:rPr>
          <w:spacing w:val="71"/>
        </w:rPr>
        <w:t> </w:t>
      </w:r>
      <w:r>
        <w:rPr/>
        <w:t>potent</w:t>
      </w:r>
      <w:r>
        <w:rPr>
          <w:spacing w:val="71"/>
        </w:rPr>
        <w:t> </w:t>
      </w:r>
      <w:r>
        <w:rPr/>
        <w:t>standard</w:t>
      </w:r>
      <w:r>
        <w:rPr>
          <w:spacing w:val="66"/>
        </w:rPr>
        <w:t> </w:t>
      </w:r>
      <w:r>
        <w:rPr/>
        <w:t>drug</w:t>
      </w:r>
      <w:r>
        <w:rPr>
          <w:spacing w:val="65"/>
        </w:rPr>
        <w:t> </w:t>
      </w:r>
      <w:r>
        <w:rPr/>
        <w:t>in</w:t>
      </w:r>
      <w:r>
        <w:rPr>
          <w:spacing w:val="61"/>
        </w:rPr>
        <w:t> </w:t>
      </w:r>
      <w:r>
        <w:rPr/>
        <w:t>this</w:t>
      </w:r>
      <w:r>
        <w:rPr>
          <w:spacing w:val="64"/>
        </w:rPr>
        <w:t> </w:t>
      </w:r>
      <w:r>
        <w:rPr/>
        <w:t>study;</w:t>
      </w:r>
      <w:r>
        <w:rPr>
          <w:spacing w:val="62"/>
        </w:rPr>
        <w:t> </w:t>
      </w:r>
      <w:r>
        <w:rPr/>
        <w:t>quinine</w:t>
      </w:r>
      <w:r>
        <w:rPr>
          <w:spacing w:val="65"/>
        </w:rPr>
        <w:t> </w:t>
      </w:r>
      <w:r>
        <w:rPr/>
        <w:t>(88.5%</w:t>
      </w:r>
    </w:p>
    <w:p>
      <w:pPr>
        <w:spacing w:after="0" w:line="480" w:lineRule="auto"/>
        <w:jc w:val="both"/>
        <w:sectPr>
          <w:headerReference w:type="default" r:id="rId403"/>
          <w:footerReference w:type="default" r:id="rId404"/>
          <w:pgSz w:w="11910" w:h="16840"/>
          <w:pgMar w:header="0" w:footer="878" w:top="1160" w:bottom="1060" w:left="1560" w:right="600"/>
        </w:sectPr>
      </w:pPr>
    </w:p>
    <w:p>
      <w:pPr>
        <w:pStyle w:val="BodyText"/>
        <w:spacing w:line="480" w:lineRule="auto" w:before="70"/>
        <w:ind w:left="312" w:right="699"/>
        <w:jc w:val="both"/>
      </w:pPr>
      <w:r>
        <w:rPr/>
        <w:t>suppression) at a dose of 100mg/kg. Interestingly, there is a good representation of active</w:t>
      </w:r>
      <w:r>
        <w:rPr>
          <w:spacing w:val="1"/>
        </w:rPr>
        <w:t> </w:t>
      </w:r>
      <w:r>
        <w:rPr/>
        <w:t>compounds from the quinolinyl chalcones (P3, P4, and P8). Quinolones are established</w:t>
      </w:r>
      <w:r>
        <w:rPr>
          <w:spacing w:val="1"/>
        </w:rPr>
        <w:t> </w:t>
      </w:r>
      <w:r>
        <w:rPr/>
        <w:t>chemical scaffold in antimalarials (Sinha </w:t>
      </w:r>
      <w:r>
        <w:rPr>
          <w:i/>
        </w:rPr>
        <w:t>et al., </w:t>
      </w:r>
      <w:r>
        <w:rPr/>
        <w:t>2013). Several quinolinyl chalcones have</w:t>
      </w:r>
      <w:r>
        <w:rPr>
          <w:spacing w:val="1"/>
        </w:rPr>
        <w:t> </w:t>
      </w:r>
      <w:r>
        <w:rPr/>
        <w:t>been</w:t>
      </w:r>
      <w:r>
        <w:rPr>
          <w:spacing w:val="-5"/>
        </w:rPr>
        <w:t> </w:t>
      </w:r>
      <w:r>
        <w:rPr/>
        <w:t>reported</w:t>
      </w:r>
      <w:r>
        <w:rPr>
          <w:spacing w:val="-5"/>
        </w:rPr>
        <w:t> </w:t>
      </w:r>
      <w:r>
        <w:rPr/>
        <w:t>to possess</w:t>
      </w:r>
      <w:r>
        <w:rPr>
          <w:spacing w:val="1"/>
        </w:rPr>
        <w:t> </w:t>
      </w:r>
      <w:r>
        <w:rPr>
          <w:i/>
        </w:rPr>
        <w:t>in vitro </w:t>
      </w:r>
      <w:r>
        <w:rPr/>
        <w:t>anti-plasmodial</w:t>
      </w:r>
      <w:r>
        <w:rPr>
          <w:spacing w:val="-5"/>
        </w:rPr>
        <w:t> </w:t>
      </w:r>
      <w:r>
        <w:rPr/>
        <w:t>activity</w:t>
      </w:r>
      <w:r>
        <w:rPr>
          <w:spacing w:val="-9"/>
        </w:rPr>
        <w:t> </w:t>
      </w:r>
      <w:r>
        <w:rPr/>
        <w:t>(Li </w:t>
      </w:r>
      <w:r>
        <w:rPr>
          <w:i/>
        </w:rPr>
        <w:t>et al.,</w:t>
      </w:r>
      <w:r>
        <w:rPr>
          <w:i/>
          <w:spacing w:val="3"/>
        </w:rPr>
        <w:t> </w:t>
      </w:r>
      <w:r>
        <w:rPr/>
        <w:t>1995;</w:t>
      </w:r>
      <w:r>
        <w:rPr>
          <w:spacing w:val="-5"/>
        </w:rPr>
        <w:t> </w:t>
      </w:r>
      <w:r>
        <w:rPr/>
        <w:t>Liu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-2"/>
        </w:rPr>
        <w:t> </w:t>
      </w:r>
      <w:r>
        <w:rPr/>
        <w:t>2001).</w:t>
      </w:r>
    </w:p>
    <w:p>
      <w:pPr>
        <w:pStyle w:val="BodyText"/>
        <w:spacing w:line="480" w:lineRule="auto" w:before="202"/>
        <w:ind w:left="312" w:right="685"/>
        <w:jc w:val="both"/>
      </w:pPr>
      <w:r>
        <w:rPr/>
        <w:t>In the second segment of the study, with the exception of P13 and P19 all the compounds</w:t>
      </w:r>
      <w:r>
        <w:rPr>
          <w:spacing w:val="1"/>
        </w:rPr>
        <w:t> </w:t>
      </w:r>
      <w:r>
        <w:rPr/>
        <w:t>showed significant </w:t>
      </w:r>
      <w:r>
        <w:rPr>
          <w:i/>
        </w:rPr>
        <w:t>invivo </w:t>
      </w:r>
      <w:r>
        <w:rPr/>
        <w:t>activity compared to the negativecontrol. P12 had the most</w:t>
      </w:r>
      <w:r>
        <w:rPr>
          <w:spacing w:val="1"/>
        </w:rPr>
        <w:t> </w:t>
      </w:r>
      <w:r>
        <w:rPr/>
        <w:t>significant parasite suppression (89.44% at a dose of 100mg) which is close to chloroquine</w:t>
      </w:r>
      <w:r>
        <w:rPr>
          <w:spacing w:val="-57"/>
        </w:rPr>
        <w:t> </w:t>
      </w:r>
      <w:r>
        <w:rPr/>
        <w:t>(91.8% inhibition) at</w:t>
      </w:r>
      <w:r>
        <w:rPr>
          <w:spacing w:val="1"/>
        </w:rPr>
        <w:t> </w:t>
      </w:r>
      <w:r>
        <w:rPr/>
        <w:t>a dose of 25mg/kg.</w:t>
      </w:r>
      <w:r>
        <w:rPr>
          <w:spacing w:val="1"/>
        </w:rPr>
        <w:t> </w:t>
      </w:r>
      <w:r>
        <w:rPr>
          <w:i/>
        </w:rPr>
        <w:t>Invitro</w:t>
      </w:r>
      <w:r>
        <w:rPr>
          <w:i/>
          <w:spacing w:val="1"/>
        </w:rPr>
        <w:t> </w:t>
      </w:r>
      <w:r>
        <w:rPr/>
        <w:t>antiplasmodial activity against</w:t>
      </w:r>
      <w:r>
        <w:rPr>
          <w:spacing w:val="60"/>
        </w:rPr>
        <w:t> </w:t>
      </w:r>
      <w:r>
        <w:rPr/>
        <w:t>W2 and</w:t>
      </w:r>
      <w:r>
        <w:rPr>
          <w:spacing w:val="1"/>
        </w:rPr>
        <w:t> </w:t>
      </w:r>
      <w:r>
        <w:rPr/>
        <w:t>D6 plasmodium parasite of P11 was reported by Li </w:t>
      </w:r>
      <w:r>
        <w:rPr>
          <w:i/>
        </w:rPr>
        <w:t>et al.</w:t>
      </w:r>
      <w:r>
        <w:rPr/>
        <w:t>(1995) where, it showed moderate</w:t>
      </w:r>
      <w:r>
        <w:rPr>
          <w:spacing w:val="-57"/>
        </w:rPr>
        <w:t> </w:t>
      </w:r>
      <w:r>
        <w:rPr/>
        <w:t>activity of 3.8 µM (W2) and 3.4 µM (D6) compared to the control: chloroquine with 0.24</w:t>
      </w:r>
      <w:r>
        <w:rPr>
          <w:spacing w:val="1"/>
        </w:rPr>
        <w:t> </w:t>
      </w:r>
      <w:r>
        <w:rPr/>
        <w:t>µM (W2) and 0,013 µM (D6). Though, </w:t>
      </w:r>
      <w:r>
        <w:rPr>
          <w:i/>
        </w:rPr>
        <w:t>invitro </w:t>
      </w:r>
      <w:r>
        <w:rPr/>
        <w:t>results are not always correlated to </w:t>
      </w:r>
      <w:r>
        <w:rPr>
          <w:i/>
        </w:rPr>
        <w:t>invivo</w:t>
      </w:r>
      <w:r>
        <w:rPr>
          <w:i/>
          <w:spacing w:val="1"/>
        </w:rPr>
        <w:t> </w:t>
      </w:r>
      <w:r>
        <w:rPr/>
        <w:t>studies. P17 and P21 were also reported to possessed good </w:t>
      </w:r>
      <w:r>
        <w:rPr>
          <w:i/>
        </w:rPr>
        <w:t>invitro </w:t>
      </w:r>
      <w:r>
        <w:rPr/>
        <w:t>anti-plasmodial activity</w:t>
      </w:r>
      <w:r>
        <w:rPr>
          <w:spacing w:val="1"/>
        </w:rPr>
        <w:t> </w:t>
      </w:r>
      <w:r>
        <w:rPr/>
        <w:t>with IC</w:t>
      </w:r>
      <w:r>
        <w:rPr>
          <w:vertAlign w:val="subscript"/>
        </w:rPr>
        <w:t>50</w:t>
      </w:r>
      <w:r>
        <w:rPr>
          <w:vertAlign w:val="baseline"/>
        </w:rPr>
        <w:t> value of 16.5µM and 5.9µM respectively and P15 reported to displayed modest</w:t>
      </w:r>
      <w:r>
        <w:rPr>
          <w:spacing w:val="1"/>
          <w:vertAlign w:val="baseline"/>
        </w:rPr>
        <w:t> </w:t>
      </w:r>
      <w:r>
        <w:rPr>
          <w:vertAlign w:val="baseline"/>
        </w:rPr>
        <w:t>activity (128 µM) (Liu </w:t>
      </w:r>
      <w:r>
        <w:rPr>
          <w:i/>
          <w:vertAlign w:val="baseline"/>
        </w:rPr>
        <w:t>et al., </w:t>
      </w:r>
      <w:r>
        <w:rPr>
          <w:vertAlign w:val="baseline"/>
        </w:rPr>
        <w:t>2001). However, from the literature P12, P16 and P22 were</w:t>
      </w:r>
      <w:r>
        <w:rPr>
          <w:spacing w:val="1"/>
          <w:vertAlign w:val="baseline"/>
        </w:rPr>
        <w:t> </w:t>
      </w:r>
      <w:r>
        <w:rPr>
          <w:vertAlign w:val="baseline"/>
        </w:rPr>
        <w:t>not evaluated for antimalarial activity (</w:t>
      </w:r>
      <w:hyperlink r:id="rId386">
        <w:r>
          <w:rPr>
            <w:color w:val="0000FF"/>
            <w:u w:val="single" w:color="0000FF"/>
            <w:vertAlign w:val="baseline"/>
          </w:rPr>
          <w:t>www.scifinder.com</w:t>
        </w:r>
      </w:hyperlink>
      <w:r>
        <w:rPr>
          <w:vertAlign w:val="baseline"/>
        </w:rPr>
        <w:t>).Although they have a simple</w:t>
      </w:r>
      <w:r>
        <w:rPr>
          <w:spacing w:val="1"/>
          <w:vertAlign w:val="baseline"/>
        </w:rPr>
        <w:t> </w:t>
      </w:r>
      <w:r>
        <w:rPr>
          <w:vertAlign w:val="baseline"/>
        </w:rPr>
        <w:t>substitution, having unsubstituted ring B they were found to exhibit significant parasite</w:t>
      </w:r>
      <w:r>
        <w:rPr>
          <w:spacing w:val="1"/>
          <w:vertAlign w:val="baseline"/>
        </w:rPr>
        <w:t> </w:t>
      </w:r>
      <w:r>
        <w:rPr>
          <w:vertAlign w:val="baseline"/>
        </w:rPr>
        <w:t>suppression.</w:t>
      </w:r>
    </w:p>
    <w:p>
      <w:pPr>
        <w:pStyle w:val="BodyText"/>
        <w:spacing w:line="480" w:lineRule="auto" w:before="200"/>
        <w:ind w:left="312" w:right="691"/>
        <w:jc w:val="both"/>
      </w:pPr>
      <w:r>
        <w:rPr/>
        <w:t>Overall, among the six series studied, chalcones with 2-Cl quinoline ring A were more</w:t>
      </w:r>
      <w:r>
        <w:rPr>
          <w:spacing w:val="1"/>
        </w:rPr>
        <w:t> </w:t>
      </w:r>
      <w:r>
        <w:rPr/>
        <w:t>promising. The most active in the series are P3 and P8 with 6‖- OCH</w:t>
      </w:r>
      <w:r>
        <w:rPr>
          <w:vertAlign w:val="subscript"/>
        </w:rPr>
        <w:t>3</w:t>
      </w:r>
      <w:r>
        <w:rPr>
          <w:vertAlign w:val="baseline"/>
        </w:rPr>
        <w:t> substitution on the</w:t>
      </w:r>
      <w:r>
        <w:rPr>
          <w:spacing w:val="1"/>
          <w:vertAlign w:val="baseline"/>
        </w:rPr>
        <w:t> </w:t>
      </w:r>
      <w:r>
        <w:rPr>
          <w:vertAlign w:val="baseline"/>
        </w:rPr>
        <w:t>quinoline ring. Even though, P3 and P4 have di- methoxy substituted ring B and P8 have</w:t>
      </w:r>
      <w:r>
        <w:rPr>
          <w:spacing w:val="1"/>
          <w:vertAlign w:val="baseline"/>
        </w:rPr>
        <w:t> </w:t>
      </w:r>
      <w:r>
        <w:rPr>
          <w:vertAlign w:val="baseline"/>
        </w:rPr>
        <w:t>tri-</w:t>
      </w:r>
      <w:r>
        <w:rPr>
          <w:spacing w:val="1"/>
          <w:vertAlign w:val="baseline"/>
        </w:rPr>
        <w:t> </w:t>
      </w:r>
      <w:r>
        <w:rPr>
          <w:vertAlign w:val="baseline"/>
        </w:rPr>
        <w:t>methoxy substituted ring B, P3 and P8 were more active than P4, indicating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importance of the 6‖-OCH</w:t>
      </w:r>
      <w:r>
        <w:rPr>
          <w:vertAlign w:val="subscript"/>
        </w:rPr>
        <w:t>3</w:t>
      </w:r>
      <w:r>
        <w:rPr>
          <w:vertAlign w:val="baseline"/>
        </w:rPr>
        <w:t> substitution. A chalcone with 6,7-dimethoxy quinolinyl ring A</w:t>
      </w:r>
      <w:r>
        <w:rPr>
          <w:spacing w:val="1"/>
          <w:vertAlign w:val="baseline"/>
        </w:rPr>
        <w:t> </w:t>
      </w:r>
      <w:r>
        <w:rPr>
          <w:vertAlign w:val="baseline"/>
        </w:rPr>
        <w:t>and 2,4- dichloro ring B have been reported as the most active compound among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derivatives studied (Dominguez </w:t>
      </w:r>
      <w:r>
        <w:rPr>
          <w:i/>
          <w:vertAlign w:val="baseline"/>
        </w:rPr>
        <w:t>et al.</w:t>
      </w:r>
      <w:r>
        <w:rPr>
          <w:vertAlign w:val="baseline"/>
        </w:rPr>
        <w:t>, 2001). Similarly, Shikha </w:t>
      </w:r>
      <w:r>
        <w:rPr>
          <w:i/>
          <w:vertAlign w:val="baseline"/>
        </w:rPr>
        <w:t>et al. </w:t>
      </w:r>
      <w:r>
        <w:rPr>
          <w:vertAlign w:val="baseline"/>
        </w:rPr>
        <w:t>(2009)reported</w:t>
      </w:r>
      <w:r>
        <w:rPr>
          <w:spacing w:val="1"/>
          <w:vertAlign w:val="baseline"/>
        </w:rPr>
        <w:t> </w:t>
      </w:r>
      <w:r>
        <w:rPr>
          <w:vertAlign w:val="baseline"/>
        </w:rPr>
        <w:t>6-</w:t>
      </w:r>
      <w:r>
        <w:rPr>
          <w:spacing w:val="1"/>
          <w:vertAlign w:val="baseline"/>
        </w:rPr>
        <w:t> </w:t>
      </w:r>
      <w:r>
        <w:rPr>
          <w:vertAlign w:val="baseline"/>
        </w:rPr>
        <w:t>methoxy</w:t>
      </w:r>
      <w:r>
        <w:rPr>
          <w:spacing w:val="21"/>
          <w:vertAlign w:val="baseline"/>
        </w:rPr>
        <w:t> </w:t>
      </w:r>
      <w:r>
        <w:rPr>
          <w:vertAlign w:val="baseline"/>
        </w:rPr>
        <w:t>quinolinyl</w:t>
      </w:r>
      <w:r>
        <w:rPr>
          <w:spacing w:val="17"/>
          <w:vertAlign w:val="baseline"/>
        </w:rPr>
        <w:t> </w:t>
      </w:r>
      <w:r>
        <w:rPr>
          <w:vertAlign w:val="baseline"/>
        </w:rPr>
        <w:t>ring</w:t>
      </w:r>
      <w:r>
        <w:rPr>
          <w:spacing w:val="27"/>
          <w:vertAlign w:val="baseline"/>
        </w:rPr>
        <w:t> </w:t>
      </w:r>
      <w:r>
        <w:rPr>
          <w:vertAlign w:val="baseline"/>
        </w:rPr>
        <w:t>A</w:t>
      </w:r>
      <w:r>
        <w:rPr>
          <w:spacing w:val="17"/>
          <w:vertAlign w:val="baseline"/>
        </w:rPr>
        <w:t> </w:t>
      </w:r>
      <w:r>
        <w:rPr>
          <w:vertAlign w:val="baseline"/>
        </w:rPr>
        <w:t>and</w:t>
      </w:r>
      <w:r>
        <w:rPr>
          <w:spacing w:val="26"/>
          <w:vertAlign w:val="baseline"/>
        </w:rPr>
        <w:t> </w:t>
      </w:r>
      <w:r>
        <w:rPr>
          <w:vertAlign w:val="baseline"/>
        </w:rPr>
        <w:t>2-bromo,</w:t>
      </w:r>
      <w:r>
        <w:rPr>
          <w:spacing w:val="28"/>
          <w:vertAlign w:val="baseline"/>
        </w:rPr>
        <w:t> </w:t>
      </w:r>
      <w:r>
        <w:rPr>
          <w:vertAlign w:val="baseline"/>
        </w:rPr>
        <w:t>4-chloro</w:t>
      </w:r>
      <w:r>
        <w:rPr>
          <w:spacing w:val="22"/>
          <w:vertAlign w:val="baseline"/>
        </w:rPr>
        <w:t> </w:t>
      </w:r>
      <w:r>
        <w:rPr>
          <w:vertAlign w:val="baseline"/>
        </w:rPr>
        <w:t>ring</w:t>
      </w:r>
      <w:r>
        <w:rPr>
          <w:spacing w:val="30"/>
          <w:vertAlign w:val="baseline"/>
        </w:rPr>
        <w:t> </w:t>
      </w:r>
      <w:r>
        <w:rPr>
          <w:vertAlign w:val="baseline"/>
        </w:rPr>
        <w:t>Bchalcones</w:t>
      </w:r>
      <w:r>
        <w:rPr>
          <w:spacing w:val="27"/>
          <w:vertAlign w:val="baseline"/>
        </w:rPr>
        <w:t> </w:t>
      </w:r>
      <w:r>
        <w:rPr>
          <w:vertAlign w:val="baseline"/>
        </w:rPr>
        <w:t>as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  <w:r>
        <w:rPr>
          <w:spacing w:val="30"/>
          <w:vertAlign w:val="baseline"/>
        </w:rPr>
        <w:t> </w:t>
      </w:r>
      <w:r>
        <w:rPr>
          <w:vertAlign w:val="baseline"/>
        </w:rPr>
        <w:t>most</w:t>
      </w:r>
    </w:p>
    <w:p>
      <w:pPr>
        <w:spacing w:after="0" w:line="480" w:lineRule="auto"/>
        <w:jc w:val="both"/>
        <w:sectPr>
          <w:headerReference w:type="default" r:id="rId405"/>
          <w:footerReference w:type="default" r:id="rId406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8"/>
        <w:jc w:val="both"/>
      </w:pPr>
      <w:r>
        <w:rPr/>
        <w:t>active in the series studied. Among the methoxy substituted benzaldehyde chalcones, 2,4-</w:t>
      </w:r>
      <w:r>
        <w:rPr>
          <w:spacing w:val="1"/>
        </w:rPr>
        <w:t> </w:t>
      </w:r>
      <w:r>
        <w:rPr/>
        <w:t>dimethoxy</w:t>
      </w:r>
      <w:r>
        <w:rPr>
          <w:spacing w:val="1"/>
        </w:rPr>
        <w:t> </w:t>
      </w:r>
      <w:r>
        <w:rPr/>
        <w:t>substitution</w:t>
      </w:r>
      <w:r>
        <w:rPr>
          <w:spacing w:val="1"/>
        </w:rPr>
        <w:t> </w:t>
      </w:r>
      <w:r>
        <w:rPr/>
        <w:t>yields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compounds.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compound in this study; P12 has 2,4-dimethoxy ring B (acetophenone). P15 and P22</w:t>
      </w:r>
      <w:r>
        <w:rPr>
          <w:spacing w:val="1"/>
        </w:rPr>
        <w:t> </w:t>
      </w:r>
      <w:r>
        <w:rPr/>
        <w:t>having 2,4- dimethoxy ring B</w:t>
      </w:r>
      <w:r>
        <w:rPr>
          <w:spacing w:val="60"/>
        </w:rPr>
        <w:t> </w:t>
      </w:r>
      <w:r>
        <w:rPr/>
        <w:t>but, with 4-methoxy and 4-trifluoromethyl substituted ring</w:t>
      </w:r>
      <w:r>
        <w:rPr>
          <w:spacing w:val="1"/>
        </w:rPr>
        <w:t> </w:t>
      </w:r>
      <w:r>
        <w:rPr/>
        <w:t>A respectively were very active. Triflouromethyl substituted chalcones were also 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plasmodium</w:t>
      </w:r>
      <w:r>
        <w:rPr>
          <w:spacing w:val="1"/>
        </w:rPr>
        <w:t> </w:t>
      </w:r>
      <w:r>
        <w:rPr/>
        <w:t>parasite</w:t>
      </w:r>
      <w:r>
        <w:rPr>
          <w:spacing w:val="1"/>
        </w:rPr>
        <w:t> </w:t>
      </w:r>
      <w:r>
        <w:rPr>
          <w:i/>
        </w:rPr>
        <w:t>invitro</w:t>
      </w:r>
      <w:r>
        <w:rPr>
          <w:i/>
          <w:spacing w:val="1"/>
        </w:rPr>
        <w:t> </w:t>
      </w:r>
      <w:r>
        <w:rPr/>
        <w:t>(Li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2001;</w:t>
      </w:r>
      <w:r>
        <w:rPr>
          <w:spacing w:val="1"/>
        </w:rPr>
        <w:t> </w:t>
      </w:r>
      <w:r>
        <w:rPr/>
        <w:t>Liu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However, P1 with more electron density on both rings (2,3,4- trimethoxy) exhibited low</w:t>
      </w:r>
      <w:r>
        <w:rPr>
          <w:spacing w:val="1"/>
        </w:rPr>
        <w:t> </w:t>
      </w:r>
      <w:r>
        <w:rPr/>
        <w:t>antiplasmodial activity. This is in contrast to reported good </w:t>
      </w:r>
      <w:r>
        <w:rPr>
          <w:i/>
        </w:rPr>
        <w:t>invitro </w:t>
      </w:r>
      <w:r>
        <w:rPr/>
        <w:t>activity (2.1µM) of bis</w:t>
      </w:r>
      <w:r>
        <w:rPr>
          <w:spacing w:val="1"/>
        </w:rPr>
        <w:t> </w:t>
      </w:r>
      <w:r>
        <w:rPr/>
        <w:t>2,4-dimethoxy chalcones (Liu </w:t>
      </w:r>
      <w:r>
        <w:rPr>
          <w:i/>
        </w:rPr>
        <w:t>et al., </w:t>
      </w:r>
      <w:r>
        <w:rPr/>
        <w:t>2001). From the above observation it seems that</w:t>
      </w:r>
      <w:r>
        <w:rPr>
          <w:spacing w:val="1"/>
        </w:rPr>
        <w:t> </w:t>
      </w:r>
      <w:r>
        <w:rPr/>
        <w:t>electronic factors are not the determinant</w:t>
      </w:r>
      <w:r>
        <w:rPr>
          <w:spacing w:val="1"/>
        </w:rPr>
        <w:t> </w:t>
      </w:r>
      <w:r>
        <w:rPr/>
        <w:t>factor for the antiplasmodial activity,</w:t>
      </w:r>
      <w:r>
        <w:rPr>
          <w:spacing w:val="1"/>
        </w:rPr>
        <w:t> </w:t>
      </w:r>
      <w:r>
        <w:rPr/>
        <w:t>steric</w:t>
      </w:r>
      <w:r>
        <w:rPr>
          <w:spacing w:val="1"/>
        </w:rPr>
        <w:t> </w:t>
      </w:r>
      <w:r>
        <w:rPr/>
        <w:t>factors</w:t>
      </w:r>
      <w:r>
        <w:rPr>
          <w:spacing w:val="-1"/>
        </w:rPr>
        <w:t> </w:t>
      </w:r>
      <w:r>
        <w:rPr/>
        <w:t>might</w:t>
      </w:r>
      <w:r>
        <w:rPr>
          <w:spacing w:val="5"/>
        </w:rPr>
        <w:t> </w:t>
      </w:r>
      <w:r>
        <w:rPr/>
        <w:t>be playing</w:t>
      </w:r>
      <w:r>
        <w:rPr>
          <w:spacing w:val="5"/>
        </w:rPr>
        <w:t> </w:t>
      </w:r>
      <w:r>
        <w:rPr/>
        <w:t>more role</w:t>
      </w:r>
      <w:r>
        <w:rPr>
          <w:spacing w:val="5"/>
        </w:rPr>
        <w:t> </w:t>
      </w:r>
      <w:r>
        <w:rPr/>
        <w:t>as</w:t>
      </w:r>
      <w:r>
        <w:rPr>
          <w:spacing w:val="-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by</w:t>
      </w:r>
      <w:r>
        <w:rPr>
          <w:spacing w:val="-4"/>
        </w:rPr>
        <w:t> </w:t>
      </w:r>
      <w:r>
        <w:rPr/>
        <w:t>Liu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5"/>
        </w:rPr>
        <w:t> </w:t>
      </w:r>
      <w:r>
        <w:rPr/>
        <w:t>(2001).</w:t>
      </w:r>
    </w:p>
    <w:p>
      <w:pPr>
        <w:pStyle w:val="BodyText"/>
        <w:spacing w:line="480" w:lineRule="auto" w:before="204"/>
        <w:ind w:left="312" w:right="692"/>
        <w:jc w:val="both"/>
      </w:pPr>
      <w:r>
        <w:rPr/>
        <w:t>Additionally,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contradicts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previous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61"/>
        </w:rPr>
        <w:t> </w:t>
      </w:r>
      <w:r>
        <w:rPr/>
        <w:t>of</w:t>
      </w:r>
      <w:r>
        <w:rPr>
          <w:spacing w:val="1"/>
        </w:rPr>
        <w:t> </w:t>
      </w:r>
      <w:r>
        <w:rPr/>
        <w:t>substitutions of B ring in determining the type of A ring substituents that would give</w:t>
      </w:r>
      <w:r>
        <w:rPr>
          <w:spacing w:val="1"/>
        </w:rPr>
        <w:t> </w:t>
      </w:r>
      <w:r>
        <w:rPr/>
        <w:t>optimum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(Liu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2001).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2,4-dichloro</w:t>
      </w:r>
      <w:r>
        <w:rPr>
          <w:spacing w:val="1"/>
        </w:rPr>
        <w:t> </w:t>
      </w:r>
      <w:r>
        <w:rPr/>
        <w:t>substitution of ring A in the tri-methoxy ring (B) chalcones gave rise to a very active</w:t>
      </w:r>
      <w:r>
        <w:rPr>
          <w:spacing w:val="1"/>
        </w:rPr>
        <w:t> </w:t>
      </w:r>
      <w:r>
        <w:rPr/>
        <w:t>compound (IC</w:t>
      </w:r>
      <w:r>
        <w:rPr>
          <w:vertAlign w:val="subscript"/>
        </w:rPr>
        <w:t>50</w:t>
      </w:r>
      <w:r>
        <w:rPr>
          <w:vertAlign w:val="baseline"/>
        </w:rPr>
        <w:t> 5.4 uM), but the same substituent gave rise to less active compounds in</w:t>
      </w:r>
      <w:r>
        <w:rPr>
          <w:spacing w:val="1"/>
          <w:vertAlign w:val="baseline"/>
        </w:rPr>
        <w:t> </w:t>
      </w:r>
      <w:r>
        <w:rPr>
          <w:vertAlign w:val="baseline"/>
        </w:rPr>
        <w:t>other series of chalcones. Same scenario was observed with different series of ring A as</w:t>
      </w:r>
      <w:r>
        <w:rPr>
          <w:spacing w:val="1"/>
          <w:vertAlign w:val="baseline"/>
        </w:rPr>
        <w:t> </w:t>
      </w:r>
      <w:r>
        <w:rPr>
          <w:vertAlign w:val="baseline"/>
        </w:rPr>
        <w:t>evidence from the differences in activity of P11, P13 and P25. Thus,conformational and</w:t>
      </w:r>
      <w:r>
        <w:rPr>
          <w:spacing w:val="1"/>
          <w:vertAlign w:val="baseline"/>
        </w:rPr>
        <w:t> </w:t>
      </w:r>
      <w:r>
        <w:rPr>
          <w:vertAlign w:val="baseline"/>
        </w:rPr>
        <w:t>stericfactors seem to be more important, which this study further evaluated using</w:t>
      </w:r>
      <w:r>
        <w:rPr>
          <w:i/>
          <w:vertAlign w:val="baseline"/>
        </w:rPr>
        <w:t>insilico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methods.</w:t>
      </w:r>
    </w:p>
    <w:p>
      <w:pPr>
        <w:pStyle w:val="Heading1"/>
        <w:numPr>
          <w:ilvl w:val="2"/>
          <w:numId w:val="25"/>
        </w:numPr>
        <w:tabs>
          <w:tab w:pos="856" w:val="left" w:leader="none"/>
        </w:tabs>
        <w:spacing w:line="240" w:lineRule="auto" w:before="203" w:after="0"/>
        <w:ind w:left="855" w:right="0" w:hanging="544"/>
        <w:jc w:val="both"/>
      </w:pPr>
      <w:bookmarkStart w:name="_TOC_250010" w:id="83"/>
      <w:r>
        <w:rPr>
          <w:i/>
        </w:rPr>
        <w:t>In-vitro</w:t>
      </w:r>
      <w:r>
        <w:rPr>
          <w:i/>
          <w:spacing w:val="-3"/>
        </w:rPr>
        <w:t> </w:t>
      </w:r>
      <w:r>
        <w:rPr/>
        <w:t>antimalarial</w:t>
      </w:r>
      <w:r>
        <w:rPr>
          <w:spacing w:val="-7"/>
        </w:rPr>
        <w:t> </w:t>
      </w:r>
      <w:r>
        <w:rPr/>
        <w:t>study</w:t>
      </w:r>
      <w:r>
        <w:rPr>
          <w:spacing w:val="-3"/>
        </w:rPr>
        <w:t> </w:t>
      </w:r>
      <w:r>
        <w:rPr/>
        <w:t>(β-hematin</w:t>
      </w:r>
      <w:r>
        <w:rPr>
          <w:spacing w:val="-2"/>
        </w:rPr>
        <w:t> </w:t>
      </w:r>
      <w:r>
        <w:rPr/>
        <w:t>inhibition</w:t>
      </w:r>
      <w:r>
        <w:rPr>
          <w:spacing w:val="-2"/>
        </w:rPr>
        <w:t> </w:t>
      </w:r>
      <w:bookmarkEnd w:id="83"/>
      <w:r>
        <w:rPr/>
        <w:t>assay)</w:t>
      </w:r>
    </w:p>
    <w:p>
      <w:pPr>
        <w:pStyle w:val="BodyText"/>
        <w:spacing w:line="480" w:lineRule="auto" w:before="195"/>
        <w:ind w:left="312" w:right="692"/>
        <w:jc w:val="both"/>
      </w:pPr>
      <w:r>
        <w:rPr/>
        <w:t>Since the chalcone derivatives showed promising antimalarial activity </w:t>
      </w:r>
      <w:r>
        <w:rPr>
          <w:i/>
        </w:rPr>
        <w:t>in vivo</w:t>
      </w:r>
      <w:r>
        <w:rPr/>
        <w:t>, the possible</w:t>
      </w:r>
      <w:r>
        <w:rPr>
          <w:spacing w:val="-57"/>
        </w:rPr>
        <w:t> </w:t>
      </w:r>
      <w:r>
        <w:rPr/>
        <w:t>mechanism of the</w:t>
      </w:r>
      <w:r>
        <w:rPr>
          <w:spacing w:val="1"/>
        </w:rPr>
        <w:t> </w:t>
      </w:r>
      <w:r>
        <w:rPr/>
        <w:t>antimalarial activity was</w:t>
      </w:r>
      <w:r>
        <w:rPr>
          <w:spacing w:val="1"/>
        </w:rPr>
        <w:t> </w:t>
      </w:r>
      <w:r>
        <w:rPr/>
        <w:t>evaluated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haem polymerization</w:t>
      </w:r>
      <w:r>
        <w:rPr>
          <w:spacing w:val="1"/>
        </w:rPr>
        <w:t> </w:t>
      </w:r>
      <w:r>
        <w:rPr/>
        <w:t>inhibition assay (HPIA). The HPIA has been proposed as possible routine </w:t>
      </w:r>
      <w:r>
        <w:rPr>
          <w:i/>
        </w:rPr>
        <w:t>invitro </w:t>
      </w:r>
      <w:r>
        <w:rPr/>
        <w:t>assay for</w:t>
      </w:r>
      <w:r>
        <w:rPr>
          <w:spacing w:val="-57"/>
        </w:rPr>
        <w:t> </w:t>
      </w:r>
      <w:r>
        <w:rPr/>
        <w:t>the</w:t>
      </w:r>
      <w:r>
        <w:rPr>
          <w:spacing w:val="57"/>
        </w:rPr>
        <w:t> </w:t>
      </w:r>
      <w:r>
        <w:rPr/>
        <w:t>detection</w:t>
      </w:r>
      <w:r>
        <w:rPr>
          <w:spacing w:val="54"/>
        </w:rPr>
        <w:t> </w:t>
      </w:r>
      <w:r>
        <w:rPr/>
        <w:t>of</w:t>
      </w:r>
      <w:r>
        <w:rPr>
          <w:spacing w:val="51"/>
        </w:rPr>
        <w:t> </w:t>
      </w:r>
      <w:r>
        <w:rPr/>
        <w:t>antimalarial</w:t>
      </w:r>
      <w:r>
        <w:rPr>
          <w:spacing w:val="55"/>
        </w:rPr>
        <w:t> </w:t>
      </w:r>
      <w:r>
        <w:rPr/>
        <w:t>activity.</w:t>
      </w:r>
      <w:r>
        <w:rPr>
          <w:spacing w:val="2"/>
        </w:rPr>
        <w:t> </w:t>
      </w:r>
      <w:r>
        <w:rPr/>
        <w:t>Studies</w:t>
      </w:r>
      <w:r>
        <w:rPr>
          <w:spacing w:val="2"/>
        </w:rPr>
        <w:t> </w:t>
      </w:r>
      <w:r>
        <w:rPr/>
        <w:t>have</w:t>
      </w:r>
      <w:r>
        <w:rPr>
          <w:spacing w:val="3"/>
        </w:rPr>
        <w:t> </w:t>
      </w:r>
      <w:r>
        <w:rPr/>
        <w:t>shown</w:t>
      </w:r>
      <w:r>
        <w:rPr>
          <w:spacing w:val="54"/>
        </w:rPr>
        <w:t> </w:t>
      </w:r>
      <w:r>
        <w:rPr/>
        <w:t>that</w:t>
      </w:r>
      <w:r>
        <w:rPr>
          <w:spacing w:val="4"/>
        </w:rPr>
        <w:t> </w:t>
      </w:r>
      <w:r>
        <w:rPr/>
        <w:t>the</w:t>
      </w:r>
      <w:r>
        <w:rPr>
          <w:spacing w:val="58"/>
        </w:rPr>
        <w:t> </w:t>
      </w:r>
      <w:r>
        <w:rPr/>
        <w:t>ability</w:t>
      </w:r>
      <w:r>
        <w:rPr>
          <w:spacing w:val="53"/>
        </w:rPr>
        <w:t> </w:t>
      </w:r>
      <w:r>
        <w:rPr/>
        <w:t>of</w:t>
      </w:r>
      <w:r>
        <w:rPr>
          <w:spacing w:val="51"/>
        </w:rPr>
        <w:t> </w:t>
      </w:r>
      <w:r>
        <w:rPr/>
        <w:t>the</w:t>
      </w:r>
      <w:r>
        <w:rPr>
          <w:spacing w:val="58"/>
        </w:rPr>
        <w:t> </w:t>
      </w:r>
      <w:r>
        <w:rPr/>
        <w:t>test</w:t>
      </w:r>
    </w:p>
    <w:p>
      <w:pPr>
        <w:spacing w:after="0" w:line="480" w:lineRule="auto"/>
        <w:jc w:val="both"/>
        <w:sectPr>
          <w:headerReference w:type="default" r:id="rId407"/>
          <w:footerReference w:type="default" r:id="rId408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3"/>
        <w:jc w:val="both"/>
      </w:pPr>
      <w:r>
        <w:rPr/>
        <w:t>compounds to inhibit heme polymerization is directly related to the antimalarial activity</w:t>
      </w:r>
      <w:r>
        <w:rPr>
          <w:spacing w:val="1"/>
        </w:rPr>
        <w:t> </w:t>
      </w:r>
      <w:r>
        <w:rPr/>
        <w:t>(Egan </w:t>
      </w:r>
      <w:r>
        <w:rPr>
          <w:i/>
        </w:rPr>
        <w:t>et al.,</w:t>
      </w:r>
      <w:r>
        <w:rPr/>
        <w:t>2000). Compounds that act through this mechanism are considered to have</w:t>
      </w:r>
      <w:r>
        <w:rPr>
          <w:spacing w:val="1"/>
        </w:rPr>
        <w:t> </w:t>
      </w:r>
      <w:r>
        <w:rPr/>
        <w:t>similar action with chloroquine (Rodrigues and Domínguez, 2007). With the exception of</w:t>
      </w:r>
      <w:r>
        <w:rPr>
          <w:spacing w:val="1"/>
        </w:rPr>
        <w:t> </w:t>
      </w:r>
      <w:r>
        <w:rPr/>
        <w:t>P12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P17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(Table</w:t>
      </w:r>
      <w:r>
        <w:rPr>
          <w:spacing w:val="1"/>
        </w:rPr>
        <w:t> </w:t>
      </w:r>
      <w:r>
        <w:rPr/>
        <w:t>4.12).</w:t>
      </w:r>
      <w:r>
        <w:rPr>
          <w:spacing w:val="1"/>
        </w:rPr>
        <w:t> </w:t>
      </w:r>
      <w:r>
        <w:rPr/>
        <w:t>Therefore,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 studied act through mechanism other than inhibiting haem polymerization.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candidates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chloroquine</w:t>
      </w:r>
      <w:r>
        <w:rPr>
          <w:spacing w:val="1"/>
        </w:rPr>
        <w:t> </w:t>
      </w:r>
      <w:r>
        <w:rPr/>
        <w:t>resistance malaria. This is in line with the previous findings (Li </w:t>
      </w:r>
      <w:r>
        <w:rPr>
          <w:i/>
        </w:rPr>
        <w:t>et al., </w:t>
      </w:r>
      <w:r>
        <w:rPr/>
        <w:t>1994) and the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>
          <w:i/>
        </w:rPr>
        <w:t>insilico</w:t>
      </w:r>
      <w:r>
        <w:rPr>
          <w:i/>
          <w:spacing w:val="1"/>
        </w:rPr>
        <w:t> </w:t>
      </w:r>
      <w:r>
        <w:rPr/>
        <w:t>inhibitory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compound.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(chloroquine)</w:t>
      </w:r>
      <w:r>
        <w:rPr>
          <w:spacing w:val="7"/>
        </w:rPr>
        <w:t> </w:t>
      </w:r>
      <w:r>
        <w:rPr/>
        <w:t>has</w:t>
      </w:r>
      <w:r>
        <w:rPr>
          <w:spacing w:val="-1"/>
        </w:rPr>
        <w:t> </w:t>
      </w:r>
      <w:r>
        <w:rPr/>
        <w:t>shown</w:t>
      </w:r>
      <w:r>
        <w:rPr>
          <w:spacing w:val="-4"/>
        </w:rPr>
        <w:t> </w:t>
      </w:r>
      <w:r>
        <w:rPr/>
        <w:t>appreciable</w:t>
      </w:r>
      <w:r>
        <w:rPr>
          <w:spacing w:val="5"/>
        </w:rPr>
        <w:t> </w:t>
      </w:r>
      <w:r>
        <w:rPr/>
        <w:t>inhibition</w:t>
      </w:r>
      <w:r>
        <w:rPr>
          <w:spacing w:val="-3"/>
        </w:rPr>
        <w:t> </w:t>
      </w:r>
      <w:r>
        <w:rPr/>
        <w:t>(Table 4.12).</w:t>
      </w:r>
    </w:p>
    <w:p>
      <w:pPr>
        <w:pStyle w:val="BodyText"/>
        <w:spacing w:before="3"/>
        <w:rPr>
          <w:sz w:val="10"/>
        </w:rPr>
      </w:pPr>
    </w:p>
    <w:p>
      <w:pPr>
        <w:pStyle w:val="Heading1"/>
        <w:numPr>
          <w:ilvl w:val="1"/>
          <w:numId w:val="24"/>
        </w:numPr>
        <w:tabs>
          <w:tab w:pos="3693" w:val="left" w:leader="none"/>
        </w:tabs>
        <w:spacing w:line="240" w:lineRule="auto" w:before="90" w:after="0"/>
        <w:ind w:left="3692" w:right="0" w:hanging="365"/>
        <w:jc w:val="left"/>
      </w:pPr>
      <w:bookmarkStart w:name="_TOC_250009" w:id="84"/>
      <w:r>
        <w:rPr/>
        <w:t>Computational</w:t>
      </w:r>
      <w:r>
        <w:rPr>
          <w:spacing w:val="-6"/>
        </w:rPr>
        <w:t> </w:t>
      </w:r>
      <w:bookmarkEnd w:id="84"/>
      <w:r>
        <w:rPr/>
        <w:t>Studies</w:t>
      </w:r>
    </w:p>
    <w:p>
      <w:pPr>
        <w:pStyle w:val="Heading1"/>
        <w:numPr>
          <w:ilvl w:val="2"/>
          <w:numId w:val="26"/>
        </w:numPr>
        <w:tabs>
          <w:tab w:pos="1032" w:val="left" w:leader="none"/>
          <w:tab w:pos="1033" w:val="left" w:leader="none"/>
        </w:tabs>
        <w:spacing w:line="240" w:lineRule="auto" w:before="199" w:after="0"/>
        <w:ind w:left="1033" w:right="0" w:hanging="721"/>
        <w:jc w:val="left"/>
      </w:pPr>
      <w:bookmarkStart w:name="_TOC_250008" w:id="85"/>
      <w:bookmarkEnd w:id="85"/>
      <w:r>
        <w:rPr/>
        <w:t>Docking Studies</w:t>
      </w:r>
    </w:p>
    <w:p>
      <w:pPr>
        <w:pStyle w:val="BodyText"/>
        <w:spacing w:before="2"/>
        <w:rPr>
          <w:b/>
          <w:sz w:val="9"/>
        </w:rPr>
      </w:pPr>
    </w:p>
    <w:p>
      <w:pPr>
        <w:pStyle w:val="BodyText"/>
        <w:spacing w:line="480" w:lineRule="auto" w:before="90"/>
        <w:ind w:left="312" w:right="694"/>
        <w:jc w:val="both"/>
      </w:pPr>
      <w:r>
        <w:rPr/>
        <w:t>The docking procedures applied on all the four enzymes were well validated (Table 4.13).</w:t>
      </w:r>
      <w:r>
        <w:rPr>
          <w:spacing w:val="1"/>
        </w:rPr>
        <w:t> </w:t>
      </w:r>
      <w:r>
        <w:rPr/>
        <w:t>From the docking scores it can be deduced that the</w:t>
      </w:r>
      <w:r>
        <w:rPr>
          <w:spacing w:val="60"/>
        </w:rPr>
        <w:t> </w:t>
      </w:r>
      <w:r>
        <w:rPr/>
        <w:t>seventeen chalcones studied have</w:t>
      </w:r>
      <w:r>
        <w:rPr>
          <w:spacing w:val="1"/>
        </w:rPr>
        <w:t> </w:t>
      </w:r>
      <w:r>
        <w:rPr/>
        <w:t>better affinity for FP-2 and Plm-1V, although few have shown appreciable inhibition to all</w:t>
      </w:r>
      <w:r>
        <w:rPr>
          <w:spacing w:val="-57"/>
        </w:rPr>
        <w:t> </w:t>
      </w:r>
      <w:r>
        <w:rPr/>
        <w:t>the proteases. Recent report</w:t>
      </w:r>
      <w:r>
        <w:rPr>
          <w:spacing w:val="60"/>
        </w:rPr>
        <w:t> </w:t>
      </w:r>
      <w:r>
        <w:rPr/>
        <w:t>has shown that poly-inhibition of falcipains and plasmepsins</w:t>
      </w:r>
      <w:r>
        <w:rPr>
          <w:spacing w:val="1"/>
        </w:rPr>
        <w:t> </w:t>
      </w:r>
      <w:r>
        <w:rPr/>
        <w:t>is</w:t>
      </w:r>
      <w:r>
        <w:rPr>
          <w:spacing w:val="10"/>
        </w:rPr>
        <w:t> </w:t>
      </w:r>
      <w:r>
        <w:rPr/>
        <w:t>desirable</w:t>
      </w:r>
      <w:r>
        <w:rPr>
          <w:spacing w:val="17"/>
        </w:rPr>
        <w:t> </w:t>
      </w:r>
      <w:r>
        <w:rPr/>
        <w:t>in</w:t>
      </w:r>
      <w:r>
        <w:rPr>
          <w:spacing w:val="13"/>
        </w:rPr>
        <w:t> </w:t>
      </w:r>
      <w:r>
        <w:rPr/>
        <w:t>potential</w:t>
      </w:r>
      <w:r>
        <w:rPr>
          <w:spacing w:val="8"/>
        </w:rPr>
        <w:t> </w:t>
      </w:r>
      <w:r>
        <w:rPr/>
        <w:t>antimalarial</w:t>
      </w:r>
      <w:r>
        <w:rPr>
          <w:spacing w:val="9"/>
        </w:rPr>
        <w:t> </w:t>
      </w:r>
      <w:r>
        <w:rPr/>
        <w:t>to</w:t>
      </w:r>
      <w:r>
        <w:rPr>
          <w:spacing w:val="18"/>
        </w:rPr>
        <w:t> </w:t>
      </w:r>
      <w:r>
        <w:rPr/>
        <w:t>ensure</w:t>
      </w:r>
      <w:r>
        <w:rPr>
          <w:spacing w:val="11"/>
        </w:rPr>
        <w:t> </w:t>
      </w:r>
      <w:r>
        <w:rPr/>
        <w:t>clinical</w:t>
      </w:r>
      <w:r>
        <w:rPr>
          <w:spacing w:val="9"/>
        </w:rPr>
        <w:t> </w:t>
      </w:r>
      <w:r>
        <w:rPr/>
        <w:t>efficacy</w:t>
      </w:r>
      <w:r>
        <w:rPr>
          <w:spacing w:val="8"/>
        </w:rPr>
        <w:t> </w:t>
      </w:r>
      <w:r>
        <w:rPr/>
        <w:t>and</w:t>
      </w:r>
      <w:r>
        <w:rPr>
          <w:spacing w:val="13"/>
        </w:rPr>
        <w:t> </w:t>
      </w:r>
      <w:r>
        <w:rPr/>
        <w:t>combat</w:t>
      </w:r>
      <w:r>
        <w:rPr>
          <w:spacing w:val="17"/>
        </w:rPr>
        <w:t> </w:t>
      </w:r>
      <w:r>
        <w:rPr/>
        <w:t>resistance</w:t>
      </w:r>
      <w:r>
        <w:rPr>
          <w:spacing w:val="12"/>
        </w:rPr>
        <w:t> </w:t>
      </w:r>
      <w:r>
        <w:rPr/>
        <w:t>due</w:t>
      </w:r>
      <w:r>
        <w:rPr>
          <w:spacing w:val="-57"/>
        </w:rPr>
        <w:t> </w:t>
      </w:r>
      <w:r>
        <w:rPr/>
        <w:t>to their complementary role (Coombs </w:t>
      </w:r>
      <w:r>
        <w:rPr>
          <w:i/>
        </w:rPr>
        <w:t>et al., </w:t>
      </w:r>
      <w:r>
        <w:rPr/>
        <w:t>2001; Liu </w:t>
      </w:r>
      <w:r>
        <w:rPr>
          <w:i/>
        </w:rPr>
        <w:t>et al., </w:t>
      </w:r>
      <w:r>
        <w:rPr/>
        <w:t>2005; 2006; Sriwilaijaroen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6"/>
        </w:rPr>
        <w:t> </w:t>
      </w:r>
      <w:r>
        <w:rPr/>
        <w:t>2006).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two</w:t>
      </w:r>
      <w:r>
        <w:rPr>
          <w:spacing w:val="8"/>
        </w:rPr>
        <w:t> </w:t>
      </w:r>
      <w:r>
        <w:rPr/>
        <w:t>enzymes</w:t>
      </w:r>
      <w:r>
        <w:rPr>
          <w:spacing w:val="11"/>
        </w:rPr>
        <w:t> </w:t>
      </w:r>
      <w:r>
        <w:rPr/>
        <w:t>have</w:t>
      </w:r>
      <w:r>
        <w:rPr>
          <w:spacing w:val="7"/>
        </w:rPr>
        <w:t> </w:t>
      </w:r>
      <w:r>
        <w:rPr/>
        <w:t>high</w:t>
      </w:r>
      <w:r>
        <w:rPr>
          <w:spacing w:val="3"/>
        </w:rPr>
        <w:t> </w:t>
      </w:r>
      <w:r>
        <w:rPr/>
        <w:t>significance</w:t>
      </w:r>
      <w:r>
        <w:rPr>
          <w:spacing w:val="7"/>
        </w:rPr>
        <w:t> </w:t>
      </w:r>
      <w:r>
        <w:rPr/>
        <w:t>in</w:t>
      </w:r>
      <w:r>
        <w:rPr>
          <w:spacing w:val="3"/>
        </w:rPr>
        <w:t> </w:t>
      </w:r>
      <w:r>
        <w:rPr/>
        <w:t>hemoglobin</w:t>
      </w:r>
      <w:r>
        <w:rPr>
          <w:spacing w:val="4"/>
        </w:rPr>
        <w:t> </w:t>
      </w:r>
      <w:r>
        <w:rPr/>
        <w:t>degradation</w:t>
      </w:r>
      <w:r>
        <w:rPr>
          <w:spacing w:val="3"/>
        </w:rPr>
        <w:t> </w:t>
      </w:r>
      <w:r>
        <w:rPr/>
        <w:t>activity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line="480" w:lineRule="auto" w:before="1"/>
        <w:ind w:left="312" w:right="691"/>
        <w:jc w:val="both"/>
      </w:pPr>
      <w:r>
        <w:rPr>
          <w:i/>
        </w:rPr>
        <w:t>P. falciparum</w:t>
      </w:r>
      <w:r>
        <w:rPr/>
        <w:t>. FP-2 represents more than 93% of the total cysteine protease activity in the</w:t>
      </w:r>
      <w:r>
        <w:rPr>
          <w:spacing w:val="1"/>
        </w:rPr>
        <w:t> </w:t>
      </w:r>
      <w:r>
        <w:rPr/>
        <w:t>food vacuole during the early and</w:t>
      </w:r>
      <w:r>
        <w:rPr>
          <w:spacing w:val="1"/>
        </w:rPr>
        <w:t> </w:t>
      </w:r>
      <w:r>
        <w:rPr/>
        <w:t>late trophozoite stages of the parasite (Marco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Coteron,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FP-2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implicated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conversion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pro-plasmepsin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plasmepsins (Bjelic </w:t>
      </w:r>
      <w:r>
        <w:rPr>
          <w:i/>
        </w:rPr>
        <w:t>et al., </w:t>
      </w:r>
      <w:r>
        <w:rPr/>
        <w:t>2011). Also, Plm IV is the only plasmepsin located in the food</w:t>
      </w:r>
      <w:r>
        <w:rPr>
          <w:spacing w:val="1"/>
        </w:rPr>
        <w:t> </w:t>
      </w:r>
      <w:r>
        <w:rPr/>
        <w:t>vacuole of </w:t>
      </w:r>
      <w:r>
        <w:rPr>
          <w:i/>
        </w:rPr>
        <w:t>P. falciparum </w:t>
      </w:r>
      <w:r>
        <w:rPr/>
        <w:t>which has orthologs in the other three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infecting</w:t>
      </w:r>
      <w:r>
        <w:rPr>
          <w:spacing w:val="1"/>
        </w:rPr>
        <w:t> </w:t>
      </w:r>
      <w:r>
        <w:rPr/>
        <w:t>humans (Dame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4"/>
        </w:rPr>
        <w:t> </w:t>
      </w:r>
      <w:r>
        <w:rPr/>
        <w:t>2003).</w:t>
      </w:r>
    </w:p>
    <w:p>
      <w:pPr>
        <w:spacing w:after="0" w:line="480" w:lineRule="auto"/>
        <w:jc w:val="both"/>
        <w:sectPr>
          <w:headerReference w:type="default" r:id="rId409"/>
          <w:footerReference w:type="default" r:id="rId41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7"/>
        <w:jc w:val="both"/>
      </w:pPr>
      <w:r>
        <w:rPr/>
        <w:t>Indeed</w:t>
      </w:r>
      <w:r>
        <w:rPr>
          <w:spacing w:val="1"/>
        </w:rPr>
        <w:t> </w:t>
      </w:r>
      <w:r>
        <w:rPr/>
        <w:t>3-quinolinyl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chalcones;</w:t>
      </w:r>
      <w:r>
        <w:rPr>
          <w:spacing w:val="1"/>
        </w:rPr>
        <w:t> </w:t>
      </w:r>
      <w:r>
        <w:rPr/>
        <w:t>P3,</w:t>
      </w:r>
      <w:r>
        <w:rPr>
          <w:spacing w:val="1"/>
        </w:rPr>
        <w:t> </w:t>
      </w:r>
      <w:r>
        <w:rPr/>
        <w:t>P4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P8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represented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compounds with the high ranking, with low binding energy across all the enzymes. The</w:t>
      </w:r>
      <w:r>
        <w:rPr>
          <w:spacing w:val="1"/>
        </w:rPr>
        <w:t> </w:t>
      </w:r>
      <w:r>
        <w:rPr/>
        <w:t>quinoline ring is a common scaffold in established antimalarials. It may play a role in</w:t>
      </w:r>
      <w:r>
        <w:rPr>
          <w:spacing w:val="1"/>
        </w:rPr>
        <w:t> </w:t>
      </w:r>
      <w:r>
        <w:rPr/>
        <w:t>facilitating the localization of the drug within the acidic</w:t>
      </w:r>
      <w:r>
        <w:rPr>
          <w:spacing w:val="1"/>
        </w:rPr>
        <w:t> </w:t>
      </w:r>
      <w:r>
        <w:rPr/>
        <w:t>food vacuole of the parasite</w:t>
      </w:r>
      <w:r>
        <w:rPr>
          <w:spacing w:val="1"/>
        </w:rPr>
        <w:t> </w:t>
      </w:r>
      <w:r>
        <w:rPr/>
        <w:t>because of its basic properties (Liu </w:t>
      </w:r>
      <w:r>
        <w:rPr>
          <w:i/>
        </w:rPr>
        <w:t>et al., </w:t>
      </w:r>
      <w:r>
        <w:rPr/>
        <w:t>2001) in addition to the good binding on the</w:t>
      </w:r>
      <w:r>
        <w:rPr>
          <w:spacing w:val="1"/>
        </w:rPr>
        <w:t> </w:t>
      </w:r>
      <w:r>
        <w:rPr/>
        <w:t>active site of the enzymes. Several -3-formyl quinoline chalcones have been reported to</w:t>
      </w:r>
      <w:r>
        <w:rPr>
          <w:spacing w:val="1"/>
        </w:rPr>
        <w:t> </w:t>
      </w:r>
      <w:r>
        <w:rPr/>
        <w:t>possess antimalarial activity (Li </w:t>
      </w:r>
      <w:r>
        <w:rPr>
          <w:i/>
        </w:rPr>
        <w:t>et al., </w:t>
      </w:r>
      <w:r>
        <w:rPr/>
        <w:t>1995; Domínguez </w:t>
      </w:r>
      <w:r>
        <w:rPr>
          <w:i/>
        </w:rPr>
        <w:t>et al., 2001</w:t>
      </w:r>
      <w:r>
        <w:rPr/>
        <w:t>; Sriwilaijaroen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2006). P3 and P4 are congeners having a dimethoxy phenyl ring B, with P3 possessing</w:t>
      </w:r>
      <w:r>
        <w:rPr>
          <w:spacing w:val="1"/>
        </w:rPr>
        <w:t> </w:t>
      </w:r>
      <w:r>
        <w:rPr/>
        <w:t>additional methoxy group at position six of the quinoline ring (Figures 4.10 and 4.11). The</w:t>
      </w:r>
      <w:r>
        <w:rPr>
          <w:spacing w:val="-57"/>
        </w:rPr>
        <w:t> </w:t>
      </w:r>
      <w:r>
        <w:rPr/>
        <w:t>3D view of the compounds on Spartan (Figures 4.10 - 4.11) showed that they are nearly</w:t>
      </w:r>
      <w:r>
        <w:rPr>
          <w:spacing w:val="1"/>
        </w:rPr>
        <w:t> </w:t>
      </w:r>
      <w:r>
        <w:rPr/>
        <w:t>planar with a torsion angle of 179</w:t>
      </w:r>
      <w:r>
        <w:rPr>
          <w:vertAlign w:val="superscript"/>
        </w:rPr>
        <w:t>0</w:t>
      </w:r>
      <w:r>
        <w:rPr>
          <w:vertAlign w:val="baseline"/>
        </w:rPr>
        <w:t>.This feature has been shown to be important in binding</w:t>
      </w:r>
      <w:r>
        <w:rPr>
          <w:spacing w:val="1"/>
          <w:vertAlign w:val="baseline"/>
        </w:rPr>
        <w:t> </w:t>
      </w:r>
      <w:r>
        <w:rPr>
          <w:vertAlign w:val="baseline"/>
        </w:rPr>
        <w:t>onto the long cleft of the active site of cysteine protease (Liu </w:t>
      </w:r>
      <w:r>
        <w:rPr>
          <w:i/>
          <w:vertAlign w:val="baseline"/>
        </w:rPr>
        <w:t>et al.,</w:t>
      </w:r>
      <w:r>
        <w:rPr>
          <w:vertAlign w:val="baseline"/>
        </w:rPr>
        <w:t>2001). Thus, P3 and P4</w:t>
      </w:r>
      <w:r>
        <w:rPr>
          <w:spacing w:val="1"/>
          <w:vertAlign w:val="baseline"/>
        </w:rPr>
        <w:t> </w:t>
      </w:r>
      <w:r>
        <w:rPr>
          <w:vertAlign w:val="baseline"/>
        </w:rPr>
        <w:t>fitted well onto the long cleft of FP-2 and FP-3 (Figures 4.12-4.15), extending from S1</w:t>
      </w:r>
      <w:r>
        <w:rPr>
          <w:spacing w:val="1"/>
          <w:vertAlign w:val="baseline"/>
        </w:rPr>
        <w:t> </w:t>
      </w:r>
      <w:r>
        <w:rPr>
          <w:vertAlign w:val="baseline"/>
        </w:rPr>
        <w:t>subsite to S3. On the plasmepsins (Figures 4.16-4.19) the two compounds fit into the</w:t>
      </w:r>
      <w:r>
        <w:rPr>
          <w:spacing w:val="1"/>
          <w:vertAlign w:val="baseline"/>
        </w:rPr>
        <w:t> </w:t>
      </w:r>
      <w:r>
        <w:rPr>
          <w:vertAlign w:val="baseline"/>
        </w:rPr>
        <w:t>binding</w:t>
      </w:r>
      <w:r>
        <w:rPr>
          <w:spacing w:val="1"/>
          <w:vertAlign w:val="baseline"/>
        </w:rPr>
        <w:t> </w:t>
      </w:r>
      <w:r>
        <w:rPr>
          <w:vertAlign w:val="baseline"/>
        </w:rPr>
        <w:t>pocket,</w:t>
      </w:r>
      <w:r>
        <w:rPr>
          <w:spacing w:val="-1"/>
          <w:vertAlign w:val="baseline"/>
        </w:rPr>
        <w:t> </w:t>
      </w:r>
      <w:r>
        <w:rPr>
          <w:vertAlign w:val="baseline"/>
        </w:rPr>
        <w:t>resting</w:t>
      </w:r>
      <w:r>
        <w:rPr>
          <w:spacing w:val="1"/>
          <w:vertAlign w:val="baseline"/>
        </w:rPr>
        <w:t> </w:t>
      </w:r>
      <w:r>
        <w:rPr>
          <w:vertAlign w:val="baseline"/>
        </w:rPr>
        <w:t>on</w:t>
      </w:r>
      <w:r>
        <w:rPr>
          <w:spacing w:val="-9"/>
          <w:vertAlign w:val="baseline"/>
        </w:rPr>
        <w:t> </w:t>
      </w:r>
      <w:r>
        <w:rPr>
          <w:vertAlign w:val="baseline"/>
        </w:rPr>
        <w:t>the catalytic dyad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5"/>
          <w:vertAlign w:val="baseline"/>
        </w:rPr>
        <w:t> </w:t>
      </w:r>
      <w:r>
        <w:rPr>
          <w:vertAlign w:val="baseline"/>
        </w:rPr>
        <w:t>fully</w:t>
      </w:r>
      <w:r>
        <w:rPr>
          <w:spacing w:val="-8"/>
          <w:vertAlign w:val="baseline"/>
        </w:rPr>
        <w:t> </w:t>
      </w:r>
      <w:r>
        <w:rPr>
          <w:vertAlign w:val="baseline"/>
        </w:rPr>
        <w:t>covered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flap.</w:t>
      </w:r>
    </w:p>
    <w:p>
      <w:pPr>
        <w:pStyle w:val="BodyText"/>
        <w:spacing w:line="480" w:lineRule="auto" w:before="204"/>
        <w:ind w:left="312" w:right="686"/>
        <w:jc w:val="both"/>
      </w:pPr>
      <w:r>
        <w:rPr/>
        <w:t>With regard to the binding interactions, it appears that the most contributing features of the</w:t>
      </w:r>
      <w:r>
        <w:rPr>
          <w:spacing w:val="-57"/>
        </w:rPr>
        <w:t> </w:t>
      </w:r>
      <w:r>
        <w:rPr/>
        <w:t>ligand for receptor interaction are the quinoline ring, carbonyl group and, 2- methoxy</w:t>
      </w:r>
      <w:r>
        <w:rPr>
          <w:spacing w:val="1"/>
        </w:rPr>
        <w:t> </w:t>
      </w:r>
      <w:r>
        <w:rPr/>
        <w:t>group in FP-2 and FP-3 complexes. The hydrogen bonding between the catalytic Cys42 of</w:t>
      </w:r>
      <w:r>
        <w:rPr>
          <w:spacing w:val="1"/>
        </w:rPr>
        <w:t> </w:t>
      </w:r>
      <w:r>
        <w:rPr/>
        <w:t>FP-2 and the oxygen of the carbonyl and 2-methoxy group of ligands is replace by less</w:t>
      </w:r>
      <w:r>
        <w:rPr>
          <w:spacing w:val="1"/>
        </w:rPr>
        <w:t> </w:t>
      </w:r>
      <w:r>
        <w:rPr/>
        <w:t>strong hydrophobic interaction in FP-3 complexes. In which case the catalyticamino acid;</w:t>
      </w:r>
      <w:r>
        <w:rPr>
          <w:spacing w:val="1"/>
        </w:rPr>
        <w:t> </w:t>
      </w:r>
      <w:r>
        <w:rPr/>
        <w:t>Cys51 interact with the quinoline ring of the ligand through hydrophobic interactions. This</w:t>
      </w:r>
      <w:r>
        <w:rPr>
          <w:spacing w:val="-57"/>
        </w:rPr>
        <w:t> </w:t>
      </w:r>
      <w:r>
        <w:rPr/>
        <w:t>might be one of the reasons why FP-2 bindsmore favorably with the ligands than FP-3.</w:t>
      </w:r>
      <w:r>
        <w:rPr>
          <w:spacing w:val="1"/>
        </w:rPr>
        <w:t> </w:t>
      </w:r>
      <w:r>
        <w:rPr/>
        <w:t>Since good binding is associatedwith higher number of strong interactions (Gallicchio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2011). This interaction between P3 and P4 cannot be interpreted as inhibition in wet</w:t>
      </w:r>
      <w:r>
        <w:rPr>
          <w:spacing w:val="1"/>
        </w:rPr>
        <w:t> </w:t>
      </w:r>
      <w:r>
        <w:rPr/>
        <w:t>experiment</w:t>
      </w:r>
      <w:r>
        <w:rPr>
          <w:spacing w:val="5"/>
        </w:rPr>
        <w:t> </w:t>
      </w:r>
      <w:r>
        <w:rPr/>
        <w:t>unless</w:t>
      </w:r>
      <w:r>
        <w:rPr>
          <w:spacing w:val="7"/>
        </w:rPr>
        <w:t> </w:t>
      </w:r>
      <w:r>
        <w:rPr/>
        <w:t>validated</w:t>
      </w:r>
      <w:r>
        <w:rPr>
          <w:spacing w:val="4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3"/>
        </w:rPr>
        <w:t> </w:t>
      </w:r>
      <w:r>
        <w:rPr/>
        <w:t>experiment.</w:t>
      </w:r>
      <w:r>
        <w:rPr>
          <w:spacing w:val="7"/>
        </w:rPr>
        <w:t> </w:t>
      </w:r>
      <w:r>
        <w:rPr/>
        <w:t>Also,</w:t>
      </w:r>
      <w:r>
        <w:rPr>
          <w:spacing w:val="2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plasmepsins</w:t>
      </w:r>
      <w:r>
        <w:rPr>
          <w:spacing w:val="2"/>
        </w:rPr>
        <w:t> </w:t>
      </w:r>
      <w:r>
        <w:rPr/>
        <w:t>(Figure</w:t>
      </w:r>
      <w:r>
        <w:rPr>
          <w:spacing w:val="-1"/>
        </w:rPr>
        <w:t> </w:t>
      </w:r>
      <w:r>
        <w:rPr/>
        <w:t>4.16</w:t>
      </w:r>
      <w:r>
        <w:rPr>
          <w:spacing w:val="6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headerReference w:type="default" r:id="rId411"/>
          <w:footerReference w:type="default" r:id="rId41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3"/>
        <w:jc w:val="both"/>
      </w:pPr>
      <w:r>
        <w:rPr/>
        <w:t>4.18) more of 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 residues interacted with the</w:t>
      </w:r>
      <w:r>
        <w:rPr>
          <w:spacing w:val="1"/>
        </w:rPr>
        <w:t> </w:t>
      </w:r>
      <w:r>
        <w:rPr/>
        <w:t>ligands. But, there was no</w:t>
      </w:r>
      <w:r>
        <w:rPr>
          <w:spacing w:val="1"/>
        </w:rPr>
        <w:t> </w:t>
      </w:r>
      <w:r>
        <w:rPr/>
        <w:t>interaction with the catalytic amino acid (Asp34 and Asp214), interaction is between the</w:t>
      </w:r>
      <w:r>
        <w:rPr>
          <w:spacing w:val="1"/>
        </w:rPr>
        <w:t> </w:t>
      </w:r>
      <w:r>
        <w:rPr/>
        <w:t>ligands and residues on the flap. Tyr 192 also interacted with the ligands. Most important</w:t>
      </w:r>
      <w:r>
        <w:rPr>
          <w:spacing w:val="1"/>
        </w:rPr>
        <w:t> </w:t>
      </w:r>
      <w:r>
        <w:rPr/>
        <w:t>interactions include; hydrogen bond, carbon-hydrogen bond, Pi-alkyl and van der Waals</w:t>
      </w:r>
      <w:r>
        <w:rPr>
          <w:spacing w:val="1"/>
        </w:rPr>
        <w:t> </w:t>
      </w:r>
      <w:r>
        <w:rPr/>
        <w:t>interaction with the quinoline, Cl, and 2-methoxy group. Could it</w:t>
      </w:r>
      <w:r>
        <w:rPr>
          <w:spacing w:val="1"/>
        </w:rPr>
        <w:t> </w:t>
      </w:r>
      <w:r>
        <w:rPr/>
        <w:t>be that the ligands</w:t>
      </w:r>
      <w:r>
        <w:rPr>
          <w:spacing w:val="1"/>
        </w:rPr>
        <w:t> </w:t>
      </w:r>
      <w:r>
        <w:rPr/>
        <w:t>interacted with</w:t>
      </w:r>
      <w:r>
        <w:rPr>
          <w:spacing w:val="-4"/>
        </w:rPr>
        <w:t> </w:t>
      </w:r>
      <w:r>
        <w:rPr/>
        <w:t>the</w:t>
      </w:r>
      <w:r>
        <w:rPr>
          <w:spacing w:val="3"/>
        </w:rPr>
        <w:t> </w:t>
      </w:r>
      <w:r>
        <w:rPr/>
        <w:t>‗gate keepers‘</w:t>
      </w:r>
      <w:r>
        <w:rPr>
          <w:spacing w:val="-2"/>
        </w:rPr>
        <w:t> </w:t>
      </w:r>
      <w:r>
        <w:rPr/>
        <w:t>to</w:t>
      </w:r>
      <w:r>
        <w:rPr>
          <w:spacing w:val="1"/>
        </w:rPr>
        <w:t> </w:t>
      </w:r>
      <w:r>
        <w:rPr/>
        <w:t>cover</w:t>
      </w:r>
      <w:r>
        <w:rPr>
          <w:spacing w:val="2"/>
        </w:rPr>
        <w:t> </w:t>
      </w:r>
      <w:r>
        <w:rPr/>
        <w:t>the active site?</w:t>
      </w:r>
    </w:p>
    <w:p>
      <w:pPr>
        <w:pStyle w:val="Heading1"/>
        <w:numPr>
          <w:ilvl w:val="2"/>
          <w:numId w:val="26"/>
        </w:numPr>
        <w:tabs>
          <w:tab w:pos="856" w:val="left" w:leader="none"/>
        </w:tabs>
        <w:spacing w:line="240" w:lineRule="auto" w:before="207" w:after="0"/>
        <w:ind w:left="855" w:right="0" w:hanging="544"/>
        <w:jc w:val="both"/>
      </w:pPr>
      <w:bookmarkStart w:name="_TOC_250007" w:id="86"/>
      <w:r>
        <w:rPr/>
        <w:t>Molecular</w:t>
      </w:r>
      <w:r>
        <w:rPr>
          <w:spacing w:val="-8"/>
        </w:rPr>
        <w:t> </w:t>
      </w:r>
      <w:r>
        <w:rPr/>
        <w:t>dynamics</w:t>
      </w:r>
      <w:r>
        <w:rPr>
          <w:spacing w:val="-4"/>
        </w:rPr>
        <w:t> </w:t>
      </w:r>
      <w:bookmarkEnd w:id="86"/>
      <w:r>
        <w:rPr/>
        <w:t>simulation</w:t>
      </w:r>
    </w:p>
    <w:p>
      <w:pPr>
        <w:pStyle w:val="BodyText"/>
        <w:spacing w:line="480" w:lineRule="auto" w:before="195"/>
        <w:ind w:left="312" w:right="689"/>
        <w:jc w:val="both"/>
      </w:pPr>
      <w:r>
        <w:rPr/>
        <w:t>To ensure stability within the systems and accuracy of successive post dynamic analyses,</w:t>
      </w:r>
      <w:r>
        <w:rPr>
          <w:spacing w:val="1"/>
        </w:rPr>
        <w:t> </w:t>
      </w:r>
      <w:r>
        <w:rPr/>
        <w:t>the roots mean square deviation (RMSD) of the Cα backbone of the trajectories were</w:t>
      </w:r>
      <w:r>
        <w:rPr>
          <w:spacing w:val="1"/>
        </w:rPr>
        <w:t> </w:t>
      </w:r>
      <w:r>
        <w:rPr/>
        <w:t>monitored during the simulation time for all the systems. After approximately 10ns, the</w:t>
      </w:r>
      <w:r>
        <w:rPr>
          <w:spacing w:val="1"/>
        </w:rPr>
        <w:t> </w:t>
      </w:r>
      <w:r>
        <w:rPr/>
        <w:t>RMSD trajectories converged and fluctuations did not exceed 3.0Ǻ for either system for</w:t>
      </w:r>
      <w:r>
        <w:rPr>
          <w:spacing w:val="1"/>
        </w:rPr>
        <w:t> </w:t>
      </w:r>
      <w:r>
        <w:rPr/>
        <w:t>the duration of the simulation (Figure 4.20). In three of the enzymes systems (FP-3, Plm-II</w:t>
      </w:r>
      <w:r>
        <w:rPr>
          <w:spacing w:val="-57"/>
        </w:rPr>
        <w:t> </w:t>
      </w:r>
      <w:r>
        <w:rPr/>
        <w:t>and Plm-IV), compound P3-protein complex attained a high RMSD</w:t>
      </w:r>
      <w:r>
        <w:rPr>
          <w:spacing w:val="1"/>
        </w:rPr>
        <w:t> </w:t>
      </w:r>
      <w:r>
        <w:rPr/>
        <w:t>value, while P4-</w:t>
      </w:r>
      <w:r>
        <w:rPr>
          <w:spacing w:val="1"/>
        </w:rPr>
        <w:t> </w:t>
      </w:r>
      <w:r>
        <w:rPr/>
        <w:t>protein complex has higher value with FP-2 only (Figure 4.20). The results indicate P4</w:t>
      </w:r>
      <w:r>
        <w:rPr>
          <w:spacing w:val="1"/>
        </w:rPr>
        <w:t> </w:t>
      </w:r>
      <w:r>
        <w:rPr/>
        <w:t>complexes in those systems as the most stable compared to P3 complexes. The average</w:t>
      </w:r>
      <w:r>
        <w:rPr>
          <w:spacing w:val="1"/>
        </w:rPr>
        <w:t> </w:t>
      </w:r>
      <w:r>
        <w:rPr/>
        <w:t>RMSD values for the C-α backbone atoms of FP-2, FP-3, Plm-II and Plm-IV in complex</w:t>
      </w:r>
      <w:r>
        <w:rPr>
          <w:spacing w:val="1"/>
        </w:rPr>
        <w:t> </w:t>
      </w:r>
      <w:r>
        <w:rPr/>
        <w:t>with P3 were 1.481, 1.702, 2.141and 2.277Ǻ respectively, while that of FP-2, FP-3, Plm-II</w:t>
      </w:r>
      <w:r>
        <w:rPr>
          <w:spacing w:val="-57"/>
        </w:rPr>
        <w:t> </w:t>
      </w:r>
      <w:r>
        <w:rPr/>
        <w:t>and Plm-IV in complex with P4 were 1.700, 1.565, 1.602 and 2.010Å respectively. RMSD</w:t>
      </w:r>
      <w:r>
        <w:rPr>
          <w:spacing w:val="-57"/>
        </w:rPr>
        <w:t> </w:t>
      </w:r>
      <w:r>
        <w:rPr/>
        <w:t>values</w:t>
      </w:r>
      <w:r>
        <w:rPr>
          <w:spacing w:val="1"/>
        </w:rPr>
        <w:t> </w:t>
      </w:r>
      <w:r>
        <w:rPr/>
        <w:t>ranging</w:t>
      </w:r>
      <w:r>
        <w:rPr>
          <w:spacing w:val="1"/>
        </w:rPr>
        <w:t> </w:t>
      </w:r>
      <w:r>
        <w:rPr/>
        <w:t>from 1.8Å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2.9Å was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plasmodial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</w:t>
      </w:r>
      <w:r>
        <w:rPr>
          <w:spacing w:val="1"/>
        </w:rPr>
        <w:t> </w:t>
      </w:r>
      <w:r>
        <w:rPr/>
        <w:t>complexes</w:t>
      </w:r>
      <w:r>
        <w:rPr>
          <w:spacing w:val="-1"/>
        </w:rPr>
        <w:t> </w:t>
      </w:r>
      <w:r>
        <w:rPr/>
        <w:t>(Musyoka</w:t>
      </w:r>
      <w:r>
        <w:rPr>
          <w:spacing w:val="3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2016).</w:t>
      </w:r>
    </w:p>
    <w:p>
      <w:pPr>
        <w:pStyle w:val="BodyText"/>
        <w:spacing w:line="480" w:lineRule="auto" w:before="200"/>
        <w:ind w:left="312" w:right="694"/>
        <w:jc w:val="both"/>
      </w:pPr>
      <w:r>
        <w:rPr/>
        <w:t>To further provide insight into the stability of the protein systems, as well as to determine</w:t>
      </w:r>
      <w:r>
        <w:rPr>
          <w:spacing w:val="1"/>
        </w:rPr>
        <w:t> </w:t>
      </w:r>
      <w:r>
        <w:rPr/>
        <w:t>the compactness of the proteins 3D structure (how folded or unfolded a protein is) upon</w:t>
      </w:r>
      <w:r>
        <w:rPr>
          <w:spacing w:val="1"/>
        </w:rPr>
        <w:t> </w:t>
      </w:r>
      <w:r>
        <w:rPr/>
        <w:t>binding with the two compounds throughout the MD simulation, Rg was calculated and</w:t>
      </w:r>
      <w:r>
        <w:rPr>
          <w:spacing w:val="1"/>
        </w:rPr>
        <w:t> </w:t>
      </w:r>
      <w:r>
        <w:rPr/>
        <w:t>analysed (Figure 4.21). For the falcipains (FP-2 and FP-3) the two complexes showed</w:t>
      </w:r>
      <w:r>
        <w:rPr>
          <w:spacing w:val="1"/>
        </w:rPr>
        <w:t> </w:t>
      </w:r>
      <w:r>
        <w:rPr/>
        <w:t>similar</w:t>
      </w:r>
      <w:r>
        <w:rPr>
          <w:spacing w:val="11"/>
        </w:rPr>
        <w:t> </w:t>
      </w:r>
      <w:r>
        <w:rPr/>
        <w:t>pattern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9"/>
        </w:rPr>
        <w:t> </w:t>
      </w:r>
      <w:r>
        <w:rPr/>
        <w:t>Rg</w:t>
      </w:r>
      <w:r>
        <w:rPr>
          <w:spacing w:val="9"/>
        </w:rPr>
        <w:t> </w:t>
      </w:r>
      <w:r>
        <w:rPr/>
        <w:t>(Figure</w:t>
      </w:r>
      <w:r>
        <w:rPr>
          <w:spacing w:val="9"/>
        </w:rPr>
        <w:t> </w:t>
      </w:r>
      <w:r>
        <w:rPr/>
        <w:t>4.21).</w:t>
      </w:r>
      <w:r>
        <w:rPr>
          <w:spacing w:val="12"/>
        </w:rPr>
        <w:t> </w:t>
      </w:r>
      <w:r>
        <w:rPr/>
        <w:t>In</w:t>
      </w:r>
      <w:r>
        <w:rPr>
          <w:spacing w:val="5"/>
        </w:rPr>
        <w:t> </w:t>
      </w:r>
      <w:r>
        <w:rPr/>
        <w:t>FP-3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Rg</w:t>
      </w:r>
      <w:r>
        <w:rPr>
          <w:spacing w:val="15"/>
        </w:rPr>
        <w:t> </w:t>
      </w:r>
      <w:r>
        <w:rPr/>
        <w:t>for</w:t>
      </w:r>
      <w:r>
        <w:rPr>
          <w:spacing w:val="7"/>
        </w:rPr>
        <w:t> </w:t>
      </w:r>
      <w:r>
        <w:rPr/>
        <w:t>the</w:t>
      </w:r>
      <w:r>
        <w:rPr>
          <w:spacing w:val="9"/>
        </w:rPr>
        <w:t> </w:t>
      </w:r>
      <w:r>
        <w:rPr/>
        <w:t>two</w:t>
      </w:r>
      <w:r>
        <w:rPr>
          <w:spacing w:val="15"/>
        </w:rPr>
        <w:t> </w:t>
      </w:r>
      <w:r>
        <w:rPr/>
        <w:t>compounds</w:t>
      </w:r>
      <w:r>
        <w:rPr>
          <w:spacing w:val="13"/>
        </w:rPr>
        <w:t> </w:t>
      </w:r>
      <w:r>
        <w:rPr/>
        <w:t>maintain</w:t>
      </w:r>
      <w:r>
        <w:rPr>
          <w:spacing w:val="10"/>
        </w:rPr>
        <w:t> </w:t>
      </w:r>
      <w:r>
        <w:rPr/>
        <w:t>a</w:t>
      </w:r>
    </w:p>
    <w:p>
      <w:pPr>
        <w:spacing w:after="0" w:line="480" w:lineRule="auto"/>
        <w:jc w:val="both"/>
        <w:sectPr>
          <w:headerReference w:type="default" r:id="rId413"/>
          <w:footerReference w:type="default" r:id="rId414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8"/>
        <w:jc w:val="both"/>
      </w:pPr>
      <w:r>
        <w:rPr/>
        <w:t>relatively steady value over the simulation time indicating a compact and stable system,</w:t>
      </w:r>
      <w:r>
        <w:rPr>
          <w:spacing w:val="1"/>
        </w:rPr>
        <w:t> </w:t>
      </w:r>
      <w:r>
        <w:rPr/>
        <w:t>while in FP-2 system there was stability from the beginning of the simulation for both</w:t>
      </w:r>
      <w:r>
        <w:rPr>
          <w:spacing w:val="1"/>
        </w:rPr>
        <w:t> </w:t>
      </w:r>
      <w:r>
        <w:rPr/>
        <w:t>compounds until after 15ns when it fluctuates increasing slightly then decrease. Overall,</w:t>
      </w:r>
      <w:r>
        <w:rPr>
          <w:spacing w:val="1"/>
        </w:rPr>
        <w:t> </w:t>
      </w:r>
      <w:r>
        <w:rPr/>
        <w:t>the two falcipain systems-maintained compactness and stability of the protein 3D structure</w:t>
      </w:r>
      <w:r>
        <w:rPr>
          <w:spacing w:val="-57"/>
        </w:rPr>
        <w:t> </w:t>
      </w:r>
      <w:r>
        <w:rPr/>
        <w:t>upon binding with both P3 and P4, with an average Rg of 18.446 and 18.474 respectively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FP-3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18.278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FP-2.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agrees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an average</w:t>
      </w:r>
      <w:r>
        <w:rPr>
          <w:spacing w:val="1"/>
        </w:rPr>
        <w:t> </w:t>
      </w:r>
      <w:r>
        <w:rPr/>
        <w:t>Rg</w:t>
      </w:r>
      <w:r>
        <w:rPr>
          <w:spacing w:val="1"/>
        </w:rPr>
        <w:t> </w:t>
      </w:r>
      <w:r>
        <w:rPr/>
        <w:t>reported</w:t>
      </w:r>
      <w:r>
        <w:rPr>
          <w:spacing w:val="60"/>
        </w:rPr>
        <w:t> </w:t>
      </w:r>
      <w:r>
        <w:rPr/>
        <w:t>by</w:t>
      </w:r>
      <w:r>
        <w:rPr>
          <w:spacing w:val="1"/>
        </w:rPr>
        <w:t> </w:t>
      </w:r>
      <w:r>
        <w:rPr/>
        <w:t>Musyoka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</w:t>
      </w:r>
      <w:r>
        <w:rPr>
          <w:i/>
          <w:spacing w:val="5"/>
        </w:rPr>
        <w:t> </w:t>
      </w:r>
      <w:r>
        <w:rPr/>
        <w:t>(2016).</w:t>
      </w:r>
    </w:p>
    <w:p>
      <w:pPr>
        <w:pStyle w:val="BodyText"/>
        <w:spacing w:line="480" w:lineRule="auto" w:before="203"/>
        <w:ind w:left="312" w:right="692"/>
        <w:jc w:val="both"/>
      </w:pPr>
      <w:r>
        <w:rPr/>
        <w:t>Conversely, with plasmepsins system the two compounds showed different pattern in their</w:t>
      </w:r>
      <w:r>
        <w:rPr>
          <w:spacing w:val="-57"/>
        </w:rPr>
        <w:t> </w:t>
      </w:r>
      <w:r>
        <w:rPr/>
        <w:t>Rg.</w:t>
      </w:r>
      <w:r>
        <w:rPr>
          <w:spacing w:val="1"/>
        </w:rPr>
        <w:t> </w:t>
      </w:r>
      <w:r>
        <w:rPr/>
        <w:t>P4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stable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Plm-II</w:t>
      </w:r>
      <w:r>
        <w:rPr>
          <w:spacing w:val="1"/>
        </w:rPr>
        <w:t> </w:t>
      </w:r>
      <w:r>
        <w:rPr/>
        <w:t>ascompared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P3,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it</w:t>
      </w:r>
      <w:r>
        <w:rPr>
          <w:spacing w:val="-57"/>
        </w:rPr>
        <w:t> </w:t>
      </w:r>
      <w:r>
        <w:rPr/>
        <w:t>displayed slightly higher values in Plm- IV. Plm-IV system showed fluctuation in Rg</w:t>
      </w:r>
      <w:r>
        <w:rPr>
          <w:spacing w:val="1"/>
        </w:rPr>
        <w:t> </w:t>
      </w:r>
      <w:r>
        <w:rPr/>
        <w:t>values from the beginning of the simulation but, stabilizes and decreased after about 10ns,</w:t>
      </w:r>
      <w:r>
        <w:rPr>
          <w:spacing w:val="1"/>
        </w:rPr>
        <w:t> </w:t>
      </w:r>
      <w:r>
        <w:rPr/>
        <w:t>with values for both compound smaller than Plm-II system. The pattern of the Rg for both</w:t>
      </w:r>
      <w:r>
        <w:rPr>
          <w:spacing w:val="1"/>
        </w:rPr>
        <w:t> </w:t>
      </w:r>
      <w:r>
        <w:rPr/>
        <w:t>Plm-II and Plm-IV system is similar to that reported by McGillewie and Soliman. (2015).</w:t>
      </w:r>
      <w:r>
        <w:rPr>
          <w:spacing w:val="1"/>
        </w:rPr>
        <w:t> </w:t>
      </w:r>
      <w:r>
        <w:rPr/>
        <w:t>The average Rg displayed by P3 in Plm-II and Plm-IV system are 20.642, and 19.982</w:t>
      </w:r>
      <w:r>
        <w:rPr>
          <w:spacing w:val="1"/>
        </w:rPr>
        <w:t> </w:t>
      </w:r>
      <w:r>
        <w:rPr/>
        <w:t>respectively and that of P4 in Plm-II and Plm-IV system are 20.594 and 20.049. Rg of apo</w:t>
      </w:r>
      <w:r>
        <w:rPr>
          <w:spacing w:val="1"/>
        </w:rPr>
        <w:t> </w:t>
      </w:r>
      <w:r>
        <w:rPr/>
        <w:t>Plm-II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Plm-IV are 20.48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20.66</w:t>
      </w:r>
      <w:r>
        <w:rPr>
          <w:spacing w:val="-4"/>
        </w:rPr>
        <w:t> </w:t>
      </w:r>
      <w:r>
        <w:rPr/>
        <w:t>respectively</w:t>
      </w:r>
      <w:r>
        <w:rPr>
          <w:spacing w:val="-8"/>
        </w:rPr>
        <w:t> </w:t>
      </w:r>
      <w:r>
        <w:rPr/>
        <w:t>(McGillewi</w:t>
      </w:r>
      <w:r>
        <w:rPr>
          <w:spacing w:val="-8"/>
        </w:rPr>
        <w:t> </w:t>
      </w:r>
      <w:r>
        <w:rPr/>
        <w:t>and</w:t>
      </w:r>
      <w:r>
        <w:rPr>
          <w:spacing w:val="1"/>
        </w:rPr>
        <w:t> </w:t>
      </w:r>
      <w:r>
        <w:rPr/>
        <w:t>Soliman,</w:t>
      </w:r>
      <w:r>
        <w:rPr>
          <w:spacing w:val="3"/>
        </w:rPr>
        <w:t> </w:t>
      </w:r>
      <w:r>
        <w:rPr/>
        <w:t>2015).</w:t>
      </w:r>
    </w:p>
    <w:p>
      <w:pPr>
        <w:pStyle w:val="BodyText"/>
        <w:spacing w:line="480" w:lineRule="auto" w:before="198"/>
        <w:ind w:left="312" w:right="689"/>
        <w:jc w:val="both"/>
      </w:pPr>
      <w:r>
        <w:rPr/>
        <w:t>To gain insight into the mobility of the individual residues within the four enzymes system</w:t>
      </w:r>
      <w:r>
        <w:rPr>
          <w:spacing w:val="-57"/>
        </w:rPr>
        <w:t> </w:t>
      </w:r>
      <w:r>
        <w:rPr/>
        <w:t>upon binding with P3, and P4 that mediate conformational flexibility and dynamics of the</w:t>
      </w:r>
      <w:r>
        <w:rPr>
          <w:spacing w:val="1"/>
        </w:rPr>
        <w:t> </w:t>
      </w:r>
      <w:r>
        <w:rPr/>
        <w:t>enzyes, per-residue fluctuation (RMSF) was evaluated and analyzed. The RMSF plots of</w:t>
      </w:r>
      <w:r>
        <w:rPr>
          <w:spacing w:val="1"/>
        </w:rPr>
        <w:t> </w:t>
      </w:r>
      <w:r>
        <w:rPr/>
        <w:t>the falcipains-ligand complexes are similar (Figures 4.22, A and B). The region showing</w:t>
      </w:r>
      <w:r>
        <w:rPr>
          <w:spacing w:val="1"/>
        </w:rPr>
        <w:t> </w:t>
      </w:r>
      <w:r>
        <w:rPr/>
        <w:t>the highest fluctuation are residues 1-20 representing the N-terminal insertion, that has</w:t>
      </w:r>
      <w:r>
        <w:rPr>
          <w:spacing w:val="1"/>
        </w:rPr>
        <w:t> </w:t>
      </w:r>
      <w:r>
        <w:rPr/>
        <w:t>previously been reported to mediate folding of the mature enzymes (Rosenthal, 2002) and</w:t>
      </w:r>
      <w:r>
        <w:rPr>
          <w:spacing w:val="1"/>
        </w:rPr>
        <w:t> </w:t>
      </w:r>
      <w:r>
        <w:rPr/>
        <w:t>the second</w:t>
      </w:r>
      <w:r>
        <w:rPr>
          <w:spacing w:val="1"/>
        </w:rPr>
        <w:t> </w:t>
      </w:r>
      <w:r>
        <w:rPr/>
        <w:t>insertion consisting of residues 175-200 that</w:t>
      </w:r>
      <w:r>
        <w:rPr>
          <w:spacing w:val="1"/>
        </w:rPr>
        <w:t> </w:t>
      </w:r>
      <w:r>
        <w:rPr/>
        <w:t>forms the</w:t>
      </w:r>
      <w:r>
        <w:rPr>
          <w:spacing w:val="60"/>
        </w:rPr>
        <w:t> </w:t>
      </w:r>
      <w:r>
        <w:rPr/>
        <w:t>β-hairpin associated</w:t>
      </w:r>
      <w:r>
        <w:rPr>
          <w:spacing w:val="1"/>
        </w:rPr>
        <w:t> </w:t>
      </w:r>
      <w:r>
        <w:rPr/>
        <w:t>with the binding of haemoglobin (Hb) (Pandey </w:t>
      </w:r>
      <w:r>
        <w:rPr>
          <w:i/>
        </w:rPr>
        <w:t>et al., </w:t>
      </w:r>
      <w:r>
        <w:rPr/>
        <w:t>2005; Hogg </w:t>
      </w:r>
      <w:r>
        <w:rPr>
          <w:i/>
        </w:rPr>
        <w:t>et al., </w:t>
      </w:r>
      <w:r>
        <w:rPr/>
        <w:t>2006). Previous</w:t>
      </w:r>
      <w:r>
        <w:rPr>
          <w:spacing w:val="1"/>
        </w:rPr>
        <w:t> </w:t>
      </w:r>
      <w:r>
        <w:rPr/>
        <w:t>studies</w:t>
      </w:r>
      <w:r>
        <w:rPr>
          <w:spacing w:val="5"/>
        </w:rPr>
        <w:t> </w:t>
      </w:r>
      <w:r>
        <w:rPr/>
        <w:t>have</w:t>
      </w:r>
      <w:r>
        <w:rPr>
          <w:spacing w:val="7"/>
        </w:rPr>
        <w:t> </w:t>
      </w:r>
      <w:r>
        <w:rPr/>
        <w:t>shown</w:t>
      </w:r>
      <w:r>
        <w:rPr>
          <w:spacing w:val="-2"/>
        </w:rPr>
        <w:t> </w:t>
      </w:r>
      <w:r>
        <w:rPr/>
        <w:t>that</w:t>
      </w:r>
      <w:r>
        <w:rPr>
          <w:spacing w:val="8"/>
        </w:rPr>
        <w:t> </w:t>
      </w:r>
      <w:r>
        <w:rPr/>
        <w:t>these</w:t>
      </w:r>
      <w:r>
        <w:rPr>
          <w:spacing w:val="7"/>
        </w:rPr>
        <w:t> </w:t>
      </w:r>
      <w:r>
        <w:rPr/>
        <w:t>insertions</w:t>
      </w:r>
      <w:r>
        <w:rPr>
          <w:spacing w:val="1"/>
        </w:rPr>
        <w:t> </w:t>
      </w:r>
      <w:r>
        <w:rPr/>
        <w:t>are</w:t>
      </w:r>
      <w:r>
        <w:rPr>
          <w:spacing w:val="7"/>
        </w:rPr>
        <w:t> </w:t>
      </w:r>
      <w:r>
        <w:rPr/>
        <w:t>novel</w:t>
      </w:r>
      <w:r>
        <w:rPr>
          <w:spacing w:val="-1"/>
        </w:rPr>
        <w:t> </w:t>
      </w:r>
      <w:r>
        <w:rPr/>
        <w:t>to</w:t>
      </w:r>
      <w:r>
        <w:rPr>
          <w:spacing w:val="8"/>
        </w:rPr>
        <w:t> </w:t>
      </w:r>
      <w:r>
        <w:rPr/>
        <w:t>Plasmodia</w:t>
      </w:r>
      <w:r>
        <w:rPr>
          <w:spacing w:val="3"/>
        </w:rPr>
        <w:t> </w:t>
      </w:r>
      <w:r>
        <w:rPr/>
        <w:t>cysteine</w:t>
      </w:r>
      <w:r>
        <w:rPr>
          <w:spacing w:val="3"/>
        </w:rPr>
        <w:t> </w:t>
      </w:r>
      <w:r>
        <w:rPr/>
        <w:t>proteases</w:t>
      </w:r>
      <w:r>
        <w:rPr>
          <w:spacing w:val="1"/>
        </w:rPr>
        <w:t> </w:t>
      </w:r>
      <w:r>
        <w:rPr/>
        <w:t>and</w:t>
      </w:r>
      <w:r>
        <w:rPr>
          <w:spacing w:val="8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headerReference w:type="default" r:id="rId415"/>
          <w:footerReference w:type="default" r:id="rId416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4"/>
        <w:jc w:val="both"/>
      </w:pPr>
      <w:r>
        <w:rPr/>
        <w:t>more</w:t>
      </w:r>
      <w:r>
        <w:rPr>
          <w:spacing w:val="1"/>
        </w:rPr>
        <w:t> </w:t>
      </w:r>
      <w:r>
        <w:rPr/>
        <w:t>flexible than the rest of the structure (Rosenthal, 2002; Hogg</w:t>
      </w:r>
      <w:r>
        <w:rPr>
          <w:spacing w:val="60"/>
        </w:rPr>
        <w:t> </w:t>
      </w:r>
      <w:r>
        <w:rPr>
          <w:i/>
        </w:rPr>
        <w:t>et al., </w:t>
      </w:r>
      <w:r>
        <w:rPr/>
        <w:t>2006;Wang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2006). Other residues showing</w:t>
      </w:r>
      <w:r>
        <w:rPr>
          <w:spacing w:val="1"/>
        </w:rPr>
        <w:t> </w:t>
      </w:r>
      <w:r>
        <w:rPr/>
        <w:t>fluctuations</w:t>
      </w:r>
      <w:r>
        <w:rPr>
          <w:spacing w:val="1"/>
        </w:rPr>
        <w:t> </w:t>
      </w:r>
      <w:r>
        <w:rPr/>
        <w:t>are located on loop</w:t>
      </w:r>
      <w:r>
        <w:rPr>
          <w:spacing w:val="1"/>
        </w:rPr>
        <w:t> </w:t>
      </w:r>
      <w:r>
        <w:rPr/>
        <w:t>region.</w:t>
      </w:r>
      <w:r>
        <w:rPr>
          <w:spacing w:val="60"/>
        </w:rPr>
        <w:t> </w:t>
      </w:r>
      <w:r>
        <w:rPr/>
        <w:t>From the</w:t>
      </w:r>
      <w:r>
        <w:rPr>
          <w:spacing w:val="1"/>
        </w:rPr>
        <w:t> </w:t>
      </w:r>
      <w:r>
        <w:rPr/>
        <w:t>RMSF</w:t>
      </w:r>
      <w:r>
        <w:rPr>
          <w:spacing w:val="1"/>
        </w:rPr>
        <w:t> </w:t>
      </w:r>
      <w:r>
        <w:rPr/>
        <w:t>plot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fluctuations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(Gln36/45,</w:t>
      </w:r>
      <w:r>
        <w:rPr>
          <w:spacing w:val="1"/>
        </w:rPr>
        <w:t> </w:t>
      </w:r>
      <w:r>
        <w:rPr/>
        <w:t>Cys42/51,</w:t>
      </w:r>
      <w:r>
        <w:rPr>
          <w:spacing w:val="1"/>
        </w:rPr>
        <w:t> </w:t>
      </w:r>
      <w:r>
        <w:rPr/>
        <w:t>His174/183,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Asn204/213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FP2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FP3</w:t>
      </w:r>
      <w:r>
        <w:rPr>
          <w:spacing w:val="1"/>
        </w:rPr>
        <w:t> </w:t>
      </w:r>
      <w:r>
        <w:rPr/>
        <w:t>respectively)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protein–ligand</w:t>
      </w:r>
      <w:r>
        <w:rPr>
          <w:spacing w:val="-57"/>
        </w:rPr>
        <w:t> </w:t>
      </w:r>
      <w:r>
        <w:rPr/>
        <w:t>complex</w:t>
      </w:r>
      <w:r>
        <w:rPr>
          <w:spacing w:val="-4"/>
        </w:rPr>
        <w:t> </w:t>
      </w:r>
      <w:r>
        <w:rPr/>
        <w:t>system</w:t>
      </w:r>
      <w:r>
        <w:rPr>
          <w:spacing w:val="-7"/>
        </w:rPr>
        <w:t> </w:t>
      </w:r>
      <w:r>
        <w:rPr/>
        <w:t>remained</w:t>
      </w:r>
      <w:r>
        <w:rPr>
          <w:spacing w:val="1"/>
        </w:rPr>
        <w:t> </w:t>
      </w:r>
      <w:r>
        <w:rPr/>
        <w:t>stable</w:t>
      </w:r>
      <w:r>
        <w:rPr>
          <w:spacing w:val="1"/>
        </w:rPr>
        <w:t> </w:t>
      </w:r>
      <w:r>
        <w:rPr/>
        <w:t>during</w:t>
      </w:r>
      <w:r>
        <w:rPr>
          <w:spacing w:val="6"/>
        </w:rPr>
        <w:t> </w:t>
      </w:r>
      <w:r>
        <w:rPr/>
        <w:t>the</w:t>
      </w:r>
      <w:r>
        <w:rPr>
          <w:spacing w:val="1"/>
        </w:rPr>
        <w:t> </w:t>
      </w:r>
      <w:r>
        <w:rPr/>
        <w:t>simulation</w:t>
      </w:r>
      <w:r>
        <w:rPr>
          <w:spacing w:val="-4"/>
        </w:rPr>
        <w:t> </w:t>
      </w:r>
      <w:r>
        <w:rPr/>
        <w:t>period.</w:t>
      </w:r>
    </w:p>
    <w:p>
      <w:pPr>
        <w:pStyle w:val="BodyText"/>
        <w:spacing w:line="480" w:lineRule="auto" w:before="202"/>
        <w:ind w:left="312" w:right="684"/>
        <w:jc w:val="both"/>
      </w:pPr>
      <w:r>
        <w:rPr/>
        <w:t>For the plasmepsin systems (Figure 4.22, C and D), the amino acid residues 225-300 show</w:t>
      </w:r>
      <w:r>
        <w:rPr>
          <w:spacing w:val="-57"/>
        </w:rPr>
        <w:t> </w:t>
      </w:r>
      <w:r>
        <w:rPr/>
        <w:t>a higher fluctuation relative to other residues. The region represents the L3 loop (231-244</w:t>
      </w:r>
      <w:r>
        <w:rPr>
          <w:spacing w:val="1"/>
        </w:rPr>
        <w:t> </w:t>
      </w:r>
      <w:r>
        <w:rPr/>
        <w:t>residues) and L4 loop (277-283 residues) Plm-II numbering (McGillewie and Soliman,</w:t>
      </w:r>
      <w:r>
        <w:rPr>
          <w:spacing w:val="1"/>
        </w:rPr>
        <w:t> </w:t>
      </w:r>
      <w:r>
        <w:rPr/>
        <w:t>2015) where the flexible loop is situated and the fluctuation have been attributed to the</w:t>
      </w:r>
      <w:r>
        <w:rPr>
          <w:spacing w:val="1"/>
        </w:rPr>
        <w:t> </w:t>
      </w:r>
      <w:r>
        <w:rPr/>
        <w:t>coordinated recoiling motion of the flexible loop (Karabiu </w:t>
      </w:r>
      <w:r>
        <w:rPr>
          <w:i/>
        </w:rPr>
        <w:t>et al., </w:t>
      </w:r>
      <w:r>
        <w:rPr/>
        <w:t>2015; McGillewie and</w:t>
      </w:r>
      <w:r>
        <w:rPr>
          <w:spacing w:val="1"/>
        </w:rPr>
        <w:t> </w:t>
      </w:r>
      <w:r>
        <w:rPr/>
        <w:t>Soliman,</w:t>
      </w:r>
      <w:r>
        <w:rPr>
          <w:spacing w:val="1"/>
        </w:rPr>
        <w:t> </w:t>
      </w:r>
      <w:r>
        <w:rPr/>
        <w:t>2015).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movement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flap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remained embraced by the flap at the active site cavity, but the residues behind the flap</w:t>
      </w:r>
      <w:r>
        <w:rPr>
          <w:spacing w:val="1"/>
        </w:rPr>
        <w:t> </w:t>
      </w:r>
      <w:r>
        <w:rPr/>
        <w:t>fluctuate higher to move the</w:t>
      </w:r>
      <w:r>
        <w:rPr>
          <w:spacing w:val="60"/>
        </w:rPr>
        <w:t> </w:t>
      </w:r>
      <w:r>
        <w:rPr/>
        <w:t>flap over the binding cavity as seen by visual inspection of</w:t>
      </w:r>
      <w:r>
        <w:rPr>
          <w:spacing w:val="1"/>
        </w:rPr>
        <w:t> </w:t>
      </w:r>
      <w:r>
        <w:rPr/>
        <w:t>the</w:t>
      </w:r>
      <w:r>
        <w:rPr>
          <w:spacing w:val="27"/>
        </w:rPr>
        <w:t> </w:t>
      </w:r>
      <w:r>
        <w:rPr/>
        <w:t>trajectories.</w:t>
      </w:r>
      <w:r>
        <w:rPr>
          <w:spacing w:val="30"/>
        </w:rPr>
        <w:t> </w:t>
      </w:r>
      <w:r>
        <w:rPr/>
        <w:t>Less</w:t>
      </w:r>
      <w:r>
        <w:rPr>
          <w:spacing w:val="26"/>
        </w:rPr>
        <w:t> </w:t>
      </w:r>
      <w:r>
        <w:rPr/>
        <w:t>residual</w:t>
      </w:r>
      <w:r>
        <w:rPr>
          <w:spacing w:val="28"/>
        </w:rPr>
        <w:t> </w:t>
      </w:r>
      <w:r>
        <w:rPr/>
        <w:t>fluctuation</w:t>
      </w:r>
      <w:r>
        <w:rPr>
          <w:spacing w:val="24"/>
        </w:rPr>
        <w:t> </w:t>
      </w:r>
      <w:r>
        <w:rPr/>
        <w:t>was</w:t>
      </w:r>
      <w:r>
        <w:rPr>
          <w:spacing w:val="25"/>
        </w:rPr>
        <w:t> </w:t>
      </w:r>
      <w:r>
        <w:rPr/>
        <w:t>reported</w:t>
      </w:r>
      <w:r>
        <w:rPr>
          <w:spacing w:val="23"/>
        </w:rPr>
        <w:t> </w:t>
      </w:r>
      <w:r>
        <w:rPr/>
        <w:t>for</w:t>
      </w:r>
      <w:r>
        <w:rPr>
          <w:spacing w:val="30"/>
        </w:rPr>
        <w:t> </w:t>
      </w:r>
      <w:r>
        <w:rPr/>
        <w:t>bound</w:t>
      </w:r>
      <w:r>
        <w:rPr>
          <w:spacing w:val="27"/>
        </w:rPr>
        <w:t> </w:t>
      </w:r>
      <w:r>
        <w:rPr/>
        <w:t>Plm-II</w:t>
      </w:r>
      <w:r>
        <w:rPr>
          <w:spacing w:val="30"/>
        </w:rPr>
        <w:t> </w:t>
      </w:r>
      <w:r>
        <w:rPr/>
        <w:t>as</w:t>
      </w:r>
      <w:r>
        <w:rPr>
          <w:spacing w:val="25"/>
        </w:rPr>
        <w:t> </w:t>
      </w:r>
      <w:r>
        <w:rPr/>
        <w:t>compared</w:t>
      </w:r>
      <w:r>
        <w:rPr>
          <w:spacing w:val="27"/>
        </w:rPr>
        <w:t> </w:t>
      </w:r>
      <w:r>
        <w:rPr/>
        <w:t>to</w:t>
      </w:r>
      <w:r>
        <w:rPr>
          <w:spacing w:val="-57"/>
        </w:rPr>
        <w:t> </w:t>
      </w:r>
      <w:r>
        <w:rPr/>
        <w:t>the apo</w:t>
      </w:r>
      <w:r>
        <w:rPr>
          <w:spacing w:val="2"/>
        </w:rPr>
        <w:t> </w:t>
      </w:r>
      <w:r>
        <w:rPr/>
        <w:t>(Karabiu</w:t>
      </w:r>
      <w:r>
        <w:rPr>
          <w:spacing w:val="4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2015).</w:t>
      </w:r>
    </w:p>
    <w:p>
      <w:pPr>
        <w:pStyle w:val="BodyText"/>
        <w:spacing w:line="480" w:lineRule="auto" w:before="199"/>
        <w:ind w:left="312" w:right="696"/>
        <w:jc w:val="both"/>
      </w:pPr>
      <w:r>
        <w:rPr/>
        <w:t>The RMSF pattern is similar to that reported by Karbiu </w:t>
      </w:r>
      <w:r>
        <w:rPr>
          <w:i/>
        </w:rPr>
        <w:t>et al.</w:t>
      </w:r>
      <w:r>
        <w:rPr/>
        <w:t>(2015) reflecting similar</w:t>
      </w:r>
      <w:r>
        <w:rPr>
          <w:spacing w:val="1"/>
        </w:rPr>
        <w:t> </w:t>
      </w:r>
      <w:r>
        <w:rPr/>
        <w:t>region of higher</w:t>
      </w:r>
      <w:r>
        <w:rPr>
          <w:spacing w:val="1"/>
        </w:rPr>
        <w:t> </w:t>
      </w:r>
      <w:r>
        <w:rPr/>
        <w:t>fluctuations with lower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as compared to the free plasmepsins</w:t>
      </w:r>
      <w:r>
        <w:rPr>
          <w:spacing w:val="1"/>
        </w:rPr>
        <w:t> </w:t>
      </w:r>
      <w:r>
        <w:rPr/>
        <w:t>(Karabiu </w:t>
      </w:r>
      <w:r>
        <w:rPr>
          <w:i/>
        </w:rPr>
        <w:t>et al., </w:t>
      </w:r>
      <w:r>
        <w:rPr/>
        <w:t>2015; McGillewie and Soliman, 2015). The overall average RMSF for the</w:t>
      </w:r>
      <w:r>
        <w:rPr>
          <w:spacing w:val="1"/>
        </w:rPr>
        <w:t> </w:t>
      </w:r>
      <w:r>
        <w:rPr/>
        <w:t>free Plm-II is 9.84 Å and that of Plm-II boundto P3 and P4 are 7.652 Å and 7.138 Å</w:t>
      </w:r>
      <w:r>
        <w:rPr>
          <w:spacing w:val="1"/>
        </w:rPr>
        <w:t> </w:t>
      </w:r>
      <w:r>
        <w:rPr/>
        <w:t>respectively. These indicate lower conformational flexibility as the enzymes bound to the</w:t>
      </w:r>
      <w:r>
        <w:rPr>
          <w:spacing w:val="1"/>
        </w:rPr>
        <w:t> </w:t>
      </w:r>
      <w:r>
        <w:rPr/>
        <w:t>compounds. Also, Plm-IV complexes showed an average RMSF of 5.860 Å and 9.111 Å</w:t>
      </w:r>
      <w:r>
        <w:rPr>
          <w:spacing w:val="1"/>
        </w:rPr>
        <w:t> </w:t>
      </w:r>
      <w:r>
        <w:rPr/>
        <w:t>for P3 and P4 respectively. Compound P3</w:t>
      </w:r>
      <w:r>
        <w:rPr>
          <w:spacing w:val="1"/>
        </w:rPr>
        <w:t> </w:t>
      </w:r>
      <w:r>
        <w:rPr/>
        <w:t>have</w:t>
      </w:r>
      <w:r>
        <w:rPr>
          <w:spacing w:val="60"/>
        </w:rPr>
        <w:t> </w:t>
      </w:r>
      <w:r>
        <w:rPr/>
        <w:t>less residual fluctuation as compared to</w:t>
      </w:r>
      <w:r>
        <w:rPr>
          <w:spacing w:val="1"/>
        </w:rPr>
        <w:t> </w:t>
      </w:r>
      <w:r>
        <w:rPr/>
        <w:t>P4.</w:t>
      </w:r>
    </w:p>
    <w:p>
      <w:pPr>
        <w:pStyle w:val="BodyText"/>
        <w:spacing w:line="480" w:lineRule="auto" w:before="204"/>
        <w:ind w:left="312" w:right="696"/>
        <w:jc w:val="both"/>
      </w:pPr>
      <w:r>
        <w:rPr/>
        <w:t>To gain insight into the energetics of P3 and P4 binding to the proteases, the relative BFE</w:t>
      </w:r>
      <w:r>
        <w:rPr>
          <w:spacing w:val="1"/>
        </w:rPr>
        <w:t> </w:t>
      </w:r>
      <w:r>
        <w:rPr/>
        <w:t>and</w:t>
      </w:r>
      <w:r>
        <w:rPr>
          <w:spacing w:val="13"/>
        </w:rPr>
        <w:t> </w:t>
      </w:r>
      <w:r>
        <w:rPr/>
        <w:t>various</w:t>
      </w:r>
      <w:r>
        <w:rPr>
          <w:spacing w:val="2"/>
        </w:rPr>
        <w:t> </w:t>
      </w:r>
      <w:r>
        <w:rPr/>
        <w:t>energy</w:t>
      </w:r>
      <w:r>
        <w:rPr>
          <w:spacing w:val="4"/>
        </w:rPr>
        <w:t> </w:t>
      </w:r>
      <w:r>
        <w:rPr/>
        <w:t>components</w:t>
      </w:r>
      <w:r>
        <w:rPr>
          <w:spacing w:val="2"/>
        </w:rPr>
        <w:t> </w:t>
      </w:r>
      <w:r>
        <w:rPr/>
        <w:t>contributions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protein-</w:t>
      </w:r>
      <w:r>
        <w:rPr>
          <w:spacing w:val="11"/>
        </w:rPr>
        <w:t> </w:t>
      </w:r>
      <w:r>
        <w:rPr/>
        <w:t>ligand</w:t>
      </w:r>
      <w:r>
        <w:rPr>
          <w:spacing w:val="4"/>
        </w:rPr>
        <w:t> </w:t>
      </w:r>
      <w:r>
        <w:rPr/>
        <w:t>complexes</w:t>
      </w:r>
      <w:r>
        <w:rPr>
          <w:spacing w:val="2"/>
        </w:rPr>
        <w:t> </w:t>
      </w:r>
      <w:r>
        <w:rPr/>
        <w:t>were</w:t>
      </w:r>
    </w:p>
    <w:p>
      <w:pPr>
        <w:spacing w:after="0" w:line="480" w:lineRule="auto"/>
        <w:jc w:val="both"/>
        <w:sectPr>
          <w:headerReference w:type="default" r:id="rId417"/>
          <w:footerReference w:type="default" r:id="rId418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4"/>
        <w:jc w:val="both"/>
      </w:pPr>
      <w:r>
        <w:rPr/>
        <w:t>averaged over 30,000 snapshots extracted from 30ns MD trajectories, at</w:t>
      </w:r>
      <w:r>
        <w:rPr>
          <w:spacing w:val="60"/>
        </w:rPr>
        <w:t> </w:t>
      </w:r>
      <w:r>
        <w:rPr/>
        <w:t>an interval of</w:t>
      </w:r>
      <w:r>
        <w:rPr>
          <w:spacing w:val="1"/>
        </w:rPr>
        <w:t> </w:t>
      </w:r>
      <w:r>
        <w:rPr/>
        <w:t>50ps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MM-PBSA</w:t>
      </w:r>
      <w:r>
        <w:rPr>
          <w:spacing w:val="1"/>
        </w:rPr>
        <w:t> </w:t>
      </w:r>
      <w:r>
        <w:rPr/>
        <w:t>method.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4.14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summary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overall</w:t>
      </w:r>
      <w:r>
        <w:rPr>
          <w:spacing w:val="1"/>
        </w:rPr>
        <w:t> </w:t>
      </w:r>
      <w:r>
        <w:rPr/>
        <w:t>BFE</w:t>
      </w:r>
      <w:r>
        <w:rPr>
          <w:spacing w:val="1"/>
        </w:rPr>
        <w:t> </w:t>
      </w:r>
      <w:r>
        <w:rPr/>
        <w:t>underlying the binding of P3 and P4 in complex with FP2, FP3, PlmII, and PlmIV. From</w:t>
      </w:r>
      <w:r>
        <w:rPr>
          <w:spacing w:val="1"/>
        </w:rPr>
        <w:t> </w:t>
      </w:r>
      <w:r>
        <w:rPr/>
        <w:t>the results, it was noted that plasmepsins complexes had the lowest binding energies, an</w:t>
      </w:r>
      <w:r>
        <w:rPr>
          <w:spacing w:val="1"/>
        </w:rPr>
        <w:t> </w:t>
      </w:r>
      <w:r>
        <w:rPr/>
        <w:t>indication of stronger interactions compared to the falcipains. The results are in agreement</w:t>
      </w:r>
      <w:r>
        <w:rPr>
          <w:spacing w:val="1"/>
        </w:rPr>
        <w:t> </w:t>
      </w:r>
      <w:r>
        <w:rPr/>
        <w:t>with the docking results with the exception of PlmII system where docking result rank P3</w:t>
      </w:r>
      <w:r>
        <w:rPr>
          <w:spacing w:val="1"/>
        </w:rPr>
        <w:t> </w:t>
      </w:r>
      <w:r>
        <w:rPr/>
        <w:t>higher than P4 but reverse was observed on the simulation result. Still, the result (Table</w:t>
      </w:r>
      <w:r>
        <w:rPr>
          <w:spacing w:val="1"/>
        </w:rPr>
        <w:t> </w:t>
      </w:r>
      <w:r>
        <w:rPr/>
        <w:t>4.14) shows a high energy contribution in the gas phase from P3 but with higher solvation</w:t>
      </w:r>
      <w:r>
        <w:rPr>
          <w:spacing w:val="1"/>
        </w:rPr>
        <w:t> </w:t>
      </w:r>
      <w:r>
        <w:rPr/>
        <w:t>energy which docking result could not read, causing the overall BFE to drop. The lower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plasmepsins</w:t>
      </w:r>
      <w:r>
        <w:rPr>
          <w:spacing w:val="1"/>
        </w:rPr>
        <w:t> </w:t>
      </w:r>
      <w:r>
        <w:rPr/>
        <w:t>complexes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surprise;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plasmepsins are highly flexible enzymes capable of adopting different conformation to</w:t>
      </w:r>
      <w:r>
        <w:rPr>
          <w:spacing w:val="1"/>
        </w:rPr>
        <w:t> </w:t>
      </w:r>
      <w:r>
        <w:rPr/>
        <w:t>accommodate</w:t>
      </w:r>
      <w:r>
        <w:rPr>
          <w:spacing w:val="-2"/>
        </w:rPr>
        <w:t> </w:t>
      </w:r>
      <w:r>
        <w:rPr/>
        <w:t>different</w:t>
      </w:r>
      <w:r>
        <w:rPr>
          <w:spacing w:val="9"/>
        </w:rPr>
        <w:t> </w:t>
      </w:r>
      <w:r>
        <w:rPr/>
        <w:t>ligands</w:t>
      </w:r>
      <w:r>
        <w:rPr>
          <w:spacing w:val="-2"/>
        </w:rPr>
        <w:t> </w:t>
      </w:r>
      <w:r>
        <w:rPr/>
        <w:t>(Asojo</w:t>
      </w:r>
      <w:r>
        <w:rPr>
          <w:spacing w:val="9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/>
        <w:t>2003;</w:t>
      </w:r>
      <w:r>
        <w:rPr>
          <w:spacing w:val="-9"/>
        </w:rPr>
        <w:t> </w:t>
      </w:r>
      <w:r>
        <w:rPr/>
        <w:t>McGillewie</w:t>
      </w:r>
      <w:r>
        <w:rPr>
          <w:spacing w:val="-2"/>
        </w:rPr>
        <w:t> </w:t>
      </w:r>
      <w:r>
        <w:rPr/>
        <w:t>and Soliman,2015).</w:t>
      </w:r>
    </w:p>
    <w:p>
      <w:pPr>
        <w:pStyle w:val="BodyText"/>
        <w:spacing w:line="480" w:lineRule="auto" w:before="204"/>
        <w:ind w:left="312" w:right="686"/>
        <w:jc w:val="both"/>
      </w:pPr>
      <w:r>
        <w:rPr/>
        <w:t>From the different</w:t>
      </w:r>
      <w:r>
        <w:rPr>
          <w:spacing w:val="1"/>
        </w:rPr>
        <w:t> </w:t>
      </w:r>
      <w:r>
        <w:rPr/>
        <w:t>energetic contributions (Table 4.14), it</w:t>
      </w:r>
      <w:r>
        <w:rPr>
          <w:spacing w:val="1"/>
        </w:rPr>
        <w:t> </w:t>
      </w:r>
      <w:r>
        <w:rPr/>
        <w:t>is evident</w:t>
      </w:r>
      <w:r>
        <w:rPr>
          <w:spacing w:val="1"/>
        </w:rPr>
        <w:t> </w:t>
      </w:r>
      <w:r>
        <w:rPr/>
        <w:t>that the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process was principally favored by van der</w:t>
      </w:r>
      <w:r>
        <w:rPr>
          <w:spacing w:val="1"/>
        </w:rPr>
        <w:t> </w:t>
      </w:r>
      <w:r>
        <w:rPr/>
        <w:t>Waals and</w:t>
      </w:r>
      <w:r>
        <w:rPr>
          <w:spacing w:val="60"/>
        </w:rPr>
        <w:t> </w:t>
      </w:r>
      <w:r>
        <w:rPr/>
        <w:t>little</w:t>
      </w:r>
      <w:r>
        <w:rPr>
          <w:spacing w:val="60"/>
        </w:rPr>
        <w:t> </w:t>
      </w:r>
      <w:r>
        <w:rPr/>
        <w:t>by electrostatic terms while</w:t>
      </w:r>
      <w:r>
        <w:rPr>
          <w:spacing w:val="1"/>
        </w:rPr>
        <w:t> </w:t>
      </w:r>
      <w:r>
        <w:rPr/>
        <w:t>the polar solvation impaired it. Similar finding was reported by Musayako </w:t>
      </w:r>
      <w:r>
        <w:rPr>
          <w:i/>
        </w:rPr>
        <w:t>et al. </w:t>
      </w:r>
      <w:r>
        <w:rPr/>
        <w:t>(2016)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falcipain.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low electrostatic energy can be explained</w:t>
      </w:r>
      <w:r>
        <w:rPr>
          <w:spacing w:val="1"/>
        </w:rPr>
        <w:t> </w:t>
      </w:r>
      <w:r>
        <w:rPr/>
        <w:t>by few</w:t>
      </w:r>
      <w:r>
        <w:rPr>
          <w:spacing w:val="1"/>
        </w:rPr>
        <w:t> </w:t>
      </w:r>
      <w:r>
        <w:rPr/>
        <w:t>hydrogen bonds</w:t>
      </w:r>
      <w:r>
        <w:rPr>
          <w:spacing w:val="1"/>
        </w:rPr>
        <w:t> </w:t>
      </w:r>
      <w:r>
        <w:rPr/>
        <w:t>observed</w:t>
      </w:r>
      <w:r>
        <w:rPr>
          <w:spacing w:val="5"/>
        </w:rPr>
        <w:t> </w:t>
      </w:r>
      <w:r>
        <w:rPr/>
        <w:t>in</w:t>
      </w:r>
      <w:r>
        <w:rPr>
          <w:spacing w:val="2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system.</w:t>
      </w:r>
    </w:p>
    <w:p>
      <w:pPr>
        <w:pStyle w:val="BodyText"/>
        <w:spacing w:line="480" w:lineRule="auto" w:before="198"/>
        <w:ind w:left="312" w:right="687"/>
        <w:jc w:val="both"/>
      </w:pPr>
      <w:r>
        <w:rPr/>
        <w:t>Result from the decomposition of the total BPE to individual residue interaction energy</w:t>
      </w:r>
      <w:r>
        <w:rPr>
          <w:spacing w:val="1"/>
        </w:rPr>
        <w:t> </w:t>
      </w:r>
      <w:r>
        <w:rPr/>
        <w:t>revealed that, the significant contribution of the active site residues to the binding of the</w:t>
      </w:r>
      <w:r>
        <w:rPr>
          <w:spacing w:val="1"/>
        </w:rPr>
        <w:t> </w:t>
      </w:r>
      <w:r>
        <w:rPr/>
        <w:t>ligands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van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Waals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(Figures</w:t>
      </w:r>
      <w:r>
        <w:rPr>
          <w:spacing w:val="60"/>
        </w:rPr>
        <w:t> </w:t>
      </w:r>
      <w:r>
        <w:rPr/>
        <w:t>4.23-4.26).</w:t>
      </w:r>
      <w:r>
        <w:rPr>
          <w:spacing w:val="1"/>
        </w:rPr>
        <w:t> </w:t>
      </w:r>
      <w:r>
        <w:rPr/>
        <w:t>Electrostatic interactions and polar solvation energy (in few residues) also contributed</w:t>
      </w:r>
      <w:r>
        <w:rPr>
          <w:spacing w:val="1"/>
        </w:rPr>
        <w:t> </w:t>
      </w:r>
      <w:r>
        <w:rPr/>
        <w:t>favorably</w:t>
      </w:r>
      <w:r>
        <w:rPr>
          <w:spacing w:val="-7"/>
        </w:rPr>
        <w:t> </w:t>
      </w:r>
      <w:r>
        <w:rPr/>
        <w:t>(Figures 4.23-4.26).</w:t>
      </w:r>
    </w:p>
    <w:p>
      <w:pPr>
        <w:pStyle w:val="BodyText"/>
        <w:spacing w:line="480" w:lineRule="auto" w:before="203"/>
        <w:ind w:left="312" w:right="687"/>
        <w:jc w:val="both"/>
      </w:pPr>
      <w:r>
        <w:rPr/>
        <w:t>The residues contributing favorably to the binding of P3 with FP-2 as shown in Fig 4.23</w:t>
      </w:r>
      <w:r>
        <w:rPr>
          <w:spacing w:val="1"/>
        </w:rPr>
        <w:t> </w:t>
      </w:r>
      <w:r>
        <w:rPr/>
        <w:t>are;</w:t>
      </w:r>
      <w:r>
        <w:rPr>
          <w:spacing w:val="1"/>
        </w:rPr>
        <w:t> </w:t>
      </w:r>
      <w:r>
        <w:rPr/>
        <w:t>GLY40,</w:t>
      </w:r>
      <w:r>
        <w:rPr>
          <w:spacing w:val="1"/>
        </w:rPr>
        <w:t> </w:t>
      </w:r>
      <w:r>
        <w:rPr/>
        <w:t>CYS42,</w:t>
      </w:r>
      <w:r>
        <w:rPr>
          <w:spacing w:val="1"/>
        </w:rPr>
        <w:t> </w:t>
      </w:r>
      <w:r>
        <w:rPr/>
        <w:t>TRP43,</w:t>
      </w:r>
      <w:r>
        <w:rPr>
          <w:spacing w:val="1"/>
        </w:rPr>
        <w:t> </w:t>
      </w:r>
      <w:r>
        <w:rPr/>
        <w:t>ASN81,</w:t>
      </w:r>
      <w:r>
        <w:rPr>
          <w:spacing w:val="1"/>
        </w:rPr>
        <w:t> </w:t>
      </w:r>
      <w:r>
        <w:rPr/>
        <w:t>GLY82,</w:t>
      </w:r>
      <w:r>
        <w:rPr>
          <w:spacing w:val="1"/>
        </w:rPr>
        <w:t> </w:t>
      </w:r>
      <w:r>
        <w:rPr/>
        <w:t>GLY83,</w:t>
      </w:r>
      <w:r>
        <w:rPr>
          <w:spacing w:val="1"/>
        </w:rPr>
        <w:t> </w:t>
      </w:r>
      <w:r>
        <w:rPr/>
        <w:t>LEU84,</w:t>
      </w:r>
      <w:r>
        <w:rPr>
          <w:spacing w:val="1"/>
        </w:rPr>
        <w:t> </w:t>
      </w:r>
      <w:r>
        <w:rPr/>
        <w:t>ILE85,</w:t>
      </w:r>
      <w:r>
        <w:rPr>
          <w:spacing w:val="1"/>
        </w:rPr>
        <w:t> </w:t>
      </w:r>
      <w:r>
        <w:rPr/>
        <w:t>SER149,</w:t>
      </w:r>
      <w:r>
        <w:rPr>
          <w:spacing w:val="1"/>
        </w:rPr>
        <w:t> </w:t>
      </w:r>
      <w:r>
        <w:rPr/>
        <w:t>GLN171,</w:t>
      </w:r>
      <w:r>
        <w:rPr>
          <w:spacing w:val="-1"/>
        </w:rPr>
        <w:t> </w:t>
      </w:r>
      <w:r>
        <w:rPr/>
        <w:t>LEU172, ASN173,</w:t>
      </w:r>
      <w:r>
        <w:rPr>
          <w:spacing w:val="-1"/>
        </w:rPr>
        <w:t> </w:t>
      </w:r>
      <w:r>
        <w:rPr/>
        <w:t>HIE174</w:t>
      </w:r>
      <w:r>
        <w:rPr>
          <w:spacing w:val="56"/>
        </w:rPr>
        <w:t> </w:t>
      </w:r>
      <w:r>
        <w:rPr/>
        <w:t>and,</w:t>
      </w:r>
      <w:r>
        <w:rPr>
          <w:spacing w:val="4"/>
        </w:rPr>
        <w:t> </w:t>
      </w:r>
      <w:r>
        <w:rPr/>
        <w:t>ALA175.</w:t>
      </w:r>
      <w:r>
        <w:rPr>
          <w:spacing w:val="1"/>
        </w:rPr>
        <w:t> </w:t>
      </w:r>
      <w:r>
        <w:rPr/>
        <w:t>However, residues</w:t>
      </w:r>
      <w:r>
        <w:rPr>
          <w:spacing w:val="-4"/>
        </w:rPr>
        <w:t> </w:t>
      </w:r>
      <w:r>
        <w:rPr/>
        <w:t>GLY36,</w:t>
      </w:r>
      <w:r>
        <w:rPr>
          <w:spacing w:val="-1"/>
        </w:rPr>
        <w:t> </w:t>
      </w:r>
      <w:r>
        <w:rPr/>
        <w:t>CYS80,</w:t>
      </w:r>
    </w:p>
    <w:p>
      <w:pPr>
        <w:spacing w:after="0" w:line="480" w:lineRule="auto"/>
        <w:jc w:val="both"/>
        <w:sectPr>
          <w:headerReference w:type="default" r:id="rId419"/>
          <w:footerReference w:type="default" r:id="rId42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88"/>
        <w:jc w:val="both"/>
      </w:pPr>
      <w:r>
        <w:rPr/>
        <w:t>GLY171 and, ASP234 showed unfavorable energy contribution to P3 binding (Figure</w:t>
      </w:r>
      <w:r>
        <w:rPr>
          <w:spacing w:val="1"/>
        </w:rPr>
        <w:t> </w:t>
      </w:r>
      <w:r>
        <w:rPr/>
        <w:t>4.23). It appeared that there is favorable interaction with some residue in the active site</w:t>
      </w:r>
      <w:r>
        <w:rPr>
          <w:spacing w:val="1"/>
        </w:rPr>
        <w:t> </w:t>
      </w:r>
      <w:r>
        <w:rPr/>
        <w:t>(CYS42), S2 region (LUE84), S3 region (GLY83), and ‗Gate keeper‘ (LEU172). It was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series</w:t>
      </w:r>
      <w:r>
        <w:rPr>
          <w:spacing w:val="1"/>
        </w:rPr>
        <w:t> </w:t>
      </w:r>
      <w:r>
        <w:rPr/>
        <w:t>of possible</w:t>
      </w:r>
      <w:r>
        <w:rPr>
          <w:spacing w:val="1"/>
        </w:rPr>
        <w:t> </w:t>
      </w:r>
      <w:r>
        <w:rPr/>
        <w:t>hydrophobic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residues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nonpolar region (GLY40, GLN82, GLN83, SER149, LEU172 and, ASN173) exist in FP2-</w:t>
      </w:r>
      <w:r>
        <w:rPr>
          <w:spacing w:val="-57"/>
        </w:rPr>
        <w:t> </w:t>
      </w:r>
      <w:r>
        <w:rPr/>
        <w:t>E64 crystal structure (Kerr </w:t>
      </w:r>
      <w:r>
        <w:rPr>
          <w:i/>
        </w:rPr>
        <w:t>et al., </w:t>
      </w:r>
      <w:r>
        <w:rPr/>
        <w:t>2009). Also, in the crystal structure, the active site</w:t>
      </w:r>
      <w:r>
        <w:rPr>
          <w:spacing w:val="1"/>
        </w:rPr>
        <w:t> </w:t>
      </w:r>
      <w:r>
        <w:rPr/>
        <w:t>CYS42 forms a covalent irreversible hemi-thioketal with E64 epoxy carbon (Kerr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2009) but, in the current study the interaction with CYS42 is through hydrogen bonding,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suggests</w:t>
      </w:r>
      <w:r>
        <w:rPr>
          <w:spacing w:val="1"/>
        </w:rPr>
        <w:t> </w:t>
      </w:r>
      <w:r>
        <w:rPr/>
        <w:t>mode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irreversible</w:t>
      </w:r>
      <w:r>
        <w:rPr>
          <w:spacing w:val="1"/>
        </w:rPr>
        <w:t> </w:t>
      </w:r>
      <w:r>
        <w:rPr/>
        <w:t>covalent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CYS42.</w:t>
      </w:r>
      <w:r>
        <w:rPr>
          <w:spacing w:val="1"/>
        </w:rPr>
        <w:t> </w:t>
      </w:r>
      <w:r>
        <w:rPr/>
        <w:t>Although detecting covalent interactions is beyond the scope of this work. The same trend</w:t>
      </w:r>
      <w:r>
        <w:rPr>
          <w:spacing w:val="1"/>
        </w:rPr>
        <w:t> </w:t>
      </w:r>
      <w:r>
        <w:rPr/>
        <w:t>was observed in P4-FP2 complex with fewer interactions (CYS42). Li </w:t>
      </w:r>
      <w:r>
        <w:rPr>
          <w:i/>
        </w:rPr>
        <w:t>et al. </w:t>
      </w:r>
      <w:r>
        <w:rPr/>
        <w:t>(1995) have</w:t>
      </w:r>
      <w:r>
        <w:rPr>
          <w:spacing w:val="1"/>
        </w:rPr>
        <w:t> </w:t>
      </w:r>
      <w:r>
        <w:rPr/>
        <w:t>also found non-covalent inhibitors of falcipains through virtual screening and validated</w:t>
      </w:r>
      <w:r>
        <w:rPr>
          <w:spacing w:val="1"/>
        </w:rPr>
        <w:t> </w:t>
      </w:r>
      <w:r>
        <w:rPr/>
        <w:t>their finding experimentally. The unfavorable total BFE of some residues was observed as</w:t>
      </w:r>
      <w:r>
        <w:rPr>
          <w:spacing w:val="1"/>
        </w:rPr>
        <w:t> </w:t>
      </w:r>
      <w:r>
        <w:rPr/>
        <w:t>a result of their high internal energy even though there was reasonable van der Waals and</w:t>
      </w:r>
      <w:r>
        <w:rPr>
          <w:spacing w:val="1"/>
        </w:rPr>
        <w:t> </w:t>
      </w:r>
      <w:r>
        <w:rPr/>
        <w:t>electrostatic energy</w:t>
      </w:r>
      <w:r>
        <w:rPr>
          <w:spacing w:val="-3"/>
        </w:rPr>
        <w:t> </w:t>
      </w:r>
      <w:r>
        <w:rPr/>
        <w:t>contribution.</w:t>
      </w:r>
    </w:p>
    <w:p>
      <w:pPr>
        <w:pStyle w:val="BodyText"/>
        <w:spacing w:line="480" w:lineRule="auto" w:before="204"/>
        <w:ind w:left="312" w:right="687"/>
        <w:jc w:val="both"/>
      </w:pPr>
      <w:r>
        <w:rPr/>
        <w:t>FP-3 complexes have similar residues contribution with few favorable interactions as</w:t>
      </w:r>
      <w:r>
        <w:rPr>
          <w:spacing w:val="1"/>
        </w:rPr>
        <w:t> </w:t>
      </w:r>
      <w:r>
        <w:rPr/>
        <w:t>compared to FP-2 complexes (Figure 4.24). Residues contributing favorably to binding</w:t>
      </w:r>
      <w:r>
        <w:rPr>
          <w:spacing w:val="1"/>
        </w:rPr>
        <w:t> </w:t>
      </w:r>
      <w:r>
        <w:rPr/>
        <w:t>with</w:t>
      </w:r>
      <w:r>
        <w:rPr>
          <w:spacing w:val="67"/>
        </w:rPr>
        <w:t> </w:t>
      </w:r>
      <w:r>
        <w:rPr/>
        <w:t>P3</w:t>
      </w:r>
      <w:r>
        <w:rPr>
          <w:spacing w:val="73"/>
        </w:rPr>
        <w:t> </w:t>
      </w:r>
      <w:r>
        <w:rPr/>
        <w:t>and</w:t>
      </w:r>
      <w:r>
        <w:rPr>
          <w:spacing w:val="74"/>
        </w:rPr>
        <w:t> </w:t>
      </w:r>
      <w:r>
        <w:rPr/>
        <w:t>P4</w:t>
      </w:r>
      <w:r>
        <w:rPr>
          <w:spacing w:val="73"/>
        </w:rPr>
        <w:t> </w:t>
      </w:r>
      <w:r>
        <w:rPr/>
        <w:t>are;</w:t>
      </w:r>
      <w:r>
        <w:rPr>
          <w:spacing w:val="67"/>
        </w:rPr>
        <w:t> </w:t>
      </w:r>
      <w:r>
        <w:rPr/>
        <w:t>CYS51,</w:t>
      </w:r>
      <w:r>
        <w:rPr>
          <w:spacing w:val="75"/>
        </w:rPr>
        <w:t> </w:t>
      </w:r>
      <w:r>
        <w:rPr/>
        <w:t>TRP52,</w:t>
      </w:r>
      <w:r>
        <w:rPr>
          <w:spacing w:val="74"/>
        </w:rPr>
        <w:t> </w:t>
      </w:r>
      <w:r>
        <w:rPr/>
        <w:t>GLY91,</w:t>
      </w:r>
      <w:r>
        <w:rPr>
          <w:spacing w:val="74"/>
        </w:rPr>
        <w:t> </w:t>
      </w:r>
      <w:r>
        <w:rPr/>
        <w:t>GLY92,</w:t>
      </w:r>
      <w:r>
        <w:rPr>
          <w:spacing w:val="73"/>
        </w:rPr>
        <w:t> </w:t>
      </w:r>
      <w:r>
        <w:rPr/>
        <w:t>TYR93,</w:t>
      </w:r>
      <w:r>
        <w:rPr>
          <w:spacing w:val="75"/>
        </w:rPr>
        <w:t> </w:t>
      </w:r>
      <w:r>
        <w:rPr/>
        <w:t>SER158,</w:t>
      </w:r>
      <w:r>
        <w:rPr>
          <w:spacing w:val="82"/>
        </w:rPr>
        <w:t> </w:t>
      </w:r>
      <w:r>
        <w:rPr/>
        <w:t>PRO181,</w:t>
      </w:r>
    </w:p>
    <w:p>
      <w:pPr>
        <w:pStyle w:val="BodyText"/>
        <w:spacing w:line="480" w:lineRule="auto"/>
        <w:ind w:left="312" w:right="694"/>
        <w:jc w:val="both"/>
      </w:pPr>
      <w:r>
        <w:rPr/>
        <w:t>ASN182, HIE183 and,GLU243. This also showed favorable interaction with some residue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(CYS51),</w:t>
      </w:r>
      <w:r>
        <w:rPr>
          <w:spacing w:val="1"/>
        </w:rPr>
        <w:t> </w:t>
      </w:r>
      <w:r>
        <w:rPr/>
        <w:t>S2</w:t>
      </w:r>
      <w:r>
        <w:rPr>
          <w:spacing w:val="1"/>
        </w:rPr>
        <w:t> </w:t>
      </w:r>
      <w:r>
        <w:rPr/>
        <w:t>region</w:t>
      </w:r>
      <w:r>
        <w:rPr>
          <w:spacing w:val="1"/>
        </w:rPr>
        <w:t> </w:t>
      </w:r>
      <w:r>
        <w:rPr/>
        <w:t>(GLU243)</w:t>
      </w:r>
      <w:r>
        <w:rPr>
          <w:spacing w:val="1"/>
        </w:rPr>
        <w:t> </w:t>
      </w:r>
      <w:r>
        <w:rPr/>
        <w:t>and,</w:t>
      </w:r>
      <w:r>
        <w:rPr>
          <w:spacing w:val="1"/>
        </w:rPr>
        <w:t> </w:t>
      </w:r>
      <w:r>
        <w:rPr/>
        <w:t>S3</w:t>
      </w:r>
      <w:r>
        <w:rPr>
          <w:spacing w:val="1"/>
        </w:rPr>
        <w:t> </w:t>
      </w:r>
      <w:r>
        <w:rPr/>
        <w:t>region</w:t>
      </w:r>
      <w:r>
        <w:rPr>
          <w:spacing w:val="1"/>
        </w:rPr>
        <w:t> </w:t>
      </w:r>
      <w:r>
        <w:rPr/>
        <w:t>(GLY92).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hydrophobic</w:t>
      </w:r>
      <w:r>
        <w:rPr>
          <w:spacing w:val="1"/>
        </w:rPr>
        <w:t> </w:t>
      </w:r>
      <w:r>
        <w:rPr/>
        <w:t>interaction with some residues</w:t>
      </w:r>
      <w:r>
        <w:rPr>
          <w:spacing w:val="1"/>
        </w:rPr>
        <w:t> </w:t>
      </w:r>
      <w:r>
        <w:rPr/>
        <w:t>in the nonpolar</w:t>
      </w:r>
      <w:r>
        <w:rPr>
          <w:spacing w:val="1"/>
        </w:rPr>
        <w:t> </w:t>
      </w:r>
      <w:r>
        <w:rPr/>
        <w:t>region (TRY90,</w:t>
      </w:r>
      <w:r>
        <w:rPr>
          <w:spacing w:val="1"/>
        </w:rPr>
        <w:t> </w:t>
      </w:r>
      <w:r>
        <w:rPr/>
        <w:t>GLY91,</w:t>
      </w:r>
      <w:r>
        <w:rPr>
          <w:spacing w:val="1"/>
        </w:rPr>
        <w:t> </w:t>
      </w:r>
      <w:r>
        <w:rPr/>
        <w:t>TYR93, ILE94 and, SER158) was also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FP3-leupeptin crystal structure (Kerr</w:t>
      </w:r>
      <w:r>
        <w:rPr>
          <w:spacing w:val="-57"/>
        </w:rPr>
        <w:t> </w:t>
      </w:r>
      <w:r>
        <w:rPr>
          <w:i/>
        </w:rPr>
        <w:t>et al., </w:t>
      </w:r>
      <w:r>
        <w:rPr/>
        <w:t>2009). In the light of the above information the lower binding energy from the</w:t>
      </w:r>
      <w:r>
        <w:rPr>
          <w:spacing w:val="1"/>
        </w:rPr>
        <w:t> </w:t>
      </w:r>
      <w:r>
        <w:rPr/>
        <w:t>docking and BFE analysis of P3 and P4 incomplex with FP-2 as compared to P3 and P4 in</w:t>
      </w:r>
      <w:r>
        <w:rPr>
          <w:spacing w:val="-57"/>
        </w:rPr>
        <w:t> </w:t>
      </w:r>
      <w:r>
        <w:rPr/>
        <w:t>complex</w:t>
      </w:r>
      <w:r>
        <w:rPr>
          <w:spacing w:val="-3"/>
        </w:rPr>
        <w:t> </w:t>
      </w:r>
      <w:r>
        <w:rPr/>
        <w:t>with</w:t>
      </w:r>
      <w:r>
        <w:rPr>
          <w:spacing w:val="-2"/>
        </w:rPr>
        <w:t> </w:t>
      </w:r>
      <w:r>
        <w:rPr/>
        <w:t>FP3</w:t>
      </w:r>
      <w:r>
        <w:rPr>
          <w:spacing w:val="2"/>
        </w:rPr>
        <w:t> </w:t>
      </w:r>
      <w:r>
        <w:rPr/>
        <w:t>can</w:t>
      </w:r>
      <w:r>
        <w:rPr>
          <w:spacing w:val="-3"/>
        </w:rPr>
        <w:t> </w:t>
      </w:r>
      <w:r>
        <w:rPr/>
        <w:t>beexplained.</w:t>
      </w:r>
      <w:r>
        <w:rPr>
          <w:spacing w:val="5"/>
        </w:rPr>
        <w:t> </w:t>
      </w:r>
      <w:r>
        <w:rPr/>
        <w:t>A</w:t>
      </w:r>
      <w:r>
        <w:rPr>
          <w:spacing w:val="1"/>
        </w:rPr>
        <w:t> </w:t>
      </w:r>
      <w:r>
        <w:rPr/>
        <w:t>favorable</w:t>
      </w:r>
      <w:r>
        <w:rPr>
          <w:spacing w:val="2"/>
        </w:rPr>
        <w:t> </w:t>
      </w:r>
      <w:r>
        <w:rPr/>
        <w:t>number</w:t>
      </w:r>
      <w:r>
        <w:rPr>
          <w:spacing w:val="3"/>
        </w:rPr>
        <w:t> </w:t>
      </w:r>
      <w:r>
        <w:rPr/>
        <w:t>of</w:t>
      </w:r>
      <w:r>
        <w:rPr>
          <w:spacing w:val="-1"/>
        </w:rPr>
        <w:t> </w:t>
      </w:r>
      <w:r>
        <w:rPr/>
        <w:t>interactions relative</w:t>
      </w:r>
      <w:r>
        <w:rPr>
          <w:spacing w:val="1"/>
        </w:rPr>
        <w:t> </w:t>
      </w:r>
      <w:r>
        <w:rPr/>
        <w:t>to</w:t>
      </w:r>
      <w:r>
        <w:rPr>
          <w:spacing w:val="7"/>
        </w:rPr>
        <w:t> </w:t>
      </w:r>
      <w:r>
        <w:rPr/>
        <w:t>binding</w:t>
      </w:r>
    </w:p>
    <w:p>
      <w:pPr>
        <w:spacing w:after="0" w:line="480" w:lineRule="auto"/>
        <w:jc w:val="both"/>
        <w:sectPr>
          <w:headerReference w:type="default" r:id="rId421"/>
          <w:footerReference w:type="default" r:id="rId42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5"/>
        <w:jc w:val="both"/>
      </w:pPr>
      <w:r>
        <w:rPr/>
        <w:t>give a stable complex that lead to low negative enthalpy in binding process. This result</w:t>
      </w:r>
      <w:r>
        <w:rPr>
          <w:spacing w:val="1"/>
        </w:rPr>
        <w:t> </w:t>
      </w:r>
      <w:r>
        <w:rPr/>
        <w:t>justifies the high affinity of the compounds for FP2 compared to FP3 as obtained from the</w:t>
      </w:r>
      <w:r>
        <w:rPr>
          <w:spacing w:val="1"/>
        </w:rPr>
        <w:t> </w:t>
      </w:r>
      <w:r>
        <w:rPr/>
        <w:t>docking result</w:t>
      </w:r>
      <w:r>
        <w:rPr>
          <w:spacing w:val="4"/>
        </w:rPr>
        <w:t> </w:t>
      </w:r>
      <w:r>
        <w:rPr/>
        <w:t>(Table 4.13),</w:t>
      </w:r>
      <w:r>
        <w:rPr>
          <w:spacing w:val="-3"/>
        </w:rPr>
        <w:t> </w:t>
      </w:r>
      <w:r>
        <w:rPr/>
        <w:t>which</w:t>
      </w:r>
      <w:r>
        <w:rPr>
          <w:spacing w:val="-5"/>
        </w:rPr>
        <w:t> </w:t>
      </w:r>
      <w:r>
        <w:rPr/>
        <w:t>was</w:t>
      </w:r>
      <w:r>
        <w:rPr>
          <w:spacing w:val="-2"/>
        </w:rPr>
        <w:t> </w:t>
      </w:r>
      <w:r>
        <w:rPr/>
        <w:t>confirmed from</w:t>
      </w:r>
      <w:r>
        <w:rPr>
          <w:spacing w:val="-9"/>
        </w:rPr>
        <w:t> </w:t>
      </w:r>
      <w:r>
        <w:rPr/>
        <w:t>the</w:t>
      </w:r>
      <w:r>
        <w:rPr>
          <w:spacing w:val="-1"/>
        </w:rPr>
        <w:t> </w:t>
      </w:r>
      <w:r>
        <w:rPr/>
        <w:t>BFE</w:t>
      </w:r>
      <w:r>
        <w:rPr>
          <w:spacing w:val="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(Table</w:t>
      </w:r>
      <w:r>
        <w:rPr>
          <w:spacing w:val="-1"/>
        </w:rPr>
        <w:t> </w:t>
      </w:r>
      <w:r>
        <w:rPr/>
        <w:t>4.14).</w:t>
      </w:r>
    </w:p>
    <w:p>
      <w:pPr>
        <w:pStyle w:val="BodyText"/>
        <w:spacing w:line="480" w:lineRule="auto" w:before="202"/>
        <w:ind w:left="312" w:right="701"/>
        <w:jc w:val="both"/>
      </w:pPr>
      <w:r>
        <w:rPr/>
        <w:t>The plasmepsin complexes have few residues contributing favorably to the BFE which</w:t>
      </w:r>
      <w:r>
        <w:rPr>
          <w:spacing w:val="1"/>
        </w:rPr>
        <w:t> </w:t>
      </w:r>
      <w:r>
        <w:rPr/>
        <w:t>include</w:t>
      </w:r>
      <w:r>
        <w:rPr>
          <w:spacing w:val="47"/>
        </w:rPr>
        <w:t> </w:t>
      </w:r>
      <w:r>
        <w:rPr/>
        <w:t>GLY36,</w:t>
      </w:r>
      <w:r>
        <w:rPr>
          <w:spacing w:val="50"/>
        </w:rPr>
        <w:t> </w:t>
      </w:r>
      <w:r>
        <w:rPr/>
        <w:t>TYR77,</w:t>
      </w:r>
      <w:r>
        <w:rPr>
          <w:spacing w:val="51"/>
        </w:rPr>
        <w:t> </w:t>
      </w:r>
      <w:r>
        <w:rPr/>
        <w:t>VAL78,</w:t>
      </w:r>
      <w:r>
        <w:rPr>
          <w:spacing w:val="51"/>
        </w:rPr>
        <w:t> </w:t>
      </w:r>
      <w:r>
        <w:rPr/>
        <w:t>LEU131,</w:t>
      </w:r>
      <w:r>
        <w:rPr>
          <w:spacing w:val="49"/>
        </w:rPr>
        <w:t> </w:t>
      </w:r>
      <w:r>
        <w:rPr/>
        <w:t>TYR192</w:t>
      </w:r>
      <w:r>
        <w:rPr>
          <w:spacing w:val="49"/>
        </w:rPr>
        <w:t> </w:t>
      </w:r>
      <w:r>
        <w:rPr/>
        <w:t>and</w:t>
      </w:r>
      <w:r>
        <w:rPr>
          <w:spacing w:val="49"/>
        </w:rPr>
        <w:t> </w:t>
      </w:r>
      <w:r>
        <w:rPr/>
        <w:t>THR217</w:t>
      </w:r>
      <w:r>
        <w:rPr>
          <w:spacing w:val="49"/>
        </w:rPr>
        <w:t> </w:t>
      </w:r>
      <w:r>
        <w:rPr/>
        <w:t>with</w:t>
      </w:r>
      <w:r>
        <w:rPr>
          <w:spacing w:val="44"/>
        </w:rPr>
        <w:t> </w:t>
      </w:r>
      <w:r>
        <w:rPr/>
        <w:t>only</w:t>
      </w:r>
      <w:r>
        <w:rPr>
          <w:spacing w:val="43"/>
        </w:rPr>
        <w:t> </w:t>
      </w:r>
      <w:r>
        <w:rPr/>
        <w:t>GLY36,</w:t>
      </w:r>
    </w:p>
    <w:p>
      <w:pPr>
        <w:pStyle w:val="BodyText"/>
        <w:spacing w:line="480" w:lineRule="auto"/>
        <w:ind w:left="312" w:right="689"/>
        <w:jc w:val="both"/>
      </w:pPr>
      <w:r>
        <w:rPr/>
        <w:t>TYR192 and, THR217 giving the most significant contribution (Figure 4.25). As observed</w:t>
      </w:r>
      <w:r>
        <w:rPr>
          <w:spacing w:val="-57"/>
        </w:rPr>
        <w:t> </w:t>
      </w:r>
      <w:r>
        <w:rPr/>
        <w:t>from falcipain systems van der Waals and electrostatic attraction are the major forces</w:t>
      </w:r>
      <w:r>
        <w:rPr>
          <w:spacing w:val="1"/>
        </w:rPr>
        <w:t> </w:t>
      </w:r>
      <w:r>
        <w:rPr/>
        <w:t>contributing favorably to the binding. In the flap region TYR77, VAL78 and SER79 (P4</w:t>
      </w:r>
      <w:r>
        <w:rPr>
          <w:spacing w:val="1"/>
        </w:rPr>
        <w:t> </w:t>
      </w:r>
      <w:r>
        <w:rPr/>
        <w:t>complex only) contributed favorably to the BFE (Figure 4.25). TYR192 consistently forms</w:t>
      </w:r>
      <w:r>
        <w:rPr>
          <w:spacing w:val="-57"/>
        </w:rPr>
        <w:t> </w:t>
      </w:r>
      <w:r>
        <w:rPr/>
        <w:t>hydrogen bond with the compounds in all the plasmepsin systems (Fig 4.25-4.26). It was</w:t>
      </w:r>
      <w:r>
        <w:rPr>
          <w:spacing w:val="1"/>
        </w:rPr>
        <w:t> </w:t>
      </w:r>
      <w:r>
        <w:rPr/>
        <w:t>reported that the hydroxyl groups of SER218 and TYR192</w:t>
      </w:r>
      <w:r>
        <w:rPr>
          <w:spacing w:val="60"/>
        </w:rPr>
        <w:t> </w:t>
      </w:r>
      <w:r>
        <w:rPr/>
        <w:t>form hydrogen bond with</w:t>
      </w:r>
      <w:r>
        <w:rPr>
          <w:spacing w:val="1"/>
        </w:rPr>
        <w:t> </w:t>
      </w:r>
      <w:r>
        <w:rPr/>
        <w:t>EH58 (the inhibitor) in the crystal structure (Asojo </w:t>
      </w:r>
      <w:r>
        <w:rPr>
          <w:i/>
        </w:rPr>
        <w:t>et al., </w:t>
      </w:r>
      <w:r>
        <w:rPr/>
        <w:t>2003), this interaction was found</w:t>
      </w:r>
      <w:r>
        <w:rPr>
          <w:spacing w:val="-57"/>
        </w:rPr>
        <w:t> </w:t>
      </w:r>
      <w:r>
        <w:rPr/>
        <w:t>to be favorable in the present study. Gutierrez-de-Teran </w:t>
      </w:r>
      <w:r>
        <w:rPr>
          <w:i/>
        </w:rPr>
        <w:t>et al.</w:t>
      </w:r>
      <w:r>
        <w:rPr/>
        <w:t>(2006) studied the interaction</w:t>
      </w:r>
      <w:r>
        <w:rPr>
          <w:spacing w:val="-57"/>
        </w:rPr>
        <w:t> </w:t>
      </w:r>
      <w:r>
        <w:rPr/>
        <w:t>of allophenylnorstatine with Plm IV and reported similar residues contribution with this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P4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favourable</w:t>
      </w:r>
      <w:r>
        <w:rPr>
          <w:spacing w:val="1"/>
        </w:rPr>
        <w:t> </w:t>
      </w:r>
      <w:r>
        <w:rPr/>
        <w:t>interaction with the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site residues,</w:t>
      </w:r>
      <w:r>
        <w:rPr>
          <w:spacing w:val="1"/>
        </w:rPr>
        <w:t> </w:t>
      </w:r>
      <w:r>
        <w:rPr/>
        <w:t>probably explaining the high total BFE as compared to P3 complex in addition to other</w:t>
      </w:r>
      <w:r>
        <w:rPr>
          <w:spacing w:val="1"/>
        </w:rPr>
        <w:t> </w:t>
      </w:r>
      <w:r>
        <w:rPr/>
        <w:t>factors.</w:t>
      </w:r>
      <w:r>
        <w:rPr>
          <w:spacing w:val="1"/>
        </w:rPr>
        <w:t> </w:t>
      </w:r>
      <w:r>
        <w:rPr/>
        <w:t>Overall some residues previouslyreported (Recacha </w:t>
      </w:r>
      <w:r>
        <w:rPr>
          <w:i/>
        </w:rPr>
        <w:t>et al., </w:t>
      </w:r>
      <w:r>
        <w:rPr/>
        <w:t>2015; McGillewie and</w:t>
      </w:r>
      <w:r>
        <w:rPr>
          <w:spacing w:val="1"/>
        </w:rPr>
        <w:t> </w:t>
      </w:r>
      <w:r>
        <w:rPr/>
        <w:t>Soliman, 2015) to interactwith known inhibitors have shown favorable binding to the</w:t>
      </w:r>
      <w:r>
        <w:rPr>
          <w:spacing w:val="1"/>
        </w:rPr>
        <w:t> </w:t>
      </w:r>
      <w:r>
        <w:rPr/>
        <w:t>compounds</w:t>
      </w:r>
      <w:r>
        <w:rPr>
          <w:spacing w:val="-1"/>
        </w:rPr>
        <w:t> </w:t>
      </w:r>
      <w:r>
        <w:rPr/>
        <w:t>studied.</w:t>
      </w:r>
    </w:p>
    <w:p>
      <w:pPr>
        <w:pStyle w:val="BodyText"/>
        <w:spacing w:line="480" w:lineRule="auto" w:before="200"/>
        <w:ind w:left="312" w:right="687"/>
        <w:jc w:val="both"/>
      </w:pPr>
      <w:r>
        <w:rPr/>
        <w:t>The same trend as describe above was observed for PlmIV complexes (Figure 4.26) but,</w:t>
      </w:r>
      <w:r>
        <w:rPr>
          <w:spacing w:val="1"/>
        </w:rPr>
        <w:t> </w:t>
      </w:r>
      <w:r>
        <w:rPr/>
        <w:t>there is a favorable BFE from TYR77, GLY78 (replacing VAL78 in PlmII), LEU131, and</w:t>
      </w:r>
      <w:r>
        <w:rPr>
          <w:spacing w:val="1"/>
        </w:rPr>
        <w:t> </w:t>
      </w:r>
      <w:r>
        <w:rPr/>
        <w:t>ILE 133. This is probably the reason for high BFE of PlmIV (Table 4.14) complexes as</w:t>
      </w:r>
      <w:r>
        <w:rPr>
          <w:spacing w:val="1"/>
        </w:rPr>
        <w:t> </w:t>
      </w:r>
      <w:r>
        <w:rPr/>
        <w:t>compared to Plm II complexes, as more favourable interactions stabilizes the system and</w:t>
      </w:r>
      <w:r>
        <w:rPr>
          <w:spacing w:val="1"/>
        </w:rPr>
        <w:t> </w:t>
      </w:r>
      <w:r>
        <w:rPr/>
        <w:t>gives high negative Gibbs free energy. In this system the energy contribution by TYR 192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THR217</w:t>
      </w:r>
      <w:r>
        <w:rPr>
          <w:spacing w:val="6"/>
        </w:rPr>
        <w:t> </w:t>
      </w:r>
      <w:r>
        <w:rPr/>
        <w:t>is small.</w:t>
      </w:r>
    </w:p>
    <w:p>
      <w:pPr>
        <w:spacing w:after="0" w:line="480" w:lineRule="auto"/>
        <w:jc w:val="both"/>
        <w:sectPr>
          <w:headerReference w:type="default" r:id="rId423"/>
          <w:footerReference w:type="default" r:id="rId424"/>
          <w:pgSz w:w="11910" w:h="16840"/>
          <w:pgMar w:header="0" w:footer="878" w:top="1200" w:bottom="106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Heading1"/>
        <w:spacing w:before="90"/>
        <w:ind w:left="305" w:right="691"/>
        <w:jc w:val="center"/>
      </w:pPr>
      <w:bookmarkStart w:name="_TOC_250006" w:id="87"/>
      <w:r>
        <w:rPr/>
        <w:t>CHAPTER</w:t>
      </w:r>
      <w:r>
        <w:rPr>
          <w:spacing w:val="-4"/>
        </w:rPr>
        <w:t> </w:t>
      </w:r>
      <w:bookmarkEnd w:id="87"/>
      <w:r>
        <w:rPr/>
        <w:t>SIX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27"/>
        </w:numPr>
        <w:tabs>
          <w:tab w:pos="1816" w:val="left" w:leader="none"/>
        </w:tabs>
        <w:spacing w:line="240" w:lineRule="auto" w:before="179" w:after="0"/>
        <w:ind w:left="1815" w:right="0" w:hanging="365"/>
        <w:jc w:val="left"/>
      </w:pPr>
      <w:bookmarkStart w:name="_TOC_250005" w:id="88"/>
      <w:r>
        <w:rPr/>
        <w:t>SUMMARY,</w:t>
      </w:r>
      <w:r>
        <w:rPr>
          <w:spacing w:val="-4"/>
        </w:rPr>
        <w:t> </w:t>
      </w:r>
      <w:r>
        <w:rPr/>
        <w:t>CONCLUSION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bookmarkEnd w:id="88"/>
      <w:r>
        <w:rPr/>
        <w:t>RECOMMENDATION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27"/>
        </w:numPr>
        <w:tabs>
          <w:tab w:pos="3756" w:val="left" w:leader="none"/>
        </w:tabs>
        <w:spacing w:line="240" w:lineRule="auto" w:before="174" w:after="0"/>
        <w:ind w:left="3755" w:right="0" w:hanging="366"/>
        <w:jc w:val="both"/>
      </w:pPr>
      <w:bookmarkStart w:name="_TOC_250004" w:id="89"/>
      <w:r>
        <w:rPr/>
        <w:t>Summary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bookmarkEnd w:id="89"/>
      <w:r>
        <w:rPr/>
        <w:t>Findings</w:t>
      </w:r>
    </w:p>
    <w:p>
      <w:pPr>
        <w:pStyle w:val="BodyText"/>
        <w:spacing w:line="480" w:lineRule="auto" w:before="195"/>
        <w:ind w:left="312" w:right="693"/>
        <w:jc w:val="both"/>
      </w:pPr>
      <w:r>
        <w:rPr/>
        <w:t>Seventeen chalcone derivatives were designed, successfully synthesized and characterized,</w:t>
      </w:r>
      <w:r>
        <w:rPr>
          <w:spacing w:val="-57"/>
        </w:rPr>
        <w:t> </w:t>
      </w:r>
      <w:r>
        <w:rPr/>
        <w:t>four of which (P1, P2, P3 and P8) are new compounds and have not been reported in the</w:t>
      </w:r>
      <w:r>
        <w:rPr>
          <w:spacing w:val="1"/>
        </w:rPr>
        <w:t> </w:t>
      </w:r>
      <w:r>
        <w:rPr/>
        <w:t>literature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ascertained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search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Scifinder</w:t>
      </w:r>
      <w:r>
        <w:rPr>
          <w:spacing w:val="1"/>
        </w:rPr>
        <w:t> </w:t>
      </w:r>
      <w:r>
        <w:rPr/>
        <w:t>(</w:t>
      </w:r>
      <w:hyperlink r:id="rId386">
        <w:r>
          <w:rPr>
            <w:color w:val="0000FF"/>
            <w:u w:val="single" w:color="0000FF"/>
          </w:rPr>
          <w:t>www.scifinder.com</w:t>
        </w:r>
      </w:hyperlink>
      <w:r>
        <w:rPr/>
        <w:t>).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potential</w:t>
      </w:r>
      <w:r>
        <w:rPr>
          <w:spacing w:val="-9"/>
        </w:rPr>
        <w:t> </w:t>
      </w:r>
      <w:r>
        <w:rPr/>
        <w:t>drug</w:t>
      </w:r>
      <w:r>
        <w:rPr>
          <w:spacing w:val="-1"/>
        </w:rPr>
        <w:t> </w:t>
      </w:r>
      <w:r>
        <w:rPr/>
        <w:t>candidates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predicted</w:t>
      </w:r>
      <w:r>
        <w:rPr>
          <w:spacing w:val="-1"/>
        </w:rPr>
        <w:t> </w:t>
      </w:r>
      <w:r>
        <w:rPr/>
        <w:t>using</w:t>
      </w:r>
      <w:r>
        <w:rPr>
          <w:spacing w:val="1"/>
        </w:rPr>
        <w:t> </w:t>
      </w:r>
      <w:r>
        <w:rPr/>
        <w:t>Lipinski</w:t>
      </w:r>
      <w:r>
        <w:rPr>
          <w:spacing w:val="-6"/>
        </w:rPr>
        <w:t> </w:t>
      </w:r>
      <w:r>
        <w:rPr/>
        <w:t>‗s</w:t>
      </w:r>
      <w:r>
        <w:rPr>
          <w:spacing w:val="-2"/>
        </w:rPr>
        <w:t> </w:t>
      </w:r>
      <w:r>
        <w:rPr/>
        <w:t>rule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five.</w:t>
      </w:r>
    </w:p>
    <w:p>
      <w:pPr>
        <w:pStyle w:val="BodyText"/>
        <w:spacing w:line="480" w:lineRule="auto" w:before="202"/>
        <w:ind w:left="312" w:right="695"/>
        <w:jc w:val="both"/>
      </w:pPr>
      <w:r>
        <w:rPr/>
        <w:t>Chalcone</w:t>
      </w:r>
      <w:r>
        <w:rPr>
          <w:spacing w:val="8"/>
        </w:rPr>
        <w:t> </w:t>
      </w:r>
      <w:r>
        <w:rPr/>
        <w:t>derivatives</w:t>
      </w:r>
      <w:r>
        <w:rPr>
          <w:spacing w:val="7"/>
        </w:rPr>
        <w:t> </w:t>
      </w:r>
      <w:r>
        <w:rPr/>
        <w:t>with</w:t>
      </w:r>
      <w:r>
        <w:rPr>
          <w:spacing w:val="4"/>
        </w:rPr>
        <w:t> </w:t>
      </w:r>
      <w:r>
        <w:rPr/>
        <w:t>promising</w:t>
      </w:r>
      <w:r>
        <w:rPr>
          <w:spacing w:val="9"/>
        </w:rPr>
        <w:t> </w:t>
      </w:r>
      <w:r>
        <w:rPr/>
        <w:t>antimalarial</w:t>
      </w:r>
      <w:r>
        <w:rPr>
          <w:spacing w:val="10"/>
        </w:rPr>
        <w:t> </w:t>
      </w:r>
      <w:r>
        <w:rPr/>
        <w:t>activity</w:t>
      </w:r>
      <w:r>
        <w:rPr>
          <w:spacing w:val="4"/>
        </w:rPr>
        <w:t> </w:t>
      </w:r>
      <w:r>
        <w:rPr/>
        <w:t>comparable</w:t>
      </w:r>
      <w:r>
        <w:rPr>
          <w:spacing w:val="8"/>
        </w:rPr>
        <w:t> </w:t>
      </w:r>
      <w:r>
        <w:rPr/>
        <w:t>with</w:t>
      </w:r>
      <w:r>
        <w:rPr>
          <w:spacing w:val="4"/>
        </w:rPr>
        <w:t> </w:t>
      </w:r>
      <w:r>
        <w:rPr/>
        <w:t>chloroquine</w:t>
      </w:r>
      <w:r>
        <w:rPr>
          <w:spacing w:val="8"/>
        </w:rPr>
        <w:t> </w:t>
      </w:r>
      <w:r>
        <w:rPr/>
        <w:t>at</w:t>
      </w:r>
      <w:r>
        <w:rPr>
          <w:spacing w:val="-58"/>
        </w:rPr>
        <w:t> </w:t>
      </w:r>
      <w:r>
        <w:rPr/>
        <w:t>a dose of 25mg/kg and, arthemeter at a dose of 2.3mg/kg and quinine at a dose of 10mg/kg</w:t>
      </w:r>
      <w:r>
        <w:rPr>
          <w:spacing w:val="-57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identified.</w:t>
      </w:r>
      <w:r>
        <w:rPr>
          <w:spacing w:val="1"/>
        </w:rPr>
        <w:t> </w:t>
      </w:r>
      <w:r>
        <w:rPr/>
        <w:t>Eleven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‗actives‘</w:t>
      </w:r>
      <w:r>
        <w:rPr>
          <w:spacing w:val="60"/>
        </w:rPr>
        <w:t> </w:t>
      </w:r>
      <w:r>
        <w:rPr/>
        <w:t>from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present study. The most active compound from this study is P2, with percentage inhibition</w:t>
      </w:r>
      <w:r>
        <w:rPr>
          <w:spacing w:val="-57"/>
        </w:rPr>
        <w:t> </w:t>
      </w:r>
      <w:r>
        <w:rPr/>
        <w:t>of 90.32%. An interesting observation is the association of good antimalarial activity with</w:t>
      </w:r>
      <w:r>
        <w:rPr>
          <w:spacing w:val="1"/>
        </w:rPr>
        <w:t> </w:t>
      </w:r>
      <w:r>
        <w:rPr/>
        <w:t>the 3-quinolinyl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ring</w:t>
      </w:r>
      <w:r>
        <w:rPr>
          <w:spacing w:val="2"/>
        </w:rPr>
        <w:t> </w:t>
      </w:r>
      <w:r>
        <w:rPr/>
        <w:t>derivatives.</w:t>
      </w:r>
    </w:p>
    <w:p>
      <w:pPr>
        <w:pStyle w:val="BodyText"/>
        <w:spacing w:line="480" w:lineRule="auto" w:before="203"/>
        <w:ind w:left="312" w:right="695"/>
        <w:jc w:val="both"/>
      </w:pPr>
      <w:r>
        <w:rPr>
          <w:i/>
        </w:rPr>
        <w:t>Insilico </w:t>
      </w:r>
      <w:r>
        <w:rPr/>
        <w:t>studies showed that the compounds studied have dual affinity for FP-2 and Plm-</w:t>
      </w:r>
      <w:r>
        <w:rPr>
          <w:spacing w:val="1"/>
        </w:rPr>
        <w:t> </w:t>
      </w:r>
      <w:r>
        <w:rPr/>
        <w:t>1V, although few have shown appreciable inhibition to all the proteases. Recent reports</w:t>
      </w:r>
      <w:r>
        <w:rPr>
          <w:spacing w:val="1"/>
        </w:rPr>
        <w:t> </w:t>
      </w:r>
      <w:r>
        <w:rPr/>
        <w:t>have</w:t>
      </w:r>
      <w:r>
        <w:rPr>
          <w:spacing w:val="46"/>
        </w:rPr>
        <w:t> </w:t>
      </w:r>
      <w:r>
        <w:rPr/>
        <w:t>shown</w:t>
      </w:r>
      <w:r>
        <w:rPr>
          <w:spacing w:val="37"/>
        </w:rPr>
        <w:t> </w:t>
      </w:r>
      <w:r>
        <w:rPr/>
        <w:t>that</w:t>
      </w:r>
      <w:r>
        <w:rPr>
          <w:spacing w:val="47"/>
        </w:rPr>
        <w:t> </w:t>
      </w:r>
      <w:r>
        <w:rPr/>
        <w:t>poly-inhibition</w:t>
      </w:r>
      <w:r>
        <w:rPr>
          <w:spacing w:val="38"/>
        </w:rPr>
        <w:t> </w:t>
      </w:r>
      <w:r>
        <w:rPr/>
        <w:t>of</w:t>
      </w:r>
      <w:r>
        <w:rPr>
          <w:spacing w:val="39"/>
        </w:rPr>
        <w:t> </w:t>
      </w:r>
      <w:r>
        <w:rPr/>
        <w:t>falcipains</w:t>
      </w:r>
      <w:r>
        <w:rPr>
          <w:spacing w:val="41"/>
        </w:rPr>
        <w:t> </w:t>
      </w:r>
      <w:r>
        <w:rPr/>
        <w:t>and</w:t>
      </w:r>
      <w:r>
        <w:rPr>
          <w:spacing w:val="42"/>
        </w:rPr>
        <w:t> </w:t>
      </w:r>
      <w:r>
        <w:rPr/>
        <w:t>plasmepsins</w:t>
      </w:r>
      <w:r>
        <w:rPr>
          <w:spacing w:val="45"/>
        </w:rPr>
        <w:t> </w:t>
      </w:r>
      <w:r>
        <w:rPr/>
        <w:t>is</w:t>
      </w:r>
      <w:r>
        <w:rPr>
          <w:spacing w:val="41"/>
        </w:rPr>
        <w:t> </w:t>
      </w:r>
      <w:r>
        <w:rPr/>
        <w:t>desirable</w:t>
      </w:r>
      <w:r>
        <w:rPr>
          <w:spacing w:val="46"/>
        </w:rPr>
        <w:t> </w:t>
      </w:r>
      <w:r>
        <w:rPr/>
        <w:t>in</w:t>
      </w:r>
      <w:r>
        <w:rPr>
          <w:spacing w:val="42"/>
        </w:rPr>
        <w:t> </w:t>
      </w:r>
      <w:r>
        <w:rPr/>
        <w:t>potential</w:t>
      </w:r>
    </w:p>
    <w:p>
      <w:pPr>
        <w:spacing w:after="0" w:line="480" w:lineRule="auto"/>
        <w:jc w:val="both"/>
        <w:sectPr>
          <w:headerReference w:type="default" r:id="rId425"/>
          <w:footerReference w:type="default" r:id="rId426"/>
          <w:pgSz w:w="11910" w:h="16840"/>
          <w:pgMar w:header="0" w:footer="878" w:top="1580" w:bottom="106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antimalarial to ensure clinical efficacyand combat resistance due to their complementary</w:t>
      </w:r>
      <w:r>
        <w:rPr>
          <w:spacing w:val="1"/>
        </w:rPr>
        <w:t> </w:t>
      </w:r>
      <w:r>
        <w:rPr/>
        <w:t>role (Sriwilaijaroen </w:t>
      </w:r>
      <w:r>
        <w:rPr>
          <w:i/>
        </w:rPr>
        <w:t>et al</w:t>
      </w:r>
      <w:r>
        <w:rPr/>
        <w:t>., 2006; Bjelic </w:t>
      </w:r>
      <w:r>
        <w:rPr>
          <w:i/>
        </w:rPr>
        <w:t>et al., </w:t>
      </w:r>
      <w:r>
        <w:rPr/>
        <w:t>2007). P3, P4 and, P8 have high rank across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enzymes.</w:t>
      </w:r>
      <w:r>
        <w:rPr>
          <w:spacing w:val="1"/>
        </w:rPr>
        <w:t> </w:t>
      </w:r>
      <w:r>
        <w:rPr/>
        <w:t>Interestingly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antiplasmodial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experimental </w:t>
      </w:r>
      <w:r>
        <w:rPr>
          <w:i/>
        </w:rPr>
        <w:t>in-vivo </w:t>
      </w:r>
      <w:r>
        <w:rPr/>
        <w:t>study (Appendix 1).Thus, the dual inhibition of the proteases by the</w:t>
      </w:r>
      <w:r>
        <w:rPr>
          <w:spacing w:val="1"/>
        </w:rPr>
        <w:t> </w:t>
      </w:r>
      <w:r>
        <w:rPr/>
        <w:t>hits is an indication of standing against resistance by the parasite when develop</w:t>
      </w:r>
      <w:r>
        <w:rPr>
          <w:spacing w:val="60"/>
        </w:rPr>
        <w:t> </w:t>
      </w:r>
      <w:r>
        <w:rPr/>
        <w:t>into a</w:t>
      </w:r>
      <w:r>
        <w:rPr>
          <w:spacing w:val="1"/>
        </w:rPr>
        <w:t> </w:t>
      </w:r>
      <w:r>
        <w:rPr/>
        <w:t>drug.</w:t>
      </w:r>
    </w:p>
    <w:p>
      <w:pPr>
        <w:pStyle w:val="BodyText"/>
        <w:spacing w:line="480" w:lineRule="auto" w:before="203"/>
        <w:ind w:left="312" w:right="697"/>
        <w:jc w:val="both"/>
      </w:pPr>
      <w:r>
        <w:rPr/>
        <w:t>It appears that the most contributing features of the ligand for receptor interaction are the</w:t>
      </w:r>
      <w:r>
        <w:rPr>
          <w:spacing w:val="1"/>
        </w:rPr>
        <w:t> </w:t>
      </w:r>
      <w:r>
        <w:rPr/>
        <w:t>quinoline ring, carbonyl group and, 2- methoxy group. The interactions were between the</w:t>
      </w:r>
      <w:r>
        <w:rPr>
          <w:spacing w:val="1"/>
        </w:rPr>
        <w:t> </w:t>
      </w:r>
      <w:r>
        <w:rPr/>
        <w:t>ligands and the catalytic residues for the falcipains. But, interaction with plasmepsins is</w:t>
      </w:r>
      <w:r>
        <w:rPr>
          <w:spacing w:val="1"/>
        </w:rPr>
        <w:t> </w:t>
      </w:r>
      <w:r>
        <w:rPr/>
        <w:t>only with the residues on the flap and Tyr192. It could be that the ligands interacted with</w:t>
      </w:r>
      <w:r>
        <w:rPr>
          <w:spacing w:val="1"/>
        </w:rPr>
        <w:t> </w:t>
      </w:r>
      <w:r>
        <w:rPr/>
        <w:t>the ‗gate keepers‘</w:t>
      </w:r>
      <w:r>
        <w:rPr>
          <w:spacing w:val="-2"/>
        </w:rPr>
        <w:t> </w:t>
      </w:r>
      <w:r>
        <w:rPr/>
        <w:t>to</w:t>
      </w:r>
      <w:r>
        <w:rPr>
          <w:spacing w:val="2"/>
        </w:rPr>
        <w:t> </w:t>
      </w:r>
      <w:r>
        <w:rPr/>
        <w:t>cover</w:t>
      </w:r>
      <w:r>
        <w:rPr>
          <w:spacing w:val="2"/>
        </w:rPr>
        <w:t> </w:t>
      </w:r>
      <w:r>
        <w:rPr/>
        <w:t>the active site.</w:t>
      </w:r>
    </w:p>
    <w:p>
      <w:pPr>
        <w:pStyle w:val="BodyText"/>
        <w:spacing w:line="480" w:lineRule="auto" w:before="198"/>
        <w:ind w:left="312" w:right="694"/>
        <w:jc w:val="both"/>
      </w:pPr>
      <w:r>
        <w:rPr/>
        <w:t>The BFE results from simulation</w:t>
      </w:r>
      <w:r>
        <w:rPr>
          <w:spacing w:val="1"/>
        </w:rPr>
        <w:t> </w:t>
      </w:r>
      <w:r>
        <w:rPr/>
        <w:t>agree with the docking</w:t>
      </w:r>
      <w:r>
        <w:rPr>
          <w:spacing w:val="60"/>
        </w:rPr>
        <w:t> </w:t>
      </w:r>
      <w:r>
        <w:rPr/>
        <w:t>results with the exception of</w:t>
      </w:r>
      <w:r>
        <w:rPr>
          <w:spacing w:val="1"/>
        </w:rPr>
        <w:t> </w:t>
      </w:r>
      <w:r>
        <w:rPr/>
        <w:t>PlmII system. From the different energetic contributions, it is evident that the binding</w:t>
      </w:r>
      <w:r>
        <w:rPr>
          <w:spacing w:val="1"/>
        </w:rPr>
        <w:t> </w:t>
      </w:r>
      <w:r>
        <w:rPr/>
        <w:t>process is principally favored by van der Waals and little by electrostatic terms while the</w:t>
      </w:r>
      <w:r>
        <w:rPr>
          <w:spacing w:val="1"/>
        </w:rPr>
        <w:t> </w:t>
      </w:r>
      <w:r>
        <w:rPr/>
        <w:t>polar solvation impaired it. The significant contribution of the active site residues to the</w:t>
      </w:r>
      <w:r>
        <w:rPr>
          <w:spacing w:val="1"/>
        </w:rPr>
        <w:t> </w:t>
      </w:r>
      <w:r>
        <w:rPr/>
        <w:t>binding of the ligands in energy terms is also Van der Waals also interaction. All the</w:t>
      </w:r>
      <w:r>
        <w:rPr>
          <w:spacing w:val="1"/>
        </w:rPr>
        <w:t> </w:t>
      </w:r>
      <w:r>
        <w:rPr/>
        <w:t>simulated</w:t>
      </w:r>
      <w:r>
        <w:rPr>
          <w:spacing w:val="1"/>
        </w:rPr>
        <w:t> </w:t>
      </w:r>
      <w:r>
        <w:rPr/>
        <w:t>system</w:t>
      </w:r>
      <w:r>
        <w:rPr>
          <w:spacing w:val="-7"/>
        </w:rPr>
        <w:t> </w:t>
      </w:r>
      <w:r>
        <w:rPr/>
        <w:t>remains</w:t>
      </w:r>
      <w:r>
        <w:rPr>
          <w:spacing w:val="-1"/>
        </w:rPr>
        <w:t> </w:t>
      </w:r>
      <w:r>
        <w:rPr/>
        <w:t>stable</w:t>
      </w:r>
      <w:r>
        <w:rPr>
          <w:spacing w:val="1"/>
        </w:rPr>
        <w:t> </w:t>
      </w:r>
      <w:r>
        <w:rPr/>
        <w:t>throughout</w:t>
      </w:r>
      <w:r>
        <w:rPr>
          <w:spacing w:val="-2"/>
        </w:rPr>
        <w:t> </w:t>
      </w:r>
      <w:r>
        <w:rPr/>
        <w:t>the simulation</w:t>
      </w:r>
    </w:p>
    <w:p>
      <w:pPr>
        <w:pStyle w:val="BodyText"/>
        <w:spacing w:line="480" w:lineRule="auto" w:before="202"/>
        <w:ind w:left="312" w:right="694"/>
        <w:jc w:val="both"/>
      </w:pPr>
      <w:r>
        <w:rPr/>
        <w:t>Residues that contributed favorably in all the systems are implicated in binding with an</w:t>
      </w:r>
      <w:r>
        <w:rPr>
          <w:spacing w:val="1"/>
        </w:rPr>
        <w:t> </w:t>
      </w:r>
      <w:r>
        <w:rPr/>
        <w:t>inhibitor. The higher favorable interactions in FP-2 complexes relative to FP-3 complexes</w:t>
      </w:r>
      <w:r>
        <w:rPr>
          <w:spacing w:val="1"/>
        </w:rPr>
        <w:t> </w:t>
      </w:r>
      <w:r>
        <w:rPr/>
        <w:t>justify the high affinity for FP-2, as predicted by docking and BFE analysis. For the</w:t>
      </w:r>
      <w:r>
        <w:rPr>
          <w:spacing w:val="1"/>
        </w:rPr>
        <w:t> </w:t>
      </w:r>
      <w:r>
        <w:rPr/>
        <w:t>Plasmepsin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favorable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residues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flap.</w:t>
      </w:r>
      <w:r>
        <w:rPr>
          <w:spacing w:val="1"/>
        </w:rPr>
        <w:t> </w:t>
      </w:r>
      <w:r>
        <w:rPr/>
        <w:t>Although the</w:t>
      </w:r>
      <w:r>
        <w:rPr>
          <w:spacing w:val="1"/>
        </w:rPr>
        <w:t> </w:t>
      </w:r>
      <w:r>
        <w:rPr/>
        <w:t>ligands were stable within the</w:t>
      </w:r>
      <w:r>
        <w:rPr>
          <w:spacing w:val="1"/>
        </w:rPr>
        <w:t> </w:t>
      </w:r>
      <w:r>
        <w:rPr/>
        <w:t>binding cavity throughout the simulation</w:t>
      </w:r>
      <w:r>
        <w:rPr>
          <w:spacing w:val="1"/>
        </w:rPr>
        <w:t> </w:t>
      </w:r>
      <w:r>
        <w:rPr/>
        <w:t>period,</w:t>
      </w:r>
      <w:r>
        <w:rPr>
          <w:spacing w:val="3"/>
        </w:rPr>
        <w:t> </w:t>
      </w:r>
      <w:r>
        <w:rPr/>
        <w:t>no</w:t>
      </w:r>
      <w:r>
        <w:rPr>
          <w:spacing w:val="1"/>
        </w:rPr>
        <w:t> </w:t>
      </w:r>
      <w:r>
        <w:rPr/>
        <w:t>interaction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active site</w:t>
      </w:r>
      <w:r>
        <w:rPr>
          <w:spacing w:val="1"/>
        </w:rPr>
        <w:t> </w:t>
      </w:r>
      <w:r>
        <w:rPr/>
        <w:t>residue was observed.</w:t>
      </w:r>
    </w:p>
    <w:p>
      <w:pPr>
        <w:spacing w:after="0" w:line="480" w:lineRule="auto"/>
        <w:jc w:val="both"/>
        <w:sectPr>
          <w:headerReference w:type="default" r:id="rId427"/>
          <w:footerReference w:type="default" r:id="rId428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2"/>
        <w:jc w:val="both"/>
      </w:pPr>
      <w:r>
        <w:rPr/>
        <w:t>Contrary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Liu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(2001)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electronic</w:t>
      </w:r>
      <w:r>
        <w:rPr>
          <w:spacing w:val="1"/>
        </w:rPr>
        <w:t> </w:t>
      </w:r>
      <w:r>
        <w:rPr/>
        <w:t>feature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modulating antimalarial activity of substituted chalcones, steric features are playing more</w:t>
      </w:r>
      <w:r>
        <w:rPr>
          <w:spacing w:val="1"/>
        </w:rPr>
        <w:t> </w:t>
      </w:r>
      <w:r>
        <w:rPr/>
        <w:t>important role. This has been supported by the evidence from the </w:t>
      </w:r>
      <w:r>
        <w:rPr>
          <w:i/>
        </w:rPr>
        <w:t>in-silico </w:t>
      </w:r>
      <w:r>
        <w:rPr/>
        <w:t>studies, 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having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bind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enzymes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orientation.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2"/>
        </w:rPr>
      </w:pPr>
    </w:p>
    <w:p>
      <w:pPr>
        <w:pStyle w:val="Heading1"/>
        <w:numPr>
          <w:ilvl w:val="1"/>
          <w:numId w:val="27"/>
        </w:numPr>
        <w:tabs>
          <w:tab w:pos="4294" w:val="left" w:leader="none"/>
        </w:tabs>
        <w:spacing w:line="240" w:lineRule="auto" w:before="0" w:after="0"/>
        <w:ind w:left="4293" w:right="0" w:hanging="366"/>
        <w:jc w:val="both"/>
      </w:pPr>
      <w:bookmarkStart w:name="_TOC_250003" w:id="90"/>
      <w:bookmarkEnd w:id="90"/>
      <w:r>
        <w:rPr/>
        <w:t>Conclusion</w:t>
      </w:r>
    </w:p>
    <w:p>
      <w:pPr>
        <w:pStyle w:val="BodyText"/>
        <w:spacing w:line="480" w:lineRule="auto" w:before="194"/>
        <w:ind w:left="312" w:right="692"/>
        <w:jc w:val="both"/>
      </w:pPr>
      <w:r>
        <w:rPr/>
        <w:t>Seventeen Chalcone derivatives were designed as protease inhibitors and, successfully</w:t>
      </w:r>
      <w:r>
        <w:rPr>
          <w:spacing w:val="1"/>
        </w:rPr>
        <w:t> </w:t>
      </w:r>
      <w:r>
        <w:rPr/>
        <w:t>synthesized and characterized using various spectroscopic techniques. Eleven have shown</w:t>
      </w:r>
      <w:r>
        <w:rPr>
          <w:spacing w:val="1"/>
        </w:rPr>
        <w:t> </w:t>
      </w:r>
      <w:r>
        <w:rPr/>
        <w:t>promising antimalarial activity </w:t>
      </w:r>
      <w:r>
        <w:rPr>
          <w:i/>
        </w:rPr>
        <w:t>invivo </w:t>
      </w:r>
      <w:r>
        <w:rPr/>
        <w:t>in mice infected with </w:t>
      </w:r>
      <w:r>
        <w:rPr>
          <w:i/>
        </w:rPr>
        <w:t>P berghii </w:t>
      </w:r>
      <w:r>
        <w:rPr/>
        <w:t>comparable to some</w:t>
      </w:r>
      <w:r>
        <w:rPr>
          <w:spacing w:val="1"/>
        </w:rPr>
        <w:t> </w:t>
      </w:r>
      <w:r>
        <w:rPr/>
        <w:t>standard drugs. Contrary to Li </w:t>
      </w:r>
      <w:r>
        <w:rPr>
          <w:i/>
        </w:rPr>
        <w:t>et al. </w:t>
      </w:r>
      <w:r>
        <w:rPr/>
        <w:t>(1995); Liu </w:t>
      </w:r>
      <w:r>
        <w:rPr>
          <w:i/>
        </w:rPr>
        <w:t>et al. </w:t>
      </w:r>
      <w:r>
        <w:rPr/>
        <w:t>(2001) and Kumar </w:t>
      </w:r>
      <w:r>
        <w:rPr>
          <w:i/>
        </w:rPr>
        <w:t>et al. </w:t>
      </w:r>
      <w:r>
        <w:rPr/>
        <w:t>(2010)</w:t>
      </w:r>
      <w:r>
        <w:rPr>
          <w:spacing w:val="1"/>
        </w:rPr>
        <w:t> </w:t>
      </w:r>
      <w:r>
        <w:rPr/>
        <w:t>findings,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suggest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steric</w:t>
      </w:r>
      <w:r>
        <w:rPr>
          <w:spacing w:val="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deciding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antimalarial</w:t>
      </w:r>
      <w:r>
        <w:rPr>
          <w:spacing w:val="-8"/>
        </w:rPr>
        <w:t> </w:t>
      </w:r>
      <w:r>
        <w:rPr/>
        <w:t>activity</w:t>
      </w:r>
      <w:r>
        <w:rPr>
          <w:spacing w:val="-3"/>
        </w:rPr>
        <w:t> </w:t>
      </w:r>
      <w:r>
        <w:rPr/>
        <w:t>than</w:t>
      </w:r>
      <w:r>
        <w:rPr>
          <w:spacing w:val="-3"/>
        </w:rPr>
        <w:t> </w:t>
      </w:r>
      <w:r>
        <w:rPr/>
        <w:t>electronic</w:t>
      </w:r>
      <w:r>
        <w:rPr>
          <w:spacing w:val="6"/>
        </w:rPr>
        <w:t> </w:t>
      </w:r>
      <w:r>
        <w:rPr/>
        <w:t>feature.</w:t>
      </w:r>
    </w:p>
    <w:p>
      <w:pPr>
        <w:pStyle w:val="BodyText"/>
        <w:spacing w:line="480" w:lineRule="auto" w:before="203"/>
        <w:ind w:left="312" w:right="688"/>
        <w:jc w:val="both"/>
      </w:pPr>
      <w:r>
        <w:rPr>
          <w:i/>
        </w:rPr>
        <w:t>Insilico </w:t>
      </w:r>
      <w:r>
        <w:rPr/>
        <w:t>studies pointed three quinolinyl chalcones as potential dual inhibitors of aspartic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proteases.</w:t>
      </w:r>
      <w:r>
        <w:rPr>
          <w:spacing w:val="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dynamic</w:t>
      </w:r>
      <w:r>
        <w:rPr>
          <w:spacing w:val="1"/>
        </w:rPr>
        <w:t> </w:t>
      </w:r>
      <w:r>
        <w:rPr/>
        <w:t>simulation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P3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P4</w:t>
      </w:r>
      <w:r>
        <w:rPr>
          <w:spacing w:val="1"/>
        </w:rPr>
        <w:t> </w:t>
      </w:r>
      <w:r>
        <w:rPr/>
        <w:t>(quinolinyl chalcones) complexes with the enzymes were stable and there were favorable</w:t>
      </w:r>
      <w:r>
        <w:rPr>
          <w:spacing w:val="1"/>
        </w:rPr>
        <w:t> </w:t>
      </w:r>
      <w:r>
        <w:rPr/>
        <w:t>interactions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 amino</w:t>
      </w:r>
      <w:r>
        <w:rPr>
          <w:spacing w:val="11"/>
        </w:rPr>
        <w:t> </w:t>
      </w:r>
      <w:r>
        <w:rPr/>
        <w:t>acids</w:t>
      </w:r>
      <w:r>
        <w:rPr>
          <w:spacing w:val="-1"/>
        </w:rPr>
        <w:t> </w:t>
      </w:r>
      <w:r>
        <w:rPr/>
        <w:t>at</w:t>
      </w:r>
      <w:r>
        <w:rPr>
          <w:spacing w:val="2"/>
        </w:rPr>
        <w:t> </w:t>
      </w:r>
      <w:r>
        <w:rPr/>
        <w:t>the active</w:t>
      </w:r>
      <w:r>
        <w:rPr>
          <w:spacing w:val="1"/>
        </w:rPr>
        <w:t> </w:t>
      </w:r>
      <w:r>
        <w:rPr/>
        <w:t>site.</w:t>
      </w:r>
    </w:p>
    <w:p>
      <w:pPr>
        <w:pStyle w:val="BodyText"/>
        <w:spacing w:line="480" w:lineRule="auto" w:before="198"/>
        <w:ind w:left="312" w:right="690"/>
        <w:jc w:val="both"/>
      </w:pPr>
      <w:r>
        <w:rPr/>
        <w:t>Most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>
          <w:i/>
        </w:rPr>
        <w:t>invivo</w:t>
      </w:r>
      <w:r>
        <w:rPr>
          <w:i/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acting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>
          <w:i/>
        </w:rPr>
        <w:t>β-</w:t>
      </w:r>
      <w:r>
        <w:rPr>
          <w:i/>
          <w:spacing w:val="60"/>
        </w:rPr>
        <w:t> </w:t>
      </w:r>
      <w:r>
        <w:rPr/>
        <w:t>hematin</w:t>
      </w:r>
      <w:r>
        <w:rPr>
          <w:spacing w:val="1"/>
        </w:rPr>
        <w:t> </w:t>
      </w:r>
      <w:r>
        <w:rPr/>
        <w:t>synthesis</w:t>
      </w:r>
      <w:r>
        <w:rPr>
          <w:spacing w:val="27"/>
        </w:rPr>
        <w:t> </w:t>
      </w:r>
      <w:r>
        <w:rPr/>
        <w:t>inhibition</w:t>
      </w:r>
      <w:r>
        <w:rPr>
          <w:spacing w:val="19"/>
        </w:rPr>
        <w:t> </w:t>
      </w:r>
      <w:r>
        <w:rPr/>
        <w:t>and,</w:t>
      </w:r>
      <w:r>
        <w:rPr>
          <w:spacing w:val="26"/>
        </w:rPr>
        <w:t> </w:t>
      </w:r>
      <w:r>
        <w:rPr/>
        <w:t>are</w:t>
      </w:r>
      <w:r>
        <w:rPr>
          <w:spacing w:val="23"/>
        </w:rPr>
        <w:t> </w:t>
      </w:r>
      <w:r>
        <w:rPr/>
        <w:t>therefore</w:t>
      </w:r>
      <w:r>
        <w:rPr>
          <w:spacing w:val="23"/>
        </w:rPr>
        <w:t> </w:t>
      </w:r>
      <w:r>
        <w:rPr/>
        <w:t>potential</w:t>
      </w:r>
      <w:r>
        <w:rPr>
          <w:spacing w:val="20"/>
        </w:rPr>
        <w:t> </w:t>
      </w:r>
      <w:r>
        <w:rPr/>
        <w:t>candidate</w:t>
      </w:r>
      <w:r>
        <w:rPr>
          <w:spacing w:val="28"/>
        </w:rPr>
        <w:t> </w:t>
      </w:r>
      <w:r>
        <w:rPr/>
        <w:t>in</w:t>
      </w:r>
      <w:r>
        <w:rPr>
          <w:spacing w:val="19"/>
        </w:rPr>
        <w:t> </w:t>
      </w:r>
      <w:r>
        <w:rPr/>
        <w:t>chloroquine</w:t>
      </w:r>
      <w:r>
        <w:rPr>
          <w:spacing w:val="23"/>
        </w:rPr>
        <w:t> </w:t>
      </w:r>
      <w:r>
        <w:rPr/>
        <w:t>resistance</w:t>
      </w:r>
    </w:p>
    <w:p>
      <w:pPr>
        <w:spacing w:after="0" w:line="480" w:lineRule="auto"/>
        <w:jc w:val="both"/>
        <w:sectPr>
          <w:headerReference w:type="default" r:id="rId429"/>
          <w:footerReference w:type="default" r:id="rId430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7"/>
      </w:pPr>
      <w:r>
        <w:rPr/>
        <w:t>malaria.</w:t>
      </w:r>
      <w:r>
        <w:rPr>
          <w:spacing w:val="15"/>
        </w:rPr>
        <w:t> </w:t>
      </w:r>
      <w:r>
        <w:rPr/>
        <w:t>Overall,</w:t>
      </w:r>
      <w:r>
        <w:rPr>
          <w:spacing w:val="15"/>
        </w:rPr>
        <w:t> </w:t>
      </w:r>
      <w:r>
        <w:rPr/>
        <w:t>chalcones</w:t>
      </w:r>
      <w:r>
        <w:rPr>
          <w:spacing w:val="11"/>
        </w:rPr>
        <w:t> </w:t>
      </w:r>
      <w:r>
        <w:rPr/>
        <w:t>with</w:t>
      </w:r>
      <w:r>
        <w:rPr>
          <w:spacing w:val="8"/>
        </w:rPr>
        <w:t> </w:t>
      </w:r>
      <w:r>
        <w:rPr/>
        <w:t>quinolinyl</w:t>
      </w:r>
      <w:r>
        <w:rPr>
          <w:spacing w:val="8"/>
        </w:rPr>
        <w:t> </w:t>
      </w:r>
      <w:r>
        <w:rPr/>
        <w:t>scaffold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2-methoxy</w:t>
      </w:r>
      <w:r>
        <w:rPr>
          <w:spacing w:val="3"/>
        </w:rPr>
        <w:t> </w:t>
      </w:r>
      <w:r>
        <w:rPr/>
        <w:t>phenyl</w:t>
      </w:r>
      <w:r>
        <w:rPr>
          <w:spacing w:val="8"/>
        </w:rPr>
        <w:t> </w:t>
      </w:r>
      <w:r>
        <w:rPr/>
        <w:t>ring</w:t>
      </w:r>
      <w:r>
        <w:rPr>
          <w:spacing w:val="13"/>
        </w:rPr>
        <w:t> </w:t>
      </w:r>
      <w:r>
        <w:rPr/>
        <w:t>are</w:t>
      </w:r>
      <w:r>
        <w:rPr>
          <w:spacing w:val="-57"/>
        </w:rPr>
        <w:t> </w:t>
      </w:r>
      <w:r>
        <w:rPr/>
        <w:t>potential</w:t>
      </w:r>
      <w:r>
        <w:rPr>
          <w:spacing w:val="-2"/>
        </w:rPr>
        <w:t> </w:t>
      </w:r>
      <w:r>
        <w:rPr/>
        <w:t>candidates</w:t>
      </w:r>
      <w:r>
        <w:rPr>
          <w:spacing w:val="5"/>
        </w:rPr>
        <w:t> </w:t>
      </w:r>
      <w:r>
        <w:rPr/>
        <w:t>for</w:t>
      </w:r>
      <w:r>
        <w:rPr>
          <w:spacing w:val="3"/>
        </w:rPr>
        <w:t> </w:t>
      </w:r>
      <w:r>
        <w:rPr/>
        <w:t>further</w:t>
      </w:r>
      <w:r>
        <w:rPr>
          <w:spacing w:val="-2"/>
        </w:rPr>
        <w:t> </w:t>
      </w:r>
      <w:r>
        <w:rPr/>
        <w:t>optimization.</w:t>
      </w:r>
    </w:p>
    <w:p>
      <w:pPr>
        <w:pStyle w:val="BodyText"/>
        <w:spacing w:before="2"/>
        <w:rPr>
          <w:sz w:val="10"/>
        </w:rPr>
      </w:pPr>
    </w:p>
    <w:p>
      <w:pPr>
        <w:pStyle w:val="Heading1"/>
        <w:numPr>
          <w:ilvl w:val="1"/>
          <w:numId w:val="27"/>
        </w:numPr>
        <w:tabs>
          <w:tab w:pos="719" w:val="left" w:leader="none"/>
          <w:tab w:pos="3636" w:val="left" w:leader="none"/>
        </w:tabs>
        <w:spacing w:line="240" w:lineRule="auto" w:before="90" w:after="0"/>
        <w:ind w:left="3635" w:right="384" w:hanging="3636"/>
        <w:jc w:val="left"/>
      </w:pPr>
      <w:bookmarkStart w:name="_TOC_250002" w:id="91"/>
      <w:r>
        <w:rPr/>
        <w:t>Contribution</w:t>
      </w:r>
      <w:r>
        <w:rPr>
          <w:spacing w:val="1"/>
        </w:rPr>
        <w:t> </w:t>
      </w:r>
      <w:r>
        <w:rPr/>
        <w:t>to</w:t>
      </w:r>
      <w:r>
        <w:rPr>
          <w:spacing w:val="-8"/>
        </w:rPr>
        <w:t> </w:t>
      </w:r>
      <w:bookmarkEnd w:id="91"/>
      <w:r>
        <w:rPr/>
        <w:t>Knowledge</w:t>
      </w:r>
    </w:p>
    <w:p>
      <w:pPr>
        <w:pStyle w:val="BodyText"/>
        <w:spacing w:before="194"/>
        <w:ind w:left="312"/>
      </w:pPr>
      <w:r>
        <w:rPr/>
        <w:t>The study</w:t>
      </w:r>
      <w:r>
        <w:rPr>
          <w:spacing w:val="-7"/>
        </w:rPr>
        <w:t> </w:t>
      </w:r>
      <w:r>
        <w:rPr/>
        <w:t>established;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28"/>
        </w:numPr>
        <w:tabs>
          <w:tab w:pos="1033" w:val="left" w:leader="none"/>
        </w:tabs>
        <w:spacing w:line="480" w:lineRule="auto" w:before="1" w:after="0"/>
        <w:ind w:left="312" w:right="691" w:firstLine="0"/>
        <w:jc w:val="both"/>
        <w:rPr>
          <w:sz w:val="24"/>
        </w:rPr>
      </w:pPr>
      <w:r>
        <w:rPr>
          <w:sz w:val="24"/>
        </w:rPr>
        <w:t>Synthesis of seventeen substituted chalcone derivatives, four of which are new; </w:t>
      </w:r>
      <w:r>
        <w:rPr>
          <w:b/>
          <w:sz w:val="24"/>
        </w:rPr>
        <w:t>P1</w:t>
      </w:r>
      <w:r>
        <w:rPr>
          <w:b/>
          <w:spacing w:val="1"/>
          <w:sz w:val="24"/>
        </w:rPr>
        <w:t> </w:t>
      </w:r>
      <w:r>
        <w:rPr>
          <w:sz w:val="24"/>
        </w:rPr>
        <w:t>[(E)-1,3-bis(2,3,4-trimethoxyphenyl)prop-2-en-1-one)], </w:t>
      </w:r>
      <w:r>
        <w:rPr>
          <w:b/>
          <w:sz w:val="24"/>
        </w:rPr>
        <w:t>P2 </w:t>
      </w:r>
      <w:r>
        <w:rPr>
          <w:sz w:val="24"/>
        </w:rPr>
        <w:t>[(E)-1-(2,4-dimethoxyphenyl)-</w:t>
      </w:r>
      <w:r>
        <w:rPr>
          <w:spacing w:val="-57"/>
          <w:sz w:val="24"/>
        </w:rPr>
        <w:t> </w:t>
      </w:r>
      <w:r>
        <w:rPr>
          <w:sz w:val="24"/>
        </w:rPr>
        <w:t>3-(2,3,4-trimethoxyphenyl)prop-2-en-1-one],</w:t>
      </w:r>
      <w:r>
        <w:rPr>
          <w:spacing w:val="1"/>
          <w:sz w:val="24"/>
        </w:rPr>
        <w:t> </w:t>
      </w:r>
      <w:r>
        <w:rPr>
          <w:b/>
          <w:sz w:val="24"/>
        </w:rPr>
        <w:t>P3</w:t>
      </w:r>
      <w:r>
        <w:rPr>
          <w:b/>
          <w:spacing w:val="1"/>
          <w:sz w:val="24"/>
        </w:rPr>
        <w:t> </w:t>
      </w:r>
      <w:r>
        <w:rPr>
          <w:sz w:val="24"/>
        </w:rPr>
        <w:t>[(E)-3-(2-chloro-6-methoxyquinolin-3-</w:t>
      </w:r>
      <w:r>
        <w:rPr>
          <w:spacing w:val="1"/>
          <w:sz w:val="24"/>
        </w:rPr>
        <w:t> </w:t>
      </w:r>
      <w:r>
        <w:rPr>
          <w:sz w:val="24"/>
        </w:rPr>
        <w:t>yl)-1-(2,4-dimethoxyphenyl)prop-2-en-1-one] and </w:t>
      </w:r>
      <w:r>
        <w:rPr>
          <w:b/>
          <w:sz w:val="24"/>
        </w:rPr>
        <w:t>P4</w:t>
      </w:r>
      <w:r>
        <w:rPr>
          <w:sz w:val="24"/>
        </w:rPr>
        <w:t>[(E)-3-(2-chloro-6-methoxyquinolin-</w:t>
      </w:r>
      <w:r>
        <w:rPr>
          <w:spacing w:val="-57"/>
          <w:sz w:val="24"/>
        </w:rPr>
        <w:t> </w:t>
      </w:r>
      <w:r>
        <w:rPr>
          <w:sz w:val="24"/>
        </w:rPr>
        <w:t>3-yl)-1-(2,3,4-trimethoxyphenyl)prop-2-en-1-one].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</w:tabs>
        <w:spacing w:line="480" w:lineRule="auto" w:before="202" w:after="0"/>
        <w:ind w:left="312" w:right="691" w:firstLine="0"/>
        <w:jc w:val="both"/>
        <w:rPr>
          <w:sz w:val="24"/>
        </w:rPr>
      </w:pPr>
      <w:r>
        <w:rPr>
          <w:sz w:val="24"/>
        </w:rPr>
        <w:t>Nine chalcone derivatives with significant</w:t>
      </w:r>
      <w:r>
        <w:rPr>
          <w:spacing w:val="1"/>
          <w:sz w:val="24"/>
        </w:rPr>
        <w:t> </w:t>
      </w:r>
      <w:r>
        <w:rPr>
          <w:sz w:val="24"/>
        </w:rPr>
        <w:t>(p&lt;0.05)</w:t>
      </w:r>
      <w:r>
        <w:rPr>
          <w:spacing w:val="1"/>
          <w:sz w:val="24"/>
        </w:rPr>
        <w:t> </w:t>
      </w:r>
      <w:r>
        <w:rPr>
          <w:sz w:val="24"/>
        </w:rPr>
        <w:t>antimalarial activity </w:t>
      </w:r>
      <w:r>
        <w:rPr>
          <w:i/>
          <w:sz w:val="24"/>
        </w:rPr>
        <w:t>invivo</w:t>
      </w:r>
      <w:r>
        <w:rPr>
          <w:i/>
          <w:spacing w:val="1"/>
          <w:sz w:val="24"/>
        </w:rPr>
        <w:t> </w:t>
      </w:r>
      <w:r>
        <w:rPr>
          <w:sz w:val="24"/>
        </w:rPr>
        <w:t>comparable to standard drugs; chloroquine, and arthemeter at a dose of 25 to 100mg/kg for</w:t>
      </w:r>
      <w:r>
        <w:rPr>
          <w:spacing w:val="-57"/>
          <w:sz w:val="24"/>
        </w:rPr>
        <w:t> </w:t>
      </w:r>
      <w:r>
        <w:rPr>
          <w:sz w:val="24"/>
        </w:rPr>
        <w:t>further</w:t>
      </w:r>
      <w:r>
        <w:rPr>
          <w:spacing w:val="2"/>
          <w:sz w:val="24"/>
        </w:rPr>
        <w:t> </w:t>
      </w:r>
      <w:r>
        <w:rPr>
          <w:sz w:val="24"/>
        </w:rPr>
        <w:t>studies and</w:t>
      </w:r>
      <w:r>
        <w:rPr>
          <w:spacing w:val="2"/>
          <w:sz w:val="24"/>
        </w:rPr>
        <w:t> </w:t>
      </w:r>
      <w:r>
        <w:rPr>
          <w:sz w:val="24"/>
        </w:rPr>
        <w:t>optimization</w:t>
      </w:r>
    </w:p>
    <w:p>
      <w:pPr>
        <w:pStyle w:val="ListParagraph"/>
        <w:numPr>
          <w:ilvl w:val="0"/>
          <w:numId w:val="28"/>
        </w:numPr>
        <w:tabs>
          <w:tab w:pos="1033" w:val="left" w:leader="none"/>
        </w:tabs>
        <w:spacing w:line="480" w:lineRule="auto" w:before="203" w:after="0"/>
        <w:ind w:left="312" w:right="684" w:firstLine="0"/>
        <w:jc w:val="both"/>
        <w:rPr>
          <w:sz w:val="24"/>
        </w:rPr>
      </w:pPr>
      <w:r>
        <w:rPr>
          <w:sz w:val="24"/>
        </w:rPr>
        <w:t>Three</w:t>
      </w:r>
      <w:r>
        <w:rPr>
          <w:spacing w:val="1"/>
          <w:sz w:val="24"/>
        </w:rPr>
        <w:t> </w:t>
      </w:r>
      <w:r>
        <w:rPr>
          <w:sz w:val="24"/>
        </w:rPr>
        <w:t>quinolinyl</w:t>
      </w:r>
      <w:r>
        <w:rPr>
          <w:spacing w:val="1"/>
          <w:sz w:val="24"/>
        </w:rPr>
        <w:t> </w:t>
      </w:r>
      <w:r>
        <w:rPr>
          <w:sz w:val="24"/>
        </w:rPr>
        <w:t>Chalcones</w:t>
      </w:r>
      <w:r>
        <w:rPr>
          <w:spacing w:val="1"/>
          <w:sz w:val="24"/>
        </w:rPr>
        <w:t> </w:t>
      </w:r>
      <w:r>
        <w:rPr>
          <w:sz w:val="24"/>
        </w:rPr>
        <w:t>having</w:t>
      </w:r>
      <w:r>
        <w:rPr>
          <w:spacing w:val="1"/>
          <w:sz w:val="24"/>
        </w:rPr>
        <w:t> </w:t>
      </w:r>
      <w:r>
        <w:rPr>
          <w:sz w:val="24"/>
        </w:rPr>
        <w:t>broad</w:t>
      </w:r>
      <w:r>
        <w:rPr>
          <w:spacing w:val="1"/>
          <w:sz w:val="24"/>
        </w:rPr>
        <w:t> </w:t>
      </w:r>
      <w:r>
        <w:rPr>
          <w:sz w:val="24"/>
        </w:rPr>
        <w:t>inhibition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aspartic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cysteine</w:t>
      </w:r>
      <w:r>
        <w:rPr>
          <w:spacing w:val="1"/>
          <w:sz w:val="24"/>
        </w:rPr>
        <w:t> </w:t>
      </w:r>
      <w:r>
        <w:rPr>
          <w:sz w:val="24"/>
        </w:rPr>
        <w:t>proteases </w:t>
      </w:r>
      <w:r>
        <w:rPr>
          <w:i/>
          <w:sz w:val="24"/>
        </w:rPr>
        <w:t>insilico </w:t>
      </w:r>
      <w:r>
        <w:rPr>
          <w:sz w:val="24"/>
        </w:rPr>
        <w:t>with binding energy (Kcal/mol)of;</w:t>
      </w:r>
      <w:r>
        <w:rPr>
          <w:spacing w:val="1"/>
          <w:sz w:val="24"/>
        </w:rPr>
        <w:t> </w:t>
      </w:r>
      <w:r>
        <w:rPr>
          <w:sz w:val="24"/>
        </w:rPr>
        <w:t>P3 [FP-2 (-6.0), FP-3 (-6.8), Plm-II</w:t>
      </w:r>
      <w:r>
        <w:rPr>
          <w:spacing w:val="1"/>
          <w:sz w:val="24"/>
        </w:rPr>
        <w:t> </w:t>
      </w:r>
      <w:r>
        <w:rPr>
          <w:sz w:val="24"/>
        </w:rPr>
        <w:t>(-8.0), Plm-IV (-9.3)], P4 [FP-2 (-6.7), FP-3 (-6.6), Plm-II (-7.7), Plm-IV (-9.1)], P8 [FP-2</w:t>
      </w:r>
      <w:r>
        <w:rPr>
          <w:spacing w:val="1"/>
          <w:sz w:val="24"/>
        </w:rPr>
        <w:t> </w:t>
      </w:r>
      <w:r>
        <w:rPr>
          <w:sz w:val="24"/>
        </w:rPr>
        <w:t>(-6.0),</w:t>
      </w:r>
      <w:r>
        <w:rPr>
          <w:spacing w:val="-2"/>
          <w:sz w:val="24"/>
        </w:rPr>
        <w:t> </w:t>
      </w:r>
      <w:r>
        <w:rPr>
          <w:sz w:val="24"/>
        </w:rPr>
        <w:t>FP-3</w:t>
      </w:r>
      <w:r>
        <w:rPr>
          <w:spacing w:val="2"/>
          <w:sz w:val="24"/>
        </w:rPr>
        <w:t> </w:t>
      </w:r>
      <w:r>
        <w:rPr>
          <w:sz w:val="24"/>
        </w:rPr>
        <w:t>(-7.0),</w:t>
      </w:r>
      <w:r>
        <w:rPr>
          <w:spacing w:val="-2"/>
          <w:sz w:val="24"/>
        </w:rPr>
        <w:t> </w:t>
      </w:r>
      <w:r>
        <w:rPr>
          <w:sz w:val="24"/>
        </w:rPr>
        <w:t>Plm-II</w:t>
      </w:r>
      <w:r>
        <w:rPr>
          <w:spacing w:val="3"/>
          <w:sz w:val="24"/>
        </w:rPr>
        <w:t> </w:t>
      </w:r>
      <w:r>
        <w:rPr>
          <w:sz w:val="24"/>
        </w:rPr>
        <w:t>(-7.7),</w:t>
      </w:r>
      <w:r>
        <w:rPr>
          <w:spacing w:val="-2"/>
          <w:sz w:val="24"/>
        </w:rPr>
        <w:t> </w:t>
      </w:r>
      <w:r>
        <w:rPr>
          <w:sz w:val="24"/>
        </w:rPr>
        <w:t>Plm-IV</w:t>
      </w:r>
      <w:r>
        <w:rPr>
          <w:spacing w:val="1"/>
          <w:sz w:val="24"/>
        </w:rPr>
        <w:t> </w:t>
      </w:r>
      <w:r>
        <w:rPr>
          <w:sz w:val="24"/>
        </w:rPr>
        <w:t>(-8.9)]as</w:t>
      </w:r>
      <w:r>
        <w:rPr>
          <w:spacing w:val="-5"/>
          <w:sz w:val="24"/>
        </w:rPr>
        <w:t> </w:t>
      </w:r>
      <w:r>
        <w:rPr>
          <w:sz w:val="24"/>
        </w:rPr>
        <w:t>potential</w:t>
      </w:r>
      <w:r>
        <w:rPr>
          <w:spacing w:val="-8"/>
          <w:sz w:val="24"/>
        </w:rPr>
        <w:t> </w:t>
      </w:r>
      <w:r>
        <w:rPr>
          <w:sz w:val="24"/>
        </w:rPr>
        <w:t>drug</w:t>
      </w:r>
      <w:r>
        <w:rPr>
          <w:spacing w:val="2"/>
          <w:sz w:val="24"/>
        </w:rPr>
        <w:t> </w:t>
      </w:r>
      <w:r>
        <w:rPr>
          <w:sz w:val="24"/>
        </w:rPr>
        <w:t>candidate.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1"/>
        </w:rPr>
      </w:pPr>
    </w:p>
    <w:p>
      <w:pPr>
        <w:pStyle w:val="Heading1"/>
        <w:numPr>
          <w:ilvl w:val="1"/>
          <w:numId w:val="27"/>
        </w:numPr>
        <w:tabs>
          <w:tab w:pos="4144" w:val="left" w:leader="none"/>
          <w:tab w:pos="4145" w:val="left" w:leader="none"/>
        </w:tabs>
        <w:spacing w:line="240" w:lineRule="auto" w:before="0" w:after="0"/>
        <w:ind w:left="4144" w:right="0" w:hanging="721"/>
        <w:jc w:val="left"/>
      </w:pPr>
      <w:bookmarkStart w:name="_TOC_250001" w:id="92"/>
      <w:bookmarkEnd w:id="92"/>
      <w:r>
        <w:rPr/>
        <w:t>Recommendation</w:t>
      </w:r>
    </w:p>
    <w:p>
      <w:pPr>
        <w:pStyle w:val="BodyText"/>
        <w:spacing w:line="480" w:lineRule="auto" w:before="195"/>
        <w:ind w:left="312" w:right="699"/>
      </w:pPr>
      <w:r>
        <w:rPr/>
        <w:t>Both</w:t>
      </w:r>
      <w:r>
        <w:rPr>
          <w:spacing w:val="4"/>
        </w:rPr>
        <w:t> </w:t>
      </w:r>
      <w:r>
        <w:rPr/>
        <w:t>acute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chronic</w:t>
      </w:r>
      <w:r>
        <w:rPr>
          <w:spacing w:val="7"/>
        </w:rPr>
        <w:t> </w:t>
      </w:r>
      <w:r>
        <w:rPr/>
        <w:t>toxicity</w:t>
      </w:r>
      <w:r>
        <w:rPr>
          <w:spacing w:val="3"/>
        </w:rPr>
        <w:t> </w:t>
      </w:r>
      <w:r>
        <w:rPr/>
        <w:t>studies</w:t>
      </w:r>
      <w:r>
        <w:rPr>
          <w:spacing w:val="6"/>
        </w:rPr>
        <w:t> </w:t>
      </w:r>
      <w:r>
        <w:rPr/>
        <w:t>of</w:t>
      </w:r>
      <w:r>
        <w:rPr>
          <w:spacing w:val="59"/>
        </w:rPr>
        <w:t> </w:t>
      </w:r>
      <w:r>
        <w:rPr/>
        <w:t>the</w:t>
      </w:r>
      <w:r>
        <w:rPr>
          <w:spacing w:val="11"/>
        </w:rPr>
        <w:t> </w:t>
      </w:r>
      <w:r>
        <w:rPr/>
        <w:t>compounds</w:t>
      </w:r>
      <w:r>
        <w:rPr>
          <w:spacing w:val="11"/>
        </w:rPr>
        <w:t> </w:t>
      </w:r>
      <w:r>
        <w:rPr/>
        <w:t>should</w:t>
      </w:r>
      <w:r>
        <w:rPr>
          <w:spacing w:val="8"/>
        </w:rPr>
        <w:t> </w:t>
      </w:r>
      <w:r>
        <w:rPr/>
        <w:t>be</w:t>
      </w:r>
      <w:r>
        <w:rPr>
          <w:spacing w:val="7"/>
        </w:rPr>
        <w:t> </w:t>
      </w:r>
      <w:r>
        <w:rPr/>
        <w:t>carried</w:t>
      </w:r>
      <w:r>
        <w:rPr>
          <w:spacing w:val="8"/>
        </w:rPr>
        <w:t> </w:t>
      </w:r>
      <w:r>
        <w:rPr/>
        <w:t>out</w:t>
      </w:r>
      <w:r>
        <w:rPr>
          <w:spacing w:val="8"/>
        </w:rPr>
        <w:t> </w:t>
      </w:r>
      <w:r>
        <w:rPr/>
        <w:t>to</w:t>
      </w:r>
      <w:r>
        <w:rPr>
          <w:spacing w:val="-57"/>
        </w:rPr>
        <w:t> </w:t>
      </w:r>
      <w:r>
        <w:rPr/>
        <w:t>determine the</w:t>
      </w:r>
      <w:r>
        <w:rPr>
          <w:spacing w:val="1"/>
        </w:rPr>
        <w:t> </w:t>
      </w:r>
      <w:r>
        <w:rPr/>
        <w:t>safety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compounds.</w:t>
      </w:r>
    </w:p>
    <w:p>
      <w:pPr>
        <w:pStyle w:val="BodyText"/>
        <w:spacing w:line="480" w:lineRule="auto" w:before="202"/>
        <w:ind w:left="312" w:right="699"/>
      </w:pPr>
      <w:r>
        <w:rPr/>
        <w:t>The</w:t>
      </w:r>
      <w:r>
        <w:rPr>
          <w:spacing w:val="17"/>
        </w:rPr>
        <w:t> </w:t>
      </w:r>
      <w:r>
        <w:rPr>
          <w:i/>
        </w:rPr>
        <w:t>insilico</w:t>
      </w:r>
      <w:r>
        <w:rPr>
          <w:i/>
          <w:spacing w:val="22"/>
        </w:rPr>
        <w:t> </w:t>
      </w:r>
      <w:r>
        <w:rPr/>
        <w:t>studies</w:t>
      </w:r>
      <w:r>
        <w:rPr>
          <w:spacing w:val="17"/>
        </w:rPr>
        <w:t> </w:t>
      </w:r>
      <w:r>
        <w:rPr/>
        <w:t>should</w:t>
      </w:r>
      <w:r>
        <w:rPr>
          <w:spacing w:val="22"/>
        </w:rPr>
        <w:t> </w:t>
      </w:r>
      <w:r>
        <w:rPr/>
        <w:t>be</w:t>
      </w:r>
      <w:r>
        <w:rPr>
          <w:spacing w:val="22"/>
        </w:rPr>
        <w:t> </w:t>
      </w:r>
      <w:r>
        <w:rPr/>
        <w:t>validated</w:t>
      </w:r>
      <w:r>
        <w:rPr>
          <w:spacing w:val="18"/>
        </w:rPr>
        <w:t> </w:t>
      </w:r>
      <w:r>
        <w:rPr/>
        <w:t>with</w:t>
      </w:r>
      <w:r>
        <w:rPr>
          <w:spacing w:val="18"/>
        </w:rPr>
        <w:t> </w:t>
      </w:r>
      <w:r>
        <w:rPr>
          <w:i/>
        </w:rPr>
        <w:t>invitro</w:t>
      </w:r>
      <w:r>
        <w:rPr>
          <w:i/>
          <w:spacing w:val="19"/>
        </w:rPr>
        <w:t> </w:t>
      </w:r>
      <w:r>
        <w:rPr/>
        <w:t>experiment</w:t>
      </w:r>
      <w:r>
        <w:rPr>
          <w:spacing w:val="23"/>
        </w:rPr>
        <w:t> </w:t>
      </w:r>
      <w:r>
        <w:rPr/>
        <w:t>on</w:t>
      </w:r>
      <w:r>
        <w:rPr>
          <w:spacing w:val="13"/>
        </w:rPr>
        <w:t> </w:t>
      </w:r>
      <w:r>
        <w:rPr/>
        <w:t>cysteine</w:t>
      </w:r>
      <w:r>
        <w:rPr>
          <w:spacing w:val="22"/>
        </w:rPr>
        <w:t> </w:t>
      </w:r>
      <w:r>
        <w:rPr/>
        <w:t>and</w:t>
      </w:r>
      <w:r>
        <w:rPr>
          <w:spacing w:val="18"/>
        </w:rPr>
        <w:t> </w:t>
      </w:r>
      <w:r>
        <w:rPr/>
        <w:t>aspartic</w:t>
      </w:r>
      <w:r>
        <w:rPr>
          <w:spacing w:val="-57"/>
        </w:rPr>
        <w:t> </w:t>
      </w:r>
      <w:r>
        <w:rPr/>
        <w:t>proteases.</w:t>
      </w:r>
    </w:p>
    <w:p>
      <w:pPr>
        <w:spacing w:after="0" w:line="480" w:lineRule="auto"/>
        <w:sectPr>
          <w:headerReference w:type="default" r:id="rId431"/>
          <w:footerReference w:type="default" r:id="rId432"/>
          <w:pgSz w:w="11910" w:h="16840"/>
          <w:pgMar w:header="0" w:footer="878" w:top="1200" w:bottom="1060" w:left="1560" w:right="600"/>
        </w:sectPr>
      </w:pPr>
    </w:p>
    <w:p>
      <w:pPr>
        <w:pStyle w:val="BodyText"/>
        <w:spacing w:line="480" w:lineRule="auto" w:before="70"/>
        <w:ind w:left="312" w:right="699"/>
      </w:pPr>
      <w:r>
        <w:rPr/>
        <w:t>Further</w:t>
      </w:r>
      <w:r>
        <w:rPr>
          <w:spacing w:val="8"/>
        </w:rPr>
        <w:t> </w:t>
      </w:r>
      <w:r>
        <w:rPr/>
        <w:t>structural</w:t>
      </w:r>
      <w:r>
        <w:rPr>
          <w:spacing w:val="7"/>
        </w:rPr>
        <w:t> </w:t>
      </w:r>
      <w:r>
        <w:rPr/>
        <w:t>modification</w:t>
      </w:r>
      <w:r>
        <w:rPr>
          <w:spacing w:val="7"/>
        </w:rPr>
        <w:t> </w:t>
      </w:r>
      <w:r>
        <w:rPr/>
        <w:t>of</w:t>
      </w:r>
      <w:r>
        <w:rPr>
          <w:spacing w:val="4"/>
        </w:rPr>
        <w:t> </w:t>
      </w:r>
      <w:r>
        <w:rPr/>
        <w:t>the</w:t>
      </w:r>
      <w:r>
        <w:rPr>
          <w:spacing w:val="6"/>
        </w:rPr>
        <w:t> </w:t>
      </w:r>
      <w:r>
        <w:rPr/>
        <w:t>quinolinyl</w:t>
      </w:r>
      <w:r>
        <w:rPr>
          <w:spacing w:val="7"/>
        </w:rPr>
        <w:t> </w:t>
      </w:r>
      <w:r>
        <w:rPr/>
        <w:t>chalcones</w:t>
      </w:r>
      <w:r>
        <w:rPr>
          <w:spacing w:val="19"/>
        </w:rPr>
        <w:t> </w:t>
      </w:r>
      <w:r>
        <w:rPr/>
        <w:t>should</w:t>
      </w:r>
      <w:r>
        <w:rPr>
          <w:spacing w:val="16"/>
        </w:rPr>
        <w:t> </w:t>
      </w:r>
      <w:r>
        <w:rPr/>
        <w:t>be</w:t>
      </w:r>
      <w:r>
        <w:rPr>
          <w:spacing w:val="11"/>
        </w:rPr>
        <w:t> </w:t>
      </w:r>
      <w:r>
        <w:rPr/>
        <w:t>carried</w:t>
      </w:r>
      <w:r>
        <w:rPr>
          <w:spacing w:val="11"/>
        </w:rPr>
        <w:t> </w:t>
      </w:r>
      <w:r>
        <w:rPr/>
        <w:t>out</w:t>
      </w:r>
      <w:r>
        <w:rPr>
          <w:spacing w:val="12"/>
        </w:rPr>
        <w:t> </w:t>
      </w:r>
      <w:r>
        <w:rPr/>
        <w:t>to</w:t>
      </w:r>
      <w:r>
        <w:rPr>
          <w:spacing w:val="-57"/>
        </w:rPr>
        <w:t> </w:t>
      </w:r>
      <w:r>
        <w:rPr/>
        <w:t>improve binding</w:t>
      </w:r>
      <w:r>
        <w:rPr>
          <w:spacing w:val="1"/>
        </w:rPr>
        <w:t> </w:t>
      </w:r>
      <w:r>
        <w:rPr/>
        <w:t>onto</w:t>
      </w:r>
      <w:r>
        <w:rPr>
          <w:spacing w:val="2"/>
        </w:rPr>
        <w:t> </w:t>
      </w:r>
      <w:r>
        <w:rPr/>
        <w:t>the enzymes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the antimalarial</w:t>
      </w:r>
      <w:r>
        <w:rPr>
          <w:spacing w:val="-7"/>
        </w:rPr>
        <w:t> </w:t>
      </w:r>
      <w:r>
        <w:rPr/>
        <w:t>activity.</w:t>
      </w:r>
    </w:p>
    <w:p>
      <w:pPr>
        <w:spacing w:after="0" w:line="480" w:lineRule="auto"/>
        <w:sectPr>
          <w:headerReference w:type="default" r:id="rId433"/>
          <w:footerReference w:type="default" r:id="rId434"/>
          <w:pgSz w:w="11910" w:h="16840"/>
          <w:pgMar w:header="0" w:footer="878" w:top="1200" w:bottom="1060" w:left="1560" w:right="600"/>
        </w:sectPr>
      </w:pPr>
    </w:p>
    <w:p>
      <w:pPr>
        <w:pStyle w:val="Heading1"/>
        <w:spacing w:before="74"/>
        <w:ind w:left="39" w:right="696"/>
        <w:jc w:val="center"/>
      </w:pPr>
      <w:bookmarkStart w:name="_TOC_250000" w:id="93"/>
      <w:bookmarkEnd w:id="93"/>
      <w:r>
        <w:rPr/>
        <w:t>REFERENCES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033" w:right="695" w:hanging="721"/>
        <w:jc w:val="both"/>
      </w:pPr>
      <w:r>
        <w:rPr/>
        <w:t>Adedotun, A. A., Morenikeji, O. A., and Odaibo, A. B. (2010). Knowledge, attitudes and</w:t>
      </w:r>
      <w:r>
        <w:rPr>
          <w:spacing w:val="1"/>
        </w:rPr>
        <w:t> </w:t>
      </w:r>
      <w:r>
        <w:rPr/>
        <w:t>practices about malaria in an urban community in south-western Nigeria.</w:t>
      </w:r>
      <w:r>
        <w:rPr>
          <w:i/>
        </w:rPr>
        <w:t>Journal of</w:t>
      </w:r>
      <w:r>
        <w:rPr>
          <w:i/>
          <w:spacing w:val="-57"/>
        </w:rPr>
        <w:t> </w:t>
      </w:r>
      <w:r>
        <w:rPr>
          <w:i/>
        </w:rPr>
        <w:t>Vector</w:t>
      </w:r>
      <w:r>
        <w:rPr>
          <w:i/>
          <w:spacing w:val="-1"/>
        </w:rPr>
        <w:t> </w:t>
      </w:r>
      <w:r>
        <w:rPr>
          <w:i/>
        </w:rPr>
        <w:t>Borne</w:t>
      </w:r>
      <w:r>
        <w:rPr>
          <w:i/>
          <w:spacing w:val="2"/>
        </w:rPr>
        <w:t> </w:t>
      </w:r>
      <w:r>
        <w:rPr>
          <w:i/>
        </w:rPr>
        <w:t>Diseases</w:t>
      </w:r>
      <w:r>
        <w:rPr/>
        <w:t>,</w:t>
      </w:r>
      <w:r>
        <w:rPr>
          <w:spacing w:val="4"/>
        </w:rPr>
        <w:t> </w:t>
      </w:r>
      <w:r>
        <w:rPr>
          <w:i/>
        </w:rPr>
        <w:t>47</w:t>
      </w:r>
      <w:r>
        <w:rPr/>
        <w:t>(3),155.</w:t>
      </w:r>
    </w:p>
    <w:p>
      <w:pPr>
        <w:pStyle w:val="BodyText"/>
        <w:spacing w:before="10"/>
      </w:pPr>
    </w:p>
    <w:p>
      <w:pPr>
        <w:spacing w:line="240" w:lineRule="auto" w:before="0"/>
        <w:ind w:left="1033" w:right="685" w:hanging="721"/>
        <w:jc w:val="both"/>
        <w:rPr>
          <w:sz w:val="24"/>
        </w:rPr>
      </w:pPr>
      <w:r>
        <w:rPr>
          <w:sz w:val="24"/>
        </w:rPr>
        <w:t>Adzu, B., Haruna, A. K., Salawu, O. A., Katsayal, U. D., and Njan, A. (2007). </w:t>
      </w:r>
      <w:r>
        <w:rPr>
          <w:i/>
          <w:sz w:val="24"/>
        </w:rPr>
        <w:t>In vivo</w:t>
      </w:r>
      <w:r>
        <w:rPr>
          <w:i/>
          <w:spacing w:val="1"/>
          <w:sz w:val="24"/>
        </w:rPr>
        <w:t> </w:t>
      </w:r>
      <w:r>
        <w:rPr>
          <w:sz w:val="24"/>
        </w:rPr>
        <w:t>antiplasmodial activity of ZS-2A: a fraction from chloroform extract of </w:t>
      </w:r>
      <w:r>
        <w:rPr>
          <w:i/>
          <w:sz w:val="24"/>
        </w:rPr>
        <w:t>Zizyphus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spina-christi </w:t>
      </w:r>
      <w:r>
        <w:rPr>
          <w:sz w:val="24"/>
        </w:rPr>
        <w:t>root</w:t>
      </w:r>
      <w:r>
        <w:rPr>
          <w:spacing w:val="1"/>
          <w:sz w:val="24"/>
        </w:rPr>
        <w:t> </w:t>
      </w:r>
      <w:r>
        <w:rPr>
          <w:sz w:val="24"/>
        </w:rPr>
        <w:t>bark against</w:t>
      </w:r>
      <w:r>
        <w:rPr>
          <w:spacing w:val="1"/>
          <w:sz w:val="24"/>
        </w:rPr>
        <w:t> </w:t>
      </w:r>
      <w:r>
        <w:rPr>
          <w:i/>
          <w:sz w:val="24"/>
        </w:rPr>
        <w:t>Plasmodium berghii</w:t>
      </w:r>
      <w:r>
        <w:rPr>
          <w:i/>
          <w:spacing w:val="60"/>
          <w:sz w:val="24"/>
        </w:rPr>
        <w:t> </w:t>
      </w:r>
      <w:r>
        <w:rPr>
          <w:sz w:val="24"/>
        </w:rPr>
        <w:t>in mice. </w:t>
      </w:r>
      <w:r>
        <w:rPr>
          <w:i/>
          <w:sz w:val="24"/>
        </w:rPr>
        <w:t>InternationalJournal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Chemical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</w:t>
      </w:r>
      <w:r>
        <w:rPr>
          <w:sz w:val="24"/>
        </w:rPr>
        <w:t>(3), 281-</w:t>
      </w:r>
      <w:r>
        <w:rPr>
          <w:spacing w:val="-7"/>
          <w:sz w:val="24"/>
        </w:rPr>
        <w:t> </w:t>
      </w:r>
      <w:r>
        <w:rPr>
          <w:sz w:val="24"/>
        </w:rPr>
        <w:t>286.</w:t>
      </w:r>
    </w:p>
    <w:p>
      <w:pPr>
        <w:pStyle w:val="BodyText"/>
        <w:spacing w:before="4"/>
        <w:rPr>
          <w:sz w:val="25"/>
        </w:rPr>
      </w:pPr>
    </w:p>
    <w:p>
      <w:pPr>
        <w:spacing w:line="237" w:lineRule="auto" w:before="0"/>
        <w:ind w:left="1033" w:right="692" w:hanging="721"/>
        <w:jc w:val="both"/>
        <w:rPr>
          <w:sz w:val="24"/>
        </w:rPr>
      </w:pPr>
      <w:r>
        <w:rPr>
          <w:sz w:val="24"/>
        </w:rPr>
        <w:t>Aksoz,</w:t>
      </w:r>
      <w:r>
        <w:rPr>
          <w:spacing w:val="1"/>
          <w:sz w:val="24"/>
        </w:rPr>
        <w:t> </w:t>
      </w:r>
      <w:r>
        <w:rPr>
          <w:sz w:val="24"/>
        </w:rPr>
        <w:t>B.</w:t>
      </w:r>
      <w:r>
        <w:rPr>
          <w:spacing w:val="1"/>
          <w:sz w:val="24"/>
        </w:rPr>
        <w:t> </w:t>
      </w:r>
      <w:r>
        <w:rPr>
          <w:sz w:val="24"/>
        </w:rPr>
        <w:t>E.,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Ertan,</w:t>
      </w:r>
      <w:r>
        <w:rPr>
          <w:spacing w:val="1"/>
          <w:sz w:val="24"/>
        </w:rPr>
        <w:t> </w:t>
      </w:r>
      <w:r>
        <w:rPr>
          <w:sz w:val="24"/>
        </w:rPr>
        <w:t>R.</w:t>
      </w:r>
      <w:r>
        <w:rPr>
          <w:spacing w:val="1"/>
          <w:sz w:val="24"/>
        </w:rPr>
        <w:t> </w:t>
      </w:r>
      <w:r>
        <w:rPr>
          <w:sz w:val="24"/>
        </w:rPr>
        <w:t>(2011).</w:t>
      </w:r>
      <w:r>
        <w:rPr>
          <w:spacing w:val="1"/>
          <w:sz w:val="24"/>
        </w:rPr>
        <w:t> </w:t>
      </w:r>
      <w:r>
        <w:rPr>
          <w:sz w:val="24"/>
        </w:rPr>
        <w:t>Chemical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structural</w:t>
      </w:r>
      <w:r>
        <w:rPr>
          <w:spacing w:val="1"/>
          <w:sz w:val="24"/>
        </w:rPr>
        <w:t> </w:t>
      </w:r>
      <w:r>
        <w:rPr>
          <w:sz w:val="24"/>
        </w:rPr>
        <w:t>properties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chalcones.</w:t>
      </w:r>
      <w:r>
        <w:rPr>
          <w:i/>
          <w:sz w:val="24"/>
        </w:rPr>
        <w:t>FABAD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Pharmaceutical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36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sz w:val="24"/>
        </w:rPr>
        <w:t>223-42.</w:t>
      </w:r>
    </w:p>
    <w:p>
      <w:pPr>
        <w:pStyle w:val="BodyText"/>
        <w:spacing w:before="5"/>
      </w:pPr>
    </w:p>
    <w:p>
      <w:pPr>
        <w:pStyle w:val="BodyText"/>
        <w:ind w:left="312"/>
        <w:jc w:val="both"/>
      </w:pPr>
      <w:r>
        <w:rPr/>
        <w:t>Alonso,</w:t>
      </w:r>
      <w:r>
        <w:rPr>
          <w:spacing w:val="5"/>
        </w:rPr>
        <w:t> </w:t>
      </w:r>
      <w:r>
        <w:rPr/>
        <w:t>P. L.,</w:t>
      </w:r>
      <w:r>
        <w:rPr>
          <w:spacing w:val="1"/>
        </w:rPr>
        <w:t> </w:t>
      </w:r>
      <w:r>
        <w:rPr/>
        <w:t>Sacarlal,</w:t>
      </w:r>
      <w:r>
        <w:rPr>
          <w:spacing w:val="5"/>
        </w:rPr>
        <w:t> </w:t>
      </w:r>
      <w:r>
        <w:rPr/>
        <w:t>J.,</w:t>
      </w:r>
      <w:r>
        <w:rPr>
          <w:spacing w:val="5"/>
        </w:rPr>
        <w:t> </w:t>
      </w:r>
      <w:r>
        <w:rPr/>
        <w:t>Aponte, J.</w:t>
      </w:r>
      <w:r>
        <w:rPr>
          <w:spacing w:val="6"/>
        </w:rPr>
        <w:t> </w:t>
      </w:r>
      <w:r>
        <w:rPr/>
        <w:t>J.,</w:t>
      </w:r>
      <w:r>
        <w:rPr>
          <w:spacing w:val="5"/>
        </w:rPr>
        <w:t> </w:t>
      </w:r>
      <w:r>
        <w:rPr/>
        <w:t>Leach,</w:t>
      </w:r>
      <w:r>
        <w:rPr>
          <w:spacing w:val="5"/>
        </w:rPr>
        <w:t> </w:t>
      </w:r>
      <w:r>
        <w:rPr/>
        <w:t>A.,</w:t>
      </w:r>
      <w:r>
        <w:rPr>
          <w:spacing w:val="5"/>
        </w:rPr>
        <w:t> </w:t>
      </w:r>
      <w:r>
        <w:rPr/>
        <w:t>Macete,</w:t>
      </w:r>
      <w:r>
        <w:rPr>
          <w:spacing w:val="1"/>
        </w:rPr>
        <w:t> </w:t>
      </w:r>
      <w:r>
        <w:rPr/>
        <w:t>E., Aide,</w:t>
      </w:r>
      <w:r>
        <w:rPr>
          <w:spacing w:val="5"/>
        </w:rPr>
        <w:t> </w:t>
      </w:r>
      <w:r>
        <w:rPr/>
        <w:t>P.,</w:t>
      </w:r>
      <w:r>
        <w:rPr>
          <w:spacing w:val="1"/>
        </w:rPr>
        <w:t> </w:t>
      </w:r>
      <w:r>
        <w:rPr/>
        <w:t>...</w:t>
      </w:r>
      <w:r>
        <w:rPr>
          <w:spacing w:val="5"/>
        </w:rPr>
        <w:t> </w:t>
      </w:r>
      <w:r>
        <w:rPr/>
        <w:t>and</w:t>
      </w:r>
      <w:r>
        <w:rPr>
          <w:spacing w:val="2"/>
        </w:rPr>
        <w:t> </w:t>
      </w:r>
      <w:r>
        <w:rPr/>
        <w:t>Guinovart,</w:t>
      </w:r>
    </w:p>
    <w:p>
      <w:pPr>
        <w:pStyle w:val="BodyText"/>
        <w:spacing w:before="3"/>
        <w:ind w:left="1033" w:right="692"/>
        <w:jc w:val="both"/>
      </w:pPr>
      <w:r>
        <w:rPr/>
        <w:t>C.</w:t>
      </w:r>
      <w:r>
        <w:rPr>
          <w:spacing w:val="1"/>
        </w:rPr>
        <w:t> </w:t>
      </w:r>
      <w:r>
        <w:rPr/>
        <w:t>(2005).</w:t>
      </w:r>
      <w:r>
        <w:rPr>
          <w:spacing w:val="1"/>
        </w:rPr>
        <w:t> </w:t>
      </w:r>
      <w:r>
        <w:rPr/>
        <w:t>Duration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RTS,</w:t>
      </w:r>
      <w:r>
        <w:rPr>
          <w:spacing w:val="1"/>
        </w:rPr>
        <w:t> </w:t>
      </w:r>
      <w:r>
        <w:rPr/>
        <w:t>S/AS02A</w:t>
      </w:r>
      <w:r>
        <w:rPr>
          <w:spacing w:val="1"/>
        </w:rPr>
        <w:t> </w:t>
      </w:r>
      <w:r>
        <w:rPr/>
        <w:t>malaria</w:t>
      </w:r>
      <w:r>
        <w:rPr>
          <w:spacing w:val="61"/>
        </w:rPr>
        <w:t> </w:t>
      </w:r>
      <w:r>
        <w:rPr/>
        <w:t>vaccine</w:t>
      </w:r>
      <w:r>
        <w:rPr>
          <w:spacing w:val="1"/>
        </w:rPr>
        <w:t> </w:t>
      </w:r>
      <w:r>
        <w:rPr/>
        <w:t>inprevention of </w:t>
      </w:r>
      <w:r>
        <w:rPr>
          <w:i/>
        </w:rPr>
        <w:t>Plasmodium falciparum </w:t>
      </w:r>
      <w:r>
        <w:rPr/>
        <w:t>disease in Mozambican children: single-</w:t>
      </w:r>
      <w:r>
        <w:rPr>
          <w:spacing w:val="1"/>
        </w:rPr>
        <w:t> </w:t>
      </w:r>
      <w:r>
        <w:rPr/>
        <w:t>blind</w:t>
      </w:r>
      <w:r>
        <w:rPr>
          <w:spacing w:val="1"/>
        </w:rPr>
        <w:t> </w:t>
      </w:r>
      <w:r>
        <w:rPr/>
        <w:t>extended</w:t>
      </w:r>
      <w:r>
        <w:rPr>
          <w:spacing w:val="1"/>
        </w:rPr>
        <w:t> </w:t>
      </w:r>
      <w:r>
        <w:rPr/>
        <w:t>follow-up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randomized</w:t>
      </w:r>
      <w:r>
        <w:rPr>
          <w:spacing w:val="1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trial.</w:t>
      </w:r>
      <w:r>
        <w:rPr>
          <w:spacing w:val="1"/>
        </w:rPr>
        <w:t>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Lancet</w:t>
      </w:r>
      <w:r>
        <w:rPr/>
        <w:t>,</w:t>
      </w:r>
      <w:r>
        <w:rPr>
          <w:spacing w:val="1"/>
        </w:rPr>
        <w:t> </w:t>
      </w:r>
      <w:r>
        <w:rPr>
          <w:i/>
        </w:rPr>
        <w:t>366</w:t>
      </w:r>
      <w:r>
        <w:rPr/>
        <w:t>(9502),2012-2018.</w:t>
      </w:r>
    </w:p>
    <w:p>
      <w:pPr>
        <w:pStyle w:val="BodyText"/>
        <w:spacing w:before="8"/>
      </w:pPr>
    </w:p>
    <w:p>
      <w:pPr>
        <w:pStyle w:val="BodyText"/>
        <w:ind w:left="312"/>
        <w:jc w:val="both"/>
      </w:pPr>
      <w:r>
        <w:rPr/>
        <w:t>Alonso,</w:t>
      </w:r>
      <w:r>
        <w:rPr>
          <w:spacing w:val="8"/>
        </w:rPr>
        <w:t> </w:t>
      </w:r>
      <w:r>
        <w:rPr/>
        <w:t>P.</w:t>
      </w:r>
      <w:r>
        <w:rPr>
          <w:spacing w:val="8"/>
        </w:rPr>
        <w:t> </w:t>
      </w:r>
      <w:r>
        <w:rPr/>
        <w:t>L.,</w:t>
      </w:r>
      <w:r>
        <w:rPr>
          <w:spacing w:val="8"/>
        </w:rPr>
        <w:t> </w:t>
      </w:r>
      <w:r>
        <w:rPr/>
        <w:t>Sacarlal,</w:t>
      </w:r>
      <w:r>
        <w:rPr>
          <w:spacing w:val="13"/>
        </w:rPr>
        <w:t> </w:t>
      </w:r>
      <w:r>
        <w:rPr/>
        <w:t>J.,</w:t>
      </w:r>
      <w:r>
        <w:rPr>
          <w:spacing w:val="8"/>
        </w:rPr>
        <w:t> </w:t>
      </w:r>
      <w:r>
        <w:rPr/>
        <w:t>Aponte,</w:t>
      </w:r>
      <w:r>
        <w:rPr>
          <w:spacing w:val="9"/>
        </w:rPr>
        <w:t> </w:t>
      </w:r>
      <w:r>
        <w:rPr/>
        <w:t>J.</w:t>
      </w:r>
      <w:r>
        <w:rPr>
          <w:spacing w:val="4"/>
        </w:rPr>
        <w:t> </w:t>
      </w:r>
      <w:r>
        <w:rPr/>
        <w:t>J.,</w:t>
      </w:r>
      <w:r>
        <w:rPr>
          <w:spacing w:val="5"/>
        </w:rPr>
        <w:t> </w:t>
      </w:r>
      <w:r>
        <w:rPr/>
        <w:t>Leach,</w:t>
      </w:r>
      <w:r>
        <w:rPr>
          <w:spacing w:val="8"/>
        </w:rPr>
        <w:t> </w:t>
      </w:r>
      <w:r>
        <w:rPr/>
        <w:t>A.,</w:t>
      </w:r>
      <w:r>
        <w:rPr>
          <w:spacing w:val="8"/>
        </w:rPr>
        <w:t> </w:t>
      </w:r>
      <w:r>
        <w:rPr/>
        <w:t>Macete,</w:t>
      </w:r>
      <w:r>
        <w:rPr>
          <w:spacing w:val="5"/>
        </w:rPr>
        <w:t> </w:t>
      </w:r>
      <w:r>
        <w:rPr/>
        <w:t>E.,</w:t>
      </w:r>
      <w:r>
        <w:rPr>
          <w:spacing w:val="8"/>
        </w:rPr>
        <w:t> </w:t>
      </w:r>
      <w:r>
        <w:rPr/>
        <w:t>Milman,</w:t>
      </w:r>
      <w:r>
        <w:rPr>
          <w:spacing w:val="8"/>
        </w:rPr>
        <w:t> </w:t>
      </w:r>
      <w:r>
        <w:rPr/>
        <w:t>J.,</w:t>
      </w:r>
      <w:r>
        <w:rPr>
          <w:spacing w:val="9"/>
        </w:rPr>
        <w:t> </w:t>
      </w:r>
      <w:r>
        <w:rPr/>
        <w:t>...</w:t>
      </w:r>
      <w:r>
        <w:rPr>
          <w:spacing w:val="8"/>
        </w:rPr>
        <w:t> </w:t>
      </w:r>
      <w:r>
        <w:rPr/>
        <w:t>and</w:t>
      </w:r>
      <w:r>
        <w:rPr>
          <w:spacing w:val="6"/>
        </w:rPr>
        <w:t> </w:t>
      </w:r>
      <w:r>
        <w:rPr/>
        <w:t>Bassat,</w:t>
      </w:r>
    </w:p>
    <w:p>
      <w:pPr>
        <w:pStyle w:val="BodyText"/>
        <w:spacing w:before="2"/>
        <w:ind w:left="1033" w:right="688"/>
        <w:jc w:val="both"/>
      </w:pPr>
      <w:r>
        <w:rPr/>
        <w:t>Q. (2004). Efficacy of the RTS, S/AS02A vaccine against </w:t>
      </w:r>
      <w:r>
        <w:rPr>
          <w:i/>
        </w:rPr>
        <w:t>Plasmodium falciparum</w:t>
      </w:r>
      <w:r>
        <w:rPr>
          <w:i/>
          <w:spacing w:val="1"/>
        </w:rPr>
        <w:t> </w:t>
      </w:r>
      <w:r>
        <w:rPr/>
        <w:t>infection and disease in young African children: randomized controlled trial.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Lancet</w:t>
      </w:r>
      <w:r>
        <w:rPr/>
        <w:t>,</w:t>
      </w:r>
      <w:r>
        <w:rPr>
          <w:spacing w:val="3"/>
        </w:rPr>
        <w:t> </w:t>
      </w:r>
      <w:r>
        <w:rPr>
          <w:i/>
        </w:rPr>
        <w:t>364</w:t>
      </w:r>
      <w:r>
        <w:rPr/>
        <w:t>(9443),1411-1420.</w:t>
      </w:r>
    </w:p>
    <w:p>
      <w:pPr>
        <w:pStyle w:val="BodyText"/>
        <w:spacing w:before="1"/>
      </w:pPr>
    </w:p>
    <w:p>
      <w:pPr>
        <w:spacing w:line="240" w:lineRule="auto" w:before="0"/>
        <w:ind w:left="1033" w:right="685" w:hanging="721"/>
        <w:jc w:val="both"/>
        <w:rPr>
          <w:sz w:val="24"/>
        </w:rPr>
      </w:pPr>
      <w:r>
        <w:rPr>
          <w:sz w:val="24"/>
        </w:rPr>
        <w:t>Ashley, E. A., Dhorda, M., Fairhurst, R. M., Amaratunga, C., Lim, P., Suon, S., ... &amp;</w:t>
      </w:r>
      <w:r>
        <w:rPr>
          <w:spacing w:val="1"/>
          <w:sz w:val="24"/>
        </w:rPr>
        <w:t> </w:t>
      </w:r>
      <w:r>
        <w:rPr>
          <w:sz w:val="24"/>
        </w:rPr>
        <w:t>Sopha,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1"/>
          <w:sz w:val="24"/>
        </w:rPr>
        <w:t> </w:t>
      </w:r>
      <w:r>
        <w:rPr>
          <w:sz w:val="24"/>
        </w:rPr>
        <w:t>(2014).</w:t>
      </w:r>
      <w:r>
        <w:rPr>
          <w:spacing w:val="1"/>
          <w:sz w:val="24"/>
        </w:rPr>
        <w:t> </w:t>
      </w:r>
      <w:r>
        <w:rPr>
          <w:sz w:val="24"/>
        </w:rPr>
        <w:t>Spread</w:t>
      </w:r>
      <w:r>
        <w:rPr>
          <w:spacing w:val="1"/>
          <w:sz w:val="24"/>
        </w:rPr>
        <w:t> </w:t>
      </w:r>
      <w:r>
        <w:rPr>
          <w:sz w:val="24"/>
        </w:rPr>
        <w:t>of artemisinin</w:t>
      </w:r>
      <w:r>
        <w:rPr>
          <w:spacing w:val="1"/>
          <w:sz w:val="24"/>
        </w:rPr>
        <w:t> </w:t>
      </w:r>
      <w:r>
        <w:rPr>
          <w:sz w:val="24"/>
        </w:rPr>
        <w:t>resistance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</w:t>
      </w:r>
      <w:r>
        <w:rPr>
          <w:i/>
          <w:spacing w:val="1"/>
          <w:sz w:val="24"/>
        </w:rPr>
        <w:t> </w:t>
      </w:r>
      <w:r>
        <w:rPr>
          <w:sz w:val="24"/>
        </w:rPr>
        <w:t>malaria.</w:t>
      </w:r>
      <w:r>
        <w:rPr>
          <w:spacing w:val="4"/>
          <w:sz w:val="24"/>
        </w:rPr>
        <w:t> </w:t>
      </w:r>
      <w:r>
        <w:rPr>
          <w:i/>
          <w:sz w:val="24"/>
        </w:rPr>
        <w:t>New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England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Medicine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371</w:t>
      </w:r>
      <w:r>
        <w:rPr>
          <w:sz w:val="24"/>
        </w:rPr>
        <w:t>(5),</w:t>
      </w:r>
      <w:r>
        <w:rPr>
          <w:spacing w:val="3"/>
          <w:sz w:val="24"/>
        </w:rPr>
        <w:t> </w:t>
      </w:r>
      <w:r>
        <w:rPr>
          <w:sz w:val="24"/>
        </w:rPr>
        <w:t>411-423.</w:t>
      </w:r>
    </w:p>
    <w:p>
      <w:pPr>
        <w:pStyle w:val="BodyText"/>
        <w:spacing w:before="5"/>
      </w:pPr>
    </w:p>
    <w:p>
      <w:pPr>
        <w:pStyle w:val="BodyText"/>
        <w:ind w:left="312"/>
        <w:jc w:val="both"/>
      </w:pPr>
      <w:r>
        <w:rPr/>
        <w:t>Asojo,</w:t>
      </w:r>
      <w:r>
        <w:rPr>
          <w:spacing w:val="18"/>
        </w:rPr>
        <w:t> </w:t>
      </w:r>
      <w:r>
        <w:rPr/>
        <w:t>O.</w:t>
      </w:r>
      <w:r>
        <w:rPr>
          <w:spacing w:val="19"/>
        </w:rPr>
        <w:t> </w:t>
      </w:r>
      <w:r>
        <w:rPr/>
        <w:t>A.,</w:t>
      </w:r>
      <w:r>
        <w:rPr>
          <w:spacing w:val="18"/>
        </w:rPr>
        <w:t> </w:t>
      </w:r>
      <w:r>
        <w:rPr/>
        <w:t>Gulnik,</w:t>
      </w:r>
      <w:r>
        <w:rPr>
          <w:spacing w:val="19"/>
        </w:rPr>
        <w:t> </w:t>
      </w:r>
      <w:r>
        <w:rPr/>
        <w:t>S.</w:t>
      </w:r>
      <w:r>
        <w:rPr>
          <w:spacing w:val="19"/>
        </w:rPr>
        <w:t> </w:t>
      </w:r>
      <w:r>
        <w:rPr/>
        <w:t>V.,</w:t>
      </w:r>
      <w:r>
        <w:rPr>
          <w:spacing w:val="18"/>
        </w:rPr>
        <w:t> </w:t>
      </w:r>
      <w:r>
        <w:rPr/>
        <w:t>Afonina,</w:t>
      </w:r>
      <w:r>
        <w:rPr>
          <w:spacing w:val="19"/>
        </w:rPr>
        <w:t> </w:t>
      </w:r>
      <w:r>
        <w:rPr/>
        <w:t>E.,</w:t>
      </w:r>
      <w:r>
        <w:rPr>
          <w:spacing w:val="19"/>
        </w:rPr>
        <w:t> </w:t>
      </w:r>
      <w:r>
        <w:rPr/>
        <w:t>Yu,</w:t>
      </w:r>
      <w:r>
        <w:rPr>
          <w:spacing w:val="18"/>
        </w:rPr>
        <w:t> </w:t>
      </w:r>
      <w:r>
        <w:rPr/>
        <w:t>B.,</w:t>
      </w:r>
      <w:r>
        <w:rPr>
          <w:spacing w:val="14"/>
        </w:rPr>
        <w:t> </w:t>
      </w:r>
      <w:r>
        <w:rPr/>
        <w:t>Ellman,</w:t>
      </w:r>
      <w:r>
        <w:rPr>
          <w:spacing w:val="19"/>
        </w:rPr>
        <w:t> </w:t>
      </w:r>
      <w:r>
        <w:rPr/>
        <w:t>J.</w:t>
      </w:r>
      <w:r>
        <w:rPr>
          <w:spacing w:val="34"/>
        </w:rPr>
        <w:t> </w:t>
      </w:r>
      <w:r>
        <w:rPr/>
        <w:t>A.,</w:t>
      </w:r>
      <w:r>
        <w:rPr>
          <w:spacing w:val="18"/>
        </w:rPr>
        <w:t> </w:t>
      </w:r>
      <w:r>
        <w:rPr/>
        <w:t>Haque,</w:t>
      </w:r>
      <w:r>
        <w:rPr>
          <w:spacing w:val="19"/>
        </w:rPr>
        <w:t> </w:t>
      </w:r>
      <w:r>
        <w:rPr/>
        <w:t>T.</w:t>
      </w:r>
      <w:r>
        <w:rPr>
          <w:spacing w:val="19"/>
        </w:rPr>
        <w:t> </w:t>
      </w:r>
      <w:r>
        <w:rPr/>
        <w:t>S.,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Silva,</w:t>
      </w:r>
    </w:p>
    <w:p>
      <w:pPr>
        <w:spacing w:line="240" w:lineRule="auto" w:before="2"/>
        <w:ind w:left="1033" w:right="685" w:firstLine="0"/>
        <w:jc w:val="both"/>
        <w:rPr>
          <w:sz w:val="24"/>
        </w:rPr>
      </w:pPr>
      <w:r>
        <w:rPr>
          <w:sz w:val="24"/>
        </w:rPr>
        <w:t>A.M. (2003). Novel uncomplexed and complexed structures of plasmepsin II; an</w:t>
      </w:r>
      <w:r>
        <w:rPr>
          <w:spacing w:val="1"/>
          <w:sz w:val="24"/>
        </w:rPr>
        <w:t> </w:t>
      </w:r>
      <w:r>
        <w:rPr>
          <w:sz w:val="24"/>
        </w:rPr>
        <w:t>aspartic</w:t>
      </w:r>
      <w:r>
        <w:rPr>
          <w:spacing w:val="1"/>
          <w:sz w:val="24"/>
        </w:rPr>
        <w:t> </w:t>
      </w:r>
      <w:r>
        <w:rPr>
          <w:sz w:val="24"/>
        </w:rPr>
        <w:t>protease</w:t>
      </w:r>
      <w:r>
        <w:rPr>
          <w:spacing w:val="1"/>
          <w:sz w:val="24"/>
        </w:rPr>
        <w:t> </w:t>
      </w:r>
      <w:r>
        <w:rPr>
          <w:sz w:val="24"/>
        </w:rPr>
        <w:t>from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Molecular Biology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327</w:t>
      </w:r>
      <w:r>
        <w:rPr>
          <w:sz w:val="24"/>
        </w:rPr>
        <w:t>(1),173-181.</w:t>
      </w:r>
    </w:p>
    <w:p>
      <w:pPr>
        <w:pStyle w:val="BodyText"/>
        <w:spacing w:before="1"/>
      </w:pPr>
    </w:p>
    <w:p>
      <w:pPr>
        <w:spacing w:line="242" w:lineRule="auto" w:before="0"/>
        <w:ind w:left="1033" w:right="691" w:hanging="721"/>
        <w:jc w:val="both"/>
        <w:rPr>
          <w:sz w:val="24"/>
        </w:rPr>
      </w:pPr>
      <w:r>
        <w:rPr>
          <w:sz w:val="24"/>
        </w:rPr>
        <w:t>Avupati, V. R., and Yejella, R. P. (2014). Chalcones: A mini review. </w:t>
      </w:r>
      <w:r>
        <w:rPr>
          <w:i/>
          <w:sz w:val="24"/>
        </w:rPr>
        <w:t>World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Pharmaceutical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278</w:t>
      </w:r>
      <w:r>
        <w:rPr>
          <w:sz w:val="24"/>
        </w:rPr>
        <w:t>.</w:t>
      </w:r>
    </w:p>
    <w:p>
      <w:pPr>
        <w:pStyle w:val="BodyText"/>
        <w:spacing w:before="2"/>
      </w:pPr>
    </w:p>
    <w:p>
      <w:pPr>
        <w:pStyle w:val="BodyText"/>
        <w:ind w:left="1033" w:right="688" w:hanging="721"/>
        <w:jc w:val="both"/>
      </w:pPr>
      <w:r>
        <w:rPr/>
        <w:t>Baelmans, R., Deharo, E., Munoz, V., Sauvain, M.,and Ginsburg, H.(2000). Experimental</w:t>
      </w:r>
      <w:r>
        <w:rPr>
          <w:spacing w:val="1"/>
        </w:rPr>
        <w:t> </w:t>
      </w:r>
      <w:r>
        <w:rPr/>
        <w:t>conditions for testing the inhibitory activity of chloroquine on the formationof </w:t>
      </w:r>
      <w:r>
        <w:rPr>
          <w:i/>
        </w:rPr>
        <w:t>β-</w:t>
      </w:r>
      <w:r>
        <w:rPr>
          <w:i/>
          <w:spacing w:val="1"/>
        </w:rPr>
        <w:t> </w:t>
      </w:r>
      <w:r>
        <w:rPr/>
        <w:t>hematin.</w:t>
      </w:r>
      <w:r>
        <w:rPr>
          <w:spacing w:val="3"/>
        </w:rPr>
        <w:t> </w:t>
      </w:r>
      <w:r>
        <w:rPr>
          <w:i/>
        </w:rPr>
        <w:t>Experimental</w:t>
      </w:r>
      <w:r>
        <w:rPr>
          <w:i/>
          <w:spacing w:val="2"/>
        </w:rPr>
        <w:t> </w:t>
      </w:r>
      <w:r>
        <w:rPr>
          <w:i/>
        </w:rPr>
        <w:t>Parasitology</w:t>
      </w:r>
      <w:r>
        <w:rPr/>
        <w:t>,</w:t>
      </w:r>
      <w:r>
        <w:rPr>
          <w:spacing w:val="3"/>
        </w:rPr>
        <w:t> </w:t>
      </w:r>
      <w:r>
        <w:rPr>
          <w:i/>
        </w:rPr>
        <w:t>96</w:t>
      </w:r>
      <w:r>
        <w:rPr/>
        <w:t>(4),243-248.</w:t>
      </w:r>
    </w:p>
    <w:p>
      <w:pPr>
        <w:pStyle w:val="BodyText"/>
        <w:spacing w:before="9"/>
        <w:rPr>
          <w:sz w:val="38"/>
        </w:rPr>
      </w:pPr>
    </w:p>
    <w:p>
      <w:pPr>
        <w:spacing w:line="237" w:lineRule="auto" w:before="1"/>
        <w:ind w:left="1033" w:right="697" w:hanging="721"/>
        <w:jc w:val="both"/>
        <w:rPr>
          <w:sz w:val="24"/>
        </w:rPr>
      </w:pPr>
      <w:r>
        <w:rPr>
          <w:sz w:val="24"/>
        </w:rPr>
        <w:t>Baird,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K.</w:t>
      </w:r>
      <w:r>
        <w:rPr>
          <w:spacing w:val="1"/>
          <w:sz w:val="24"/>
        </w:rPr>
        <w:t> </w:t>
      </w:r>
      <w:r>
        <w:rPr>
          <w:sz w:val="24"/>
        </w:rPr>
        <w:t>(2005).</w:t>
      </w:r>
      <w:r>
        <w:rPr>
          <w:spacing w:val="1"/>
          <w:sz w:val="24"/>
        </w:rPr>
        <w:t> </w:t>
      </w:r>
      <w:r>
        <w:rPr>
          <w:sz w:val="24"/>
        </w:rPr>
        <w:t>Effectiveness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antimalarial</w:t>
      </w:r>
      <w:r>
        <w:rPr>
          <w:spacing w:val="1"/>
          <w:sz w:val="24"/>
        </w:rPr>
        <w:t> </w:t>
      </w:r>
      <w:r>
        <w:rPr>
          <w:sz w:val="24"/>
        </w:rPr>
        <w:t>drugs.</w:t>
      </w:r>
      <w:r>
        <w:rPr>
          <w:spacing w:val="1"/>
          <w:sz w:val="24"/>
        </w:rPr>
        <w:t> </w:t>
      </w:r>
      <w:r>
        <w:rPr>
          <w:i/>
          <w:sz w:val="24"/>
        </w:rPr>
        <w:t>New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Medicine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352</w:t>
      </w:r>
      <w:r>
        <w:rPr>
          <w:sz w:val="24"/>
        </w:rPr>
        <w:t>(15),1565-1577.</w:t>
      </w:r>
    </w:p>
    <w:p>
      <w:pPr>
        <w:spacing w:after="0" w:line="237" w:lineRule="auto"/>
        <w:jc w:val="both"/>
        <w:rPr>
          <w:sz w:val="24"/>
        </w:rPr>
        <w:sectPr>
          <w:headerReference w:type="default" r:id="rId435"/>
          <w:footerReference w:type="default" r:id="rId436"/>
          <w:pgSz w:w="11910" w:h="16840"/>
          <w:pgMar w:header="0" w:footer="2477" w:top="1200" w:bottom="2660" w:left="1560" w:right="600"/>
        </w:sectPr>
      </w:pPr>
    </w:p>
    <w:p>
      <w:pPr>
        <w:spacing w:line="240" w:lineRule="auto" w:before="63"/>
        <w:ind w:left="1033" w:right="694" w:hanging="721"/>
        <w:jc w:val="both"/>
        <w:rPr>
          <w:sz w:val="24"/>
        </w:rPr>
      </w:pPr>
      <w:r>
        <w:rPr>
          <w:sz w:val="24"/>
        </w:rPr>
        <w:t>Banerjee, R., Liu, J., Beatty, W., Pelosof, L., Klemba, M., and Goldberg, D. E. (2002).</w:t>
      </w:r>
      <w:r>
        <w:rPr>
          <w:spacing w:val="1"/>
          <w:sz w:val="24"/>
        </w:rPr>
        <w:t> </w:t>
      </w:r>
      <w:r>
        <w:rPr>
          <w:sz w:val="24"/>
        </w:rPr>
        <w:t>Four plasmepsins are active in the </w:t>
      </w:r>
      <w:r>
        <w:rPr>
          <w:i/>
          <w:sz w:val="24"/>
        </w:rPr>
        <w:t>Plasmodium falciparum </w:t>
      </w:r>
      <w:r>
        <w:rPr>
          <w:sz w:val="24"/>
        </w:rPr>
        <w:t>food vacuole, including</w:t>
      </w:r>
      <w:r>
        <w:rPr>
          <w:spacing w:val="-57"/>
          <w:sz w:val="24"/>
        </w:rPr>
        <w:t> </w:t>
      </w:r>
      <w:r>
        <w:rPr>
          <w:sz w:val="24"/>
        </w:rPr>
        <w:t>a protease with an active-site histidine. </w:t>
      </w:r>
      <w:r>
        <w:rPr>
          <w:i/>
          <w:sz w:val="24"/>
        </w:rPr>
        <w:t>Proceedings of the National Academy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99</w:t>
      </w:r>
      <w:r>
        <w:rPr>
          <w:sz w:val="24"/>
        </w:rPr>
        <w:t>(2),990-995.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312"/>
      </w:pPr>
      <w:r>
        <w:rPr/>
        <w:t>Bao,</w:t>
      </w:r>
      <w:r>
        <w:rPr>
          <w:spacing w:val="38"/>
        </w:rPr>
        <w:t> </w:t>
      </w:r>
      <w:r>
        <w:rPr/>
        <w:t>G.,</w:t>
      </w:r>
      <w:r>
        <w:rPr>
          <w:spacing w:val="38"/>
        </w:rPr>
        <w:t> </w:t>
      </w:r>
      <w:r>
        <w:rPr/>
        <w:t>and</w:t>
      </w:r>
      <w:r>
        <w:rPr>
          <w:spacing w:val="37"/>
        </w:rPr>
        <w:t> </w:t>
      </w:r>
      <w:r>
        <w:rPr/>
        <w:t>Suresh,</w:t>
      </w:r>
      <w:r>
        <w:rPr>
          <w:spacing w:val="39"/>
        </w:rPr>
        <w:t> </w:t>
      </w:r>
      <w:r>
        <w:rPr/>
        <w:t>S.</w:t>
      </w:r>
      <w:r>
        <w:rPr>
          <w:spacing w:val="38"/>
        </w:rPr>
        <w:t> </w:t>
      </w:r>
      <w:r>
        <w:rPr/>
        <w:t>(2003).</w:t>
      </w:r>
      <w:r>
        <w:rPr>
          <w:spacing w:val="44"/>
        </w:rPr>
        <w:t> </w:t>
      </w:r>
      <w:r>
        <w:rPr/>
        <w:t>Cell</w:t>
      </w:r>
      <w:r>
        <w:rPr>
          <w:spacing w:val="38"/>
        </w:rPr>
        <w:t> </w:t>
      </w:r>
      <w:r>
        <w:rPr/>
        <w:t>and</w:t>
      </w:r>
      <w:r>
        <w:rPr>
          <w:spacing w:val="41"/>
        </w:rPr>
        <w:t> </w:t>
      </w:r>
      <w:r>
        <w:rPr/>
        <w:t>molecular</w:t>
      </w:r>
      <w:r>
        <w:rPr>
          <w:spacing w:val="42"/>
        </w:rPr>
        <w:t> </w:t>
      </w:r>
      <w:r>
        <w:rPr/>
        <w:t>mechanics</w:t>
      </w:r>
      <w:r>
        <w:rPr>
          <w:spacing w:val="40"/>
        </w:rPr>
        <w:t> </w:t>
      </w:r>
      <w:r>
        <w:rPr/>
        <w:t>of</w:t>
      </w:r>
      <w:r>
        <w:rPr>
          <w:spacing w:val="34"/>
        </w:rPr>
        <w:t> </w:t>
      </w:r>
      <w:r>
        <w:rPr/>
        <w:t>biological</w:t>
      </w:r>
      <w:r>
        <w:rPr>
          <w:spacing w:val="39"/>
        </w:rPr>
        <w:t> </w:t>
      </w:r>
      <w:r>
        <w:rPr/>
        <w:t>materials.</w:t>
      </w:r>
    </w:p>
    <w:p>
      <w:pPr>
        <w:spacing w:before="2"/>
        <w:ind w:left="1033" w:right="0" w:firstLine="0"/>
        <w:jc w:val="left"/>
        <w:rPr>
          <w:sz w:val="24"/>
        </w:rPr>
      </w:pPr>
      <w:r>
        <w:rPr>
          <w:i/>
          <w:sz w:val="24"/>
        </w:rPr>
        <w:t>Nature Materials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2</w:t>
      </w:r>
      <w:r>
        <w:rPr>
          <w:sz w:val="24"/>
        </w:rPr>
        <w:t>(11),715</w:t>
      </w:r>
    </w:p>
    <w:p>
      <w:pPr>
        <w:pStyle w:val="BodyText"/>
        <w:spacing w:before="5"/>
      </w:pPr>
    </w:p>
    <w:p>
      <w:pPr>
        <w:pStyle w:val="BodyText"/>
        <w:spacing w:before="1"/>
        <w:ind w:left="1033" w:right="695" w:hanging="721"/>
        <w:jc w:val="both"/>
      </w:pPr>
      <w:r>
        <w:rPr/>
        <w:t>Best, R. B., Zhu, X., Shim, J., Lopes, P. E., Mittal, J., Feig, M., and MacKerell Jr, A. D.</w:t>
      </w:r>
      <w:r>
        <w:rPr>
          <w:spacing w:val="1"/>
        </w:rPr>
        <w:t> </w:t>
      </w:r>
      <w:r>
        <w:rPr/>
        <w:t>(2012).Optimization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additive</w:t>
      </w:r>
      <w:r>
        <w:rPr>
          <w:spacing w:val="1"/>
        </w:rPr>
        <w:t> </w:t>
      </w:r>
      <w:r>
        <w:rPr/>
        <w:t>CHARMM</w:t>
      </w:r>
      <w:r>
        <w:rPr>
          <w:spacing w:val="1"/>
        </w:rPr>
        <w:t> </w:t>
      </w:r>
      <w:r>
        <w:rPr/>
        <w:t>all-atom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force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targeting</w:t>
      </w:r>
      <w:r>
        <w:rPr>
          <w:spacing w:val="1"/>
        </w:rPr>
        <w:t> </w:t>
      </w:r>
      <w:r>
        <w:rPr/>
        <w:t>improved</w:t>
      </w:r>
      <w:r>
        <w:rPr>
          <w:spacing w:val="1"/>
        </w:rPr>
        <w:t> </w:t>
      </w:r>
      <w:r>
        <w:rPr/>
        <w:t>sampling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backbone</w:t>
      </w:r>
      <w:r>
        <w:rPr>
          <w:spacing w:val="1"/>
        </w:rPr>
        <w:t> </w:t>
      </w:r>
      <w:r>
        <w:rPr/>
        <w:t>ϕ,</w:t>
      </w:r>
      <w:r>
        <w:rPr>
          <w:spacing w:val="1"/>
        </w:rPr>
        <w:t> </w:t>
      </w:r>
      <w:r>
        <w:rPr/>
        <w:t>ψ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side-chain</w:t>
      </w:r>
      <w:r>
        <w:rPr>
          <w:spacing w:val="1"/>
        </w:rPr>
        <w:t> </w:t>
      </w:r>
      <w:r>
        <w:rPr/>
        <w:t>χ1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χ2</w:t>
      </w:r>
      <w:r>
        <w:rPr>
          <w:spacing w:val="1"/>
        </w:rPr>
        <w:t> </w:t>
      </w:r>
      <w:r>
        <w:rPr/>
        <w:t>dihedral</w:t>
      </w:r>
      <w:r>
        <w:rPr>
          <w:spacing w:val="-9"/>
        </w:rPr>
        <w:t> </w:t>
      </w:r>
      <w:r>
        <w:rPr/>
        <w:t>angles.</w:t>
      </w:r>
      <w:r>
        <w:rPr>
          <w:spacing w:val="5"/>
        </w:rPr>
        <w:t> </w:t>
      </w:r>
      <w:r>
        <w:rPr>
          <w:i/>
          <w:iCs/>
        </w:rPr>
        <w:t>Journal</w:t>
      </w:r>
      <w:r>
        <w:rPr>
          <w:i/>
          <w:iCs/>
          <w:spacing w:val="1"/>
        </w:rPr>
        <w:t> </w:t>
      </w:r>
      <w:r>
        <w:rPr>
          <w:i/>
          <w:iCs/>
        </w:rPr>
        <w:t>of Chemical Theory and</w:t>
      </w:r>
      <w:r>
        <w:rPr>
          <w:i/>
          <w:iCs/>
          <w:spacing w:val="-5"/>
        </w:rPr>
        <w:t> </w:t>
      </w:r>
      <w:r>
        <w:rPr>
          <w:i/>
          <w:iCs/>
        </w:rPr>
        <w:t>Computation</w:t>
      </w:r>
      <w:r>
        <w:rPr/>
        <w:t>.</w:t>
      </w:r>
      <w:r>
        <w:rPr>
          <w:spacing w:val="2"/>
        </w:rPr>
        <w:t> </w:t>
      </w:r>
      <w:r>
        <w:rPr>
          <w:i/>
          <w:iCs/>
        </w:rPr>
        <w:t>8</w:t>
      </w:r>
      <w:r>
        <w:rPr/>
        <w:t>(9),3257-3273.</w:t>
      </w:r>
    </w:p>
    <w:p>
      <w:pPr>
        <w:pStyle w:val="BodyText"/>
        <w:spacing w:before="7"/>
      </w:pPr>
    </w:p>
    <w:p>
      <w:pPr>
        <w:spacing w:line="240" w:lineRule="auto" w:before="0"/>
        <w:ind w:left="1033" w:right="691" w:hanging="721"/>
        <w:jc w:val="both"/>
        <w:rPr>
          <w:sz w:val="24"/>
        </w:rPr>
      </w:pPr>
      <w:r>
        <w:rPr>
          <w:sz w:val="24"/>
        </w:rPr>
        <w:t>Bhattacharya, A., Mishra, L. C., Sharma, M., Awasthi, S. K., and Bhasin, V. K. (2009).</w:t>
      </w:r>
      <w:r>
        <w:rPr>
          <w:spacing w:val="1"/>
          <w:sz w:val="24"/>
        </w:rPr>
        <w:t> </w:t>
      </w:r>
      <w:r>
        <w:rPr>
          <w:sz w:val="24"/>
        </w:rPr>
        <w:t>Antimalarial</w:t>
      </w:r>
      <w:r>
        <w:rPr>
          <w:spacing w:val="1"/>
          <w:sz w:val="24"/>
        </w:rPr>
        <w:t> </w:t>
      </w:r>
      <w:r>
        <w:rPr>
          <w:sz w:val="24"/>
        </w:rPr>
        <w:t>pharmacodynamics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chalcone</w:t>
      </w:r>
      <w:r>
        <w:rPr>
          <w:spacing w:val="1"/>
          <w:sz w:val="24"/>
        </w:rPr>
        <w:t> </w:t>
      </w:r>
      <w:r>
        <w:rPr>
          <w:sz w:val="24"/>
        </w:rPr>
        <w:t>derivatives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combination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artemisinin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vitro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i/>
          <w:sz w:val="24"/>
        </w:rPr>
        <w:t>European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44</w:t>
      </w:r>
      <w:r>
        <w:rPr>
          <w:sz w:val="24"/>
        </w:rPr>
        <w:t>(9),3388-3393.</w:t>
      </w:r>
    </w:p>
    <w:p>
      <w:pPr>
        <w:pStyle w:val="BodyText"/>
        <w:spacing w:before="8"/>
      </w:pPr>
    </w:p>
    <w:p>
      <w:pPr>
        <w:spacing w:line="240" w:lineRule="auto" w:before="0"/>
        <w:ind w:left="1033" w:right="686" w:hanging="721"/>
        <w:jc w:val="both"/>
        <w:rPr>
          <w:sz w:val="24"/>
        </w:rPr>
      </w:pPr>
      <w:r>
        <w:rPr>
          <w:sz w:val="24"/>
        </w:rPr>
        <w:t>Biagini, G. A., Viriyavejakul, P., O'Neill, P. M., Bray, P. G., and Ward, S. A. (2006).</w:t>
      </w:r>
      <w:r>
        <w:rPr>
          <w:spacing w:val="1"/>
          <w:sz w:val="24"/>
        </w:rPr>
        <w:t> </w:t>
      </w:r>
      <w:r>
        <w:rPr>
          <w:sz w:val="24"/>
        </w:rPr>
        <w:t>Functional</w:t>
      </w:r>
      <w:r>
        <w:rPr>
          <w:spacing w:val="1"/>
          <w:sz w:val="24"/>
        </w:rPr>
        <w:t> </w:t>
      </w:r>
      <w:r>
        <w:rPr>
          <w:sz w:val="24"/>
        </w:rPr>
        <w:t>characterization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target</w:t>
      </w:r>
      <w:r>
        <w:rPr>
          <w:spacing w:val="1"/>
          <w:sz w:val="24"/>
        </w:rPr>
        <w:t> </w:t>
      </w:r>
      <w:r>
        <w:rPr>
          <w:sz w:val="24"/>
        </w:rPr>
        <w:t>validation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alternative</w:t>
      </w:r>
      <w:r>
        <w:rPr>
          <w:spacing w:val="1"/>
          <w:sz w:val="24"/>
        </w:rPr>
        <w:t> </w:t>
      </w:r>
      <w:r>
        <w:rPr>
          <w:sz w:val="24"/>
        </w:rPr>
        <w:t>complex</w:t>
      </w:r>
      <w:r>
        <w:rPr>
          <w:spacing w:val="1"/>
          <w:sz w:val="24"/>
        </w:rPr>
        <w:t> </w:t>
      </w:r>
      <w:r>
        <w:rPr>
          <w:sz w:val="24"/>
        </w:rPr>
        <w:t>I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</w:t>
      </w:r>
      <w:r>
        <w:rPr>
          <w:sz w:val="24"/>
        </w:rPr>
        <w:t>mitochondria.</w:t>
      </w:r>
      <w:r>
        <w:rPr>
          <w:i/>
          <w:sz w:val="24"/>
        </w:rPr>
        <w:t>Antimicrobial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Agents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Chemotherapy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50</w:t>
      </w:r>
      <w:r>
        <w:rPr>
          <w:sz w:val="24"/>
        </w:rPr>
        <w:t>(5),1841-1851.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1033" w:right="695" w:hanging="721"/>
        <w:jc w:val="both"/>
      </w:pPr>
      <w:r>
        <w:rPr/>
        <w:t>Bjelic, S., Nervall, M., Gutiérrez-de-Terán, H., Ersmark, K., Hallberg, A., and Åqvist, J.</w:t>
      </w:r>
      <w:r>
        <w:rPr>
          <w:spacing w:val="1"/>
        </w:rPr>
        <w:t> </w:t>
      </w:r>
      <w:r>
        <w:rPr/>
        <w:t>(2007). Computational inhibitor design against malaria plasmepsins. </w:t>
      </w:r>
      <w:r>
        <w:rPr>
          <w:i/>
        </w:rPr>
        <w:t>Cellular and</w:t>
      </w:r>
      <w:r>
        <w:rPr>
          <w:i/>
          <w:spacing w:val="1"/>
        </w:rPr>
        <w:t> </w:t>
      </w:r>
      <w:r>
        <w:rPr>
          <w:i/>
        </w:rPr>
        <w:t>Molecular</w:t>
      </w:r>
      <w:r>
        <w:rPr>
          <w:i/>
          <w:spacing w:val="-1"/>
        </w:rPr>
        <w:t> </w:t>
      </w:r>
      <w:r>
        <w:rPr>
          <w:i/>
        </w:rPr>
        <w:t>Life</w:t>
      </w:r>
      <w:r>
        <w:rPr>
          <w:i/>
          <w:spacing w:val="1"/>
        </w:rPr>
        <w:t> </w:t>
      </w:r>
      <w:r>
        <w:rPr>
          <w:i/>
        </w:rPr>
        <w:t>Sciences</w:t>
      </w:r>
      <w:r>
        <w:rPr/>
        <w:t>,</w:t>
      </w:r>
      <w:r>
        <w:rPr>
          <w:spacing w:val="4"/>
        </w:rPr>
        <w:t> </w:t>
      </w:r>
      <w:r>
        <w:rPr>
          <w:i/>
        </w:rPr>
        <w:t>64</w:t>
      </w:r>
      <w:r>
        <w:rPr/>
        <w:t>(17),2285-2305.</w:t>
      </w:r>
    </w:p>
    <w:p>
      <w:pPr>
        <w:pStyle w:val="BodyText"/>
        <w:spacing w:before="10"/>
      </w:pPr>
    </w:p>
    <w:p>
      <w:pPr>
        <w:pStyle w:val="BodyText"/>
        <w:spacing w:line="275" w:lineRule="exact"/>
        <w:ind w:left="312"/>
      </w:pPr>
      <w:r>
        <w:rPr/>
        <w:t>Blackman,</w:t>
      </w:r>
      <w:r>
        <w:rPr>
          <w:spacing w:val="-1"/>
        </w:rPr>
        <w:t> </w:t>
      </w:r>
      <w:r>
        <w:rPr/>
        <w:t>M.</w:t>
      </w:r>
      <w:r>
        <w:rPr>
          <w:spacing w:val="-1"/>
        </w:rPr>
        <w:t> </w:t>
      </w:r>
      <w:r>
        <w:rPr/>
        <w:t>J.</w:t>
      </w:r>
      <w:r>
        <w:rPr>
          <w:spacing w:val="-6"/>
        </w:rPr>
        <w:t> </w:t>
      </w:r>
      <w:r>
        <w:rPr/>
        <w:t>(2008).</w:t>
      </w:r>
      <w:r>
        <w:rPr>
          <w:spacing w:val="-6"/>
        </w:rPr>
        <w:t> </w:t>
      </w:r>
      <w:r>
        <w:rPr/>
        <w:t>Malarial</w:t>
      </w:r>
      <w:r>
        <w:rPr>
          <w:spacing w:val="28"/>
        </w:rPr>
        <w:t> </w:t>
      </w:r>
      <w:r>
        <w:rPr/>
        <w:t>proteases</w:t>
      </w:r>
      <w:r>
        <w:rPr>
          <w:spacing w:val="26"/>
        </w:rPr>
        <w:t> </w:t>
      </w:r>
      <w:r>
        <w:rPr/>
        <w:t>and</w:t>
      </w:r>
      <w:r>
        <w:rPr>
          <w:spacing w:val="37"/>
        </w:rPr>
        <w:t> </w:t>
      </w:r>
      <w:r>
        <w:rPr/>
        <w:t>host</w:t>
      </w:r>
      <w:r>
        <w:rPr>
          <w:spacing w:val="32"/>
        </w:rPr>
        <w:t> </w:t>
      </w:r>
      <w:r>
        <w:rPr/>
        <w:t>cell</w:t>
      </w:r>
      <w:r>
        <w:rPr>
          <w:spacing w:val="24"/>
        </w:rPr>
        <w:t> </w:t>
      </w:r>
      <w:r>
        <w:rPr/>
        <w:t>egress:</w:t>
      </w:r>
      <w:r>
        <w:rPr>
          <w:spacing w:val="33"/>
        </w:rPr>
        <w:t> </w:t>
      </w:r>
      <w:r>
        <w:rPr/>
        <w:t>an</w:t>
      </w:r>
      <w:r>
        <w:rPr>
          <w:spacing w:val="28"/>
        </w:rPr>
        <w:t> </w:t>
      </w:r>
      <w:r>
        <w:rPr/>
        <w:t>‗emerging‘</w:t>
      </w:r>
      <w:r>
        <w:rPr>
          <w:spacing w:val="30"/>
        </w:rPr>
        <w:t> </w:t>
      </w:r>
      <w:r>
        <w:rPr/>
        <w:t>cascade.</w:t>
      </w:r>
    </w:p>
    <w:p>
      <w:pPr>
        <w:spacing w:line="275" w:lineRule="exact" w:before="0"/>
        <w:ind w:left="1033" w:right="0" w:firstLine="0"/>
        <w:jc w:val="left"/>
        <w:rPr>
          <w:sz w:val="24"/>
        </w:rPr>
      </w:pPr>
      <w:r>
        <w:rPr>
          <w:i/>
          <w:sz w:val="24"/>
        </w:rPr>
        <w:t>Cellular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Microbiology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i/>
          <w:sz w:val="24"/>
        </w:rPr>
        <w:t>10</w:t>
      </w:r>
      <w:r>
        <w:rPr>
          <w:sz w:val="24"/>
        </w:rPr>
        <w:t>(10),</w:t>
      </w:r>
      <w:r>
        <w:rPr>
          <w:spacing w:val="1"/>
          <w:sz w:val="24"/>
        </w:rPr>
        <w:t> </w:t>
      </w:r>
      <w:r>
        <w:rPr>
          <w:sz w:val="24"/>
        </w:rPr>
        <w:t>1925-1934.</w:t>
      </w:r>
    </w:p>
    <w:p>
      <w:pPr>
        <w:pStyle w:val="BodyText"/>
        <w:spacing w:before="3"/>
        <w:rPr>
          <w:sz w:val="30"/>
        </w:rPr>
      </w:pPr>
    </w:p>
    <w:p>
      <w:pPr>
        <w:spacing w:line="242" w:lineRule="auto" w:before="0"/>
        <w:ind w:left="1033" w:right="690" w:hanging="721"/>
        <w:jc w:val="both"/>
        <w:rPr>
          <w:sz w:val="24"/>
        </w:rPr>
      </w:pPr>
      <w:r>
        <w:rPr>
          <w:sz w:val="24"/>
        </w:rPr>
        <w:t>Bonilla, J. A., Bonilla, T. D., Yowell, C. A., Fujioka, H., and Dame, J. B. (2007). Critical</w:t>
      </w:r>
      <w:r>
        <w:rPr>
          <w:spacing w:val="1"/>
          <w:sz w:val="24"/>
        </w:rPr>
        <w:t> </w:t>
      </w:r>
      <w:r>
        <w:rPr>
          <w:sz w:val="24"/>
        </w:rPr>
        <w:t>roles for the digestive vacuole plasmepsins of </w:t>
      </w:r>
      <w:r>
        <w:rPr>
          <w:i/>
          <w:sz w:val="24"/>
        </w:rPr>
        <w:t>Plasmodium falciparum </w:t>
      </w:r>
      <w:r>
        <w:rPr>
          <w:sz w:val="24"/>
        </w:rPr>
        <w:t>in vacuolar</w:t>
      </w:r>
      <w:r>
        <w:rPr>
          <w:spacing w:val="1"/>
          <w:sz w:val="24"/>
        </w:rPr>
        <w:t> </w:t>
      </w:r>
      <w:r>
        <w:rPr>
          <w:sz w:val="24"/>
        </w:rPr>
        <w:t>function.</w:t>
      </w:r>
      <w:r>
        <w:rPr>
          <w:spacing w:val="4"/>
          <w:sz w:val="24"/>
        </w:rPr>
        <w:t> </w:t>
      </w:r>
      <w:r>
        <w:rPr>
          <w:i/>
          <w:sz w:val="24"/>
        </w:rPr>
        <w:t>Molecular Microbiology</w:t>
      </w:r>
      <w:r>
        <w:rPr>
          <w:sz w:val="24"/>
        </w:rPr>
        <w:t>, </w:t>
      </w:r>
      <w:r>
        <w:rPr>
          <w:i/>
          <w:sz w:val="24"/>
        </w:rPr>
        <w:t>65</w:t>
      </w:r>
      <w:r>
        <w:rPr>
          <w:sz w:val="24"/>
        </w:rPr>
        <w:t>(1),</w:t>
      </w:r>
      <w:r>
        <w:rPr>
          <w:spacing w:val="3"/>
          <w:sz w:val="24"/>
        </w:rPr>
        <w:t> </w:t>
      </w:r>
      <w:r>
        <w:rPr>
          <w:sz w:val="24"/>
        </w:rPr>
        <w:t>64-75.</w:t>
      </w:r>
    </w:p>
    <w:p>
      <w:pPr>
        <w:pStyle w:val="BodyText"/>
        <w:spacing w:before="2"/>
      </w:pPr>
    </w:p>
    <w:p>
      <w:pPr>
        <w:pStyle w:val="BodyText"/>
        <w:ind w:left="1033" w:right="688" w:hanging="721"/>
        <w:jc w:val="both"/>
      </w:pPr>
      <w:r>
        <w:rPr/>
        <w:t>Carrara, V. I., Lwin, K. M., Phyo, A. P., Ashley, E., Wiladphaingern, J., Sriprawat, K., ...</w:t>
      </w:r>
      <w:r>
        <w:rPr>
          <w:spacing w:val="1"/>
        </w:rPr>
        <w:t> </w:t>
      </w:r>
      <w:r>
        <w:rPr/>
        <w:t>and Chu, C. (2013). Malaria burden and artemisinin resistance in the mobile and</w:t>
      </w:r>
      <w:r>
        <w:rPr>
          <w:spacing w:val="1"/>
        </w:rPr>
        <w:t> </w:t>
      </w:r>
      <w:r>
        <w:rPr/>
        <w:t>migrant population on the Thai–Myanmar border, 1999–2011: an observational</w:t>
      </w:r>
      <w:r>
        <w:rPr>
          <w:spacing w:val="1"/>
        </w:rPr>
        <w:t> </w:t>
      </w:r>
      <w:r>
        <w:rPr/>
        <w:t>study.</w:t>
      </w:r>
      <w:r>
        <w:rPr>
          <w:spacing w:val="4"/>
        </w:rPr>
        <w:t> </w:t>
      </w:r>
      <w:r>
        <w:rPr>
          <w:i/>
        </w:rPr>
        <w:t>PLoS</w:t>
      </w:r>
      <w:r>
        <w:rPr>
          <w:i/>
          <w:spacing w:val="2"/>
        </w:rPr>
        <w:t> </w:t>
      </w:r>
      <w:r>
        <w:rPr>
          <w:i/>
        </w:rPr>
        <w:t>Medicine</w:t>
      </w:r>
      <w:r>
        <w:rPr/>
        <w:t>,</w:t>
      </w:r>
      <w:r>
        <w:rPr>
          <w:spacing w:val="4"/>
        </w:rPr>
        <w:t> </w:t>
      </w:r>
      <w:r>
        <w:rPr>
          <w:i/>
        </w:rPr>
        <w:t>10</w:t>
      </w:r>
      <w:r>
        <w:rPr/>
        <w:t>(3),1001398.</w:t>
      </w:r>
    </w:p>
    <w:p>
      <w:pPr>
        <w:pStyle w:val="BodyText"/>
        <w:spacing w:before="7"/>
      </w:pPr>
    </w:p>
    <w:p>
      <w:pPr>
        <w:pStyle w:val="BodyText"/>
        <w:spacing w:line="242" w:lineRule="auto" w:before="1"/>
        <w:ind w:left="1033" w:right="691" w:hanging="721"/>
        <w:jc w:val="both"/>
      </w:pPr>
      <w:r>
        <w:rPr/>
        <w:t>Case, D. A., Cheatham, T. E., Darden, T., Gohlke, H., Luo, R.,</w:t>
      </w:r>
      <w:r>
        <w:rPr>
          <w:spacing w:val="60"/>
        </w:rPr>
        <w:t> </w:t>
      </w:r>
      <w:r>
        <w:rPr/>
        <w:t>Merz, K. M., ... and</w:t>
      </w:r>
      <w:r>
        <w:rPr>
          <w:spacing w:val="1"/>
        </w:rPr>
        <w:t> </w:t>
      </w:r>
      <w:r>
        <w:rPr/>
        <w:t>Woods, R. J. (2005). The Amber biomolecular simulation programs.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Computational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26</w:t>
      </w:r>
      <w:r>
        <w:rPr/>
        <w:t>(16),1668-1688.</w:t>
      </w:r>
    </w:p>
    <w:p>
      <w:pPr>
        <w:spacing w:after="0" w:line="242" w:lineRule="auto"/>
        <w:jc w:val="both"/>
        <w:sectPr>
          <w:headerReference w:type="default" r:id="rId437"/>
          <w:footerReference w:type="default" r:id="rId438"/>
          <w:pgSz w:w="11910" w:h="16840"/>
          <w:pgMar w:header="0" w:footer="2491" w:top="1480" w:bottom="2680" w:left="1560" w:right="600"/>
        </w:sectPr>
      </w:pPr>
    </w:p>
    <w:p>
      <w:pPr>
        <w:pStyle w:val="BodyText"/>
        <w:spacing w:before="70"/>
        <w:ind w:left="1033" w:right="692" w:hanging="721"/>
        <w:jc w:val="both"/>
      </w:pPr>
      <w:r>
        <w:rPr/>
        <w:t>Chen, M., Christensen, S. B., Blom, J., Lemmich, E., Nadelmann, L., Fich, K., ... and</w:t>
      </w:r>
      <w:r>
        <w:rPr>
          <w:spacing w:val="1"/>
        </w:rPr>
        <w:t> </w:t>
      </w:r>
      <w:r>
        <w:rPr/>
        <w:t>Kharazmi,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(1993).</w:t>
      </w:r>
      <w:r>
        <w:rPr>
          <w:spacing w:val="1"/>
        </w:rPr>
        <w:t> </w:t>
      </w:r>
      <w:r>
        <w:rPr/>
        <w:t>Licochalcone</w:t>
      </w:r>
      <w:r>
        <w:rPr>
          <w:spacing w:val="1"/>
        </w:rPr>
        <w:t> </w:t>
      </w:r>
      <w:r>
        <w:rPr/>
        <w:t>A,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novel antiparasitic agent</w:t>
      </w:r>
      <w:r>
        <w:rPr>
          <w:spacing w:val="1"/>
        </w:rPr>
        <w:t> </w:t>
      </w:r>
      <w:r>
        <w:rPr/>
        <w:t>with potent</w:t>
      </w:r>
      <w:r>
        <w:rPr>
          <w:spacing w:val="1"/>
        </w:rPr>
        <w:t> </w:t>
      </w:r>
      <w:r>
        <w:rPr/>
        <w:t>activityagainst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pathogenic</w:t>
      </w:r>
      <w:r>
        <w:rPr>
          <w:spacing w:val="1"/>
        </w:rPr>
        <w:t> </w:t>
      </w:r>
      <w:r>
        <w:rPr/>
        <w:t>protozoan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Leishmania</w:t>
      </w:r>
      <w:r>
        <w:rPr/>
        <w:t>.</w:t>
      </w:r>
      <w:r>
        <w:rPr>
          <w:spacing w:val="1"/>
        </w:rPr>
        <w:t> </w:t>
      </w:r>
      <w:r>
        <w:rPr>
          <w:i/>
        </w:rPr>
        <w:t>AntimicrobialAgentsand</w:t>
      </w:r>
      <w:r>
        <w:rPr>
          <w:i/>
          <w:spacing w:val="1"/>
        </w:rPr>
        <w:t> </w:t>
      </w:r>
      <w:r>
        <w:rPr>
          <w:i/>
        </w:rPr>
        <w:t>Chemotherapy</w:t>
      </w:r>
      <w:r>
        <w:rPr/>
        <w:t>,</w:t>
      </w:r>
      <w:r>
        <w:rPr>
          <w:spacing w:val="5"/>
        </w:rPr>
        <w:t> </w:t>
      </w:r>
      <w:r>
        <w:rPr>
          <w:i/>
        </w:rPr>
        <w:t>37</w:t>
      </w:r>
      <w:r>
        <w:rPr/>
        <w:t>(12),2550-2556.</w:t>
      </w:r>
    </w:p>
    <w:p>
      <w:pPr>
        <w:pStyle w:val="BodyText"/>
        <w:spacing w:before="7"/>
      </w:pPr>
    </w:p>
    <w:p>
      <w:pPr>
        <w:spacing w:line="240" w:lineRule="auto" w:before="1"/>
        <w:ind w:left="1033" w:right="687" w:hanging="721"/>
        <w:jc w:val="both"/>
        <w:rPr>
          <w:sz w:val="24"/>
        </w:rPr>
      </w:pPr>
      <w:r>
        <w:rPr>
          <w:sz w:val="24"/>
        </w:rPr>
        <w:t>Chen, M., Christensen, S. B., Zhai, L., Rasmussen, M. H., Theander, T. G., Frøkjaer, S., ...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Kharazmi,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(1997).</w:t>
      </w:r>
      <w:r>
        <w:rPr>
          <w:spacing w:val="1"/>
          <w:sz w:val="24"/>
        </w:rPr>
        <w:t> </w:t>
      </w:r>
      <w:r>
        <w:rPr>
          <w:sz w:val="24"/>
        </w:rPr>
        <w:t>The novel oxygenated chalcone,</w:t>
      </w:r>
      <w:r>
        <w:rPr>
          <w:spacing w:val="1"/>
          <w:sz w:val="24"/>
        </w:rPr>
        <w:t> </w:t>
      </w:r>
      <w:r>
        <w:rPr>
          <w:sz w:val="24"/>
        </w:rPr>
        <w:t>2,</w:t>
      </w:r>
      <w:r>
        <w:rPr>
          <w:spacing w:val="1"/>
          <w:sz w:val="24"/>
        </w:rPr>
        <w:t> </w:t>
      </w:r>
      <w:r>
        <w:rPr>
          <w:sz w:val="24"/>
        </w:rPr>
        <w:t>4-dimethoxy-4'-</w:t>
      </w:r>
      <w:r>
        <w:rPr>
          <w:spacing w:val="1"/>
          <w:sz w:val="24"/>
        </w:rPr>
        <w:t> </w:t>
      </w:r>
      <w:r>
        <w:rPr>
          <w:sz w:val="24"/>
        </w:rPr>
        <w:t>butoxychalcone,</w:t>
      </w:r>
      <w:r>
        <w:rPr>
          <w:spacing w:val="1"/>
          <w:sz w:val="24"/>
        </w:rPr>
        <w:t> </w:t>
      </w:r>
      <w:r>
        <w:rPr>
          <w:sz w:val="24"/>
        </w:rPr>
        <w:t>exhibits</w:t>
      </w:r>
      <w:r>
        <w:rPr>
          <w:spacing w:val="1"/>
          <w:sz w:val="24"/>
        </w:rPr>
        <w:t> </w:t>
      </w:r>
      <w:r>
        <w:rPr>
          <w:sz w:val="24"/>
        </w:rPr>
        <w:t>potent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human</w:t>
      </w:r>
      <w:r>
        <w:rPr>
          <w:spacing w:val="1"/>
          <w:sz w:val="24"/>
        </w:rPr>
        <w:t> </w:t>
      </w:r>
      <w:r>
        <w:rPr>
          <w:sz w:val="24"/>
        </w:rPr>
        <w:t>malaria</w:t>
      </w:r>
      <w:r>
        <w:rPr>
          <w:spacing w:val="1"/>
          <w:sz w:val="24"/>
        </w:rPr>
        <w:t> </w:t>
      </w:r>
      <w:r>
        <w:rPr>
          <w:sz w:val="24"/>
        </w:rPr>
        <w:t>parasite</w:t>
      </w:r>
      <w:r>
        <w:rPr>
          <w:spacing w:val="1"/>
          <w:sz w:val="24"/>
        </w:rPr>
        <w:t> </w:t>
      </w:r>
      <w:r>
        <w:rPr>
          <w:i/>
          <w:sz w:val="24"/>
        </w:rPr>
        <w:t>Plasmodium falciparum in vitro </w:t>
      </w:r>
      <w:r>
        <w:rPr>
          <w:sz w:val="24"/>
        </w:rPr>
        <w:t>and rodent</w:t>
      </w:r>
      <w:r>
        <w:rPr>
          <w:spacing w:val="1"/>
          <w:sz w:val="24"/>
        </w:rPr>
        <w:t> </w:t>
      </w:r>
      <w:r>
        <w:rPr>
          <w:sz w:val="24"/>
        </w:rPr>
        <w:t>parasites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berghei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yoelii in vivo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Infectious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Diseases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i/>
          <w:sz w:val="24"/>
        </w:rPr>
        <w:t>176</w:t>
      </w:r>
      <w:r>
        <w:rPr>
          <w:sz w:val="24"/>
        </w:rPr>
        <w:t>(5),</w:t>
      </w:r>
      <w:r>
        <w:rPr>
          <w:spacing w:val="2"/>
          <w:sz w:val="24"/>
        </w:rPr>
        <w:t> </w:t>
      </w:r>
      <w:r>
        <w:rPr>
          <w:sz w:val="24"/>
        </w:rPr>
        <w:t>1327-1333.</w:t>
      </w:r>
    </w:p>
    <w:p>
      <w:pPr>
        <w:pStyle w:val="BodyText"/>
        <w:spacing w:before="10"/>
      </w:pPr>
    </w:p>
    <w:p>
      <w:pPr>
        <w:spacing w:line="240" w:lineRule="auto" w:before="0"/>
        <w:ind w:left="1033" w:right="705" w:hanging="721"/>
        <w:jc w:val="both"/>
        <w:rPr>
          <w:sz w:val="24"/>
        </w:rPr>
      </w:pPr>
      <w:r>
        <w:rPr>
          <w:sz w:val="24"/>
        </w:rPr>
        <w:t>Chen, M., Theander, T. G., Christensen, S. B., Hviid, L., Zhai, L., and Kharazmi, A.</w:t>
      </w:r>
      <w:r>
        <w:rPr>
          <w:spacing w:val="1"/>
          <w:sz w:val="24"/>
        </w:rPr>
        <w:t> </w:t>
      </w:r>
      <w:r>
        <w:rPr>
          <w:sz w:val="24"/>
        </w:rPr>
        <w:t>(1994). Licochalcone A, a new antimalarial agent, inhibits </w:t>
      </w:r>
      <w:r>
        <w:rPr>
          <w:i/>
          <w:sz w:val="24"/>
        </w:rPr>
        <w:t>in vitro </w:t>
      </w:r>
      <w:r>
        <w:rPr>
          <w:sz w:val="24"/>
        </w:rPr>
        <w:t>growth of the</w:t>
      </w:r>
      <w:r>
        <w:rPr>
          <w:spacing w:val="1"/>
          <w:sz w:val="24"/>
        </w:rPr>
        <w:t> </w:t>
      </w:r>
      <w:r>
        <w:rPr>
          <w:sz w:val="24"/>
        </w:rPr>
        <w:t>human</w:t>
      </w:r>
      <w:r>
        <w:rPr>
          <w:spacing w:val="1"/>
          <w:sz w:val="24"/>
        </w:rPr>
        <w:t> </w:t>
      </w:r>
      <w:r>
        <w:rPr>
          <w:sz w:val="24"/>
        </w:rPr>
        <w:t>malaria</w:t>
      </w:r>
      <w:r>
        <w:rPr>
          <w:spacing w:val="1"/>
          <w:sz w:val="24"/>
        </w:rPr>
        <w:t> </w:t>
      </w:r>
      <w:r>
        <w:rPr>
          <w:sz w:val="24"/>
        </w:rPr>
        <w:t>parasite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protects</w:t>
      </w:r>
      <w:r>
        <w:rPr>
          <w:spacing w:val="1"/>
          <w:sz w:val="24"/>
        </w:rPr>
        <w:t> </w:t>
      </w:r>
      <w:r>
        <w:rPr>
          <w:sz w:val="24"/>
        </w:rPr>
        <w:t>mice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yoelii</w:t>
      </w:r>
      <w:r>
        <w:rPr>
          <w:sz w:val="24"/>
        </w:rPr>
        <w:t>infection.</w:t>
      </w:r>
      <w:r>
        <w:rPr>
          <w:spacing w:val="3"/>
          <w:sz w:val="24"/>
        </w:rPr>
        <w:t> </w:t>
      </w:r>
      <w:r>
        <w:rPr>
          <w:i/>
          <w:sz w:val="24"/>
        </w:rPr>
        <w:t>Antimicrobial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Agents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Chemotherapy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38</w:t>
      </w:r>
      <w:r>
        <w:rPr>
          <w:sz w:val="24"/>
        </w:rPr>
        <w:t>(7),1470-1475.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1033" w:right="708" w:hanging="721"/>
        <w:jc w:val="both"/>
      </w:pPr>
      <w:r>
        <w:rPr/>
        <w:t>Cherkasov, A., Muratov, E. N., Fourches, D., Varnek, A., Baskin, I. I., Cronin, M., ... and</w:t>
      </w:r>
      <w:r>
        <w:rPr>
          <w:spacing w:val="1"/>
        </w:rPr>
        <w:t> </w:t>
      </w:r>
      <w:r>
        <w:rPr/>
        <w:t>Consonni,</w:t>
      </w:r>
      <w:r>
        <w:rPr>
          <w:spacing w:val="1"/>
        </w:rPr>
        <w:t> </w:t>
      </w:r>
      <w:r>
        <w:rPr/>
        <w:t>V. (2014). QSAR modeling: where have</w:t>
      </w:r>
      <w:r>
        <w:rPr>
          <w:spacing w:val="60"/>
        </w:rPr>
        <w:t> </w:t>
      </w:r>
      <w:r>
        <w:rPr/>
        <w:t>you been? Where are you</w:t>
      </w:r>
      <w:r>
        <w:rPr>
          <w:spacing w:val="1"/>
        </w:rPr>
        <w:t> </w:t>
      </w:r>
      <w:r>
        <w:rPr/>
        <w:t>going</w:t>
      </w:r>
      <w:r>
        <w:rPr>
          <w:spacing w:val="1"/>
        </w:rPr>
        <w:t> </w:t>
      </w:r>
      <w:r>
        <w:rPr/>
        <w:t>to?.</w:t>
      </w:r>
      <w:r>
        <w:rPr>
          <w:spacing w:val="4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2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3"/>
        </w:rPr>
        <w:t> </w:t>
      </w:r>
      <w:r>
        <w:rPr>
          <w:i/>
        </w:rPr>
        <w:t>57</w:t>
      </w:r>
      <w:r>
        <w:rPr/>
        <w:t>(12),4977-5010.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1033" w:right="713" w:hanging="721"/>
        <w:jc w:val="both"/>
      </w:pPr>
      <w:r>
        <w:rPr/>
        <w:t>Christen, M., Hünenberger, P. H., Bakowies, D., Baron, R., Bürgi, R., Geerke, D. P., ...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Peter,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(2005).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GROMOS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biomolecular</w:t>
      </w:r>
      <w:r>
        <w:rPr>
          <w:spacing w:val="1"/>
        </w:rPr>
        <w:t> </w:t>
      </w:r>
      <w:r>
        <w:rPr/>
        <w:t>simulation:</w:t>
      </w:r>
      <w:r>
        <w:rPr>
          <w:spacing w:val="1"/>
        </w:rPr>
        <w:t> </w:t>
      </w:r>
      <w:r>
        <w:rPr/>
        <w:t>GROMOS</w:t>
      </w:r>
      <w:r>
        <w:rPr>
          <w:spacing w:val="1"/>
        </w:rPr>
        <w:t> </w:t>
      </w:r>
      <w:r>
        <w:rPr/>
        <w:t>05.</w:t>
      </w:r>
      <w:r>
        <w:rPr>
          <w:spacing w:val="4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5"/>
        </w:rPr>
        <w:t> </w:t>
      </w:r>
      <w:r>
        <w:rPr>
          <w:i/>
        </w:rPr>
        <w:t>Computational</w:t>
      </w:r>
      <w:r>
        <w:rPr>
          <w:i/>
          <w:spacing w:val="-3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26</w:t>
      </w:r>
      <w:r>
        <w:rPr/>
        <w:t>(16),1719-1751.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spacing w:line="240" w:lineRule="auto" w:before="0"/>
        <w:ind w:left="1033" w:right="685" w:hanging="721"/>
        <w:jc w:val="both"/>
        <w:rPr>
          <w:sz w:val="24"/>
        </w:rPr>
      </w:pPr>
      <w:r>
        <w:rPr>
          <w:sz w:val="24"/>
        </w:rPr>
        <w:t>Coombs, G. H., Goldberg, D. E., Klemba, M., Berry, C., Kay, J., and Mottram, J. C.</w:t>
      </w:r>
      <w:r>
        <w:rPr>
          <w:spacing w:val="1"/>
          <w:sz w:val="24"/>
        </w:rPr>
        <w:t> </w:t>
      </w:r>
      <w:r>
        <w:rPr>
          <w:sz w:val="24"/>
        </w:rPr>
        <w:t>(2001). Aspartic proteases of </w:t>
      </w:r>
      <w:r>
        <w:rPr>
          <w:i/>
          <w:sz w:val="24"/>
        </w:rPr>
        <w:t>Plasmodium falciparum </w:t>
      </w:r>
      <w:r>
        <w:rPr>
          <w:sz w:val="24"/>
        </w:rPr>
        <w:t>and other parasitic protozoa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drug</w:t>
      </w:r>
      <w:r>
        <w:rPr>
          <w:spacing w:val="-3"/>
          <w:sz w:val="24"/>
        </w:rPr>
        <w:t> </w:t>
      </w:r>
      <w:r>
        <w:rPr>
          <w:sz w:val="24"/>
        </w:rPr>
        <w:t>targets.</w:t>
      </w:r>
      <w:r>
        <w:rPr>
          <w:spacing w:val="1"/>
          <w:sz w:val="24"/>
        </w:rPr>
        <w:t> </w:t>
      </w:r>
      <w:r>
        <w:rPr>
          <w:i/>
          <w:sz w:val="24"/>
        </w:rPr>
        <w:t>Trends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Parasitology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17</w:t>
      </w:r>
      <w:r>
        <w:rPr>
          <w:sz w:val="24"/>
        </w:rPr>
        <w:t>(11),532-537.</w:t>
      </w:r>
    </w:p>
    <w:p>
      <w:pPr>
        <w:pStyle w:val="BodyText"/>
        <w:spacing w:before="6"/>
      </w:pPr>
    </w:p>
    <w:p>
      <w:pPr>
        <w:spacing w:line="242" w:lineRule="auto" w:before="0"/>
        <w:ind w:left="1033" w:right="700" w:hanging="721"/>
        <w:jc w:val="both"/>
        <w:rPr>
          <w:sz w:val="24"/>
        </w:rPr>
      </w:pPr>
      <w:r>
        <w:rPr>
          <w:sz w:val="24"/>
        </w:rPr>
        <w:t>Cramer, C. J. (2013). </w:t>
      </w:r>
      <w:r>
        <w:rPr>
          <w:i/>
          <w:sz w:val="24"/>
        </w:rPr>
        <w:t>Essentials of Computational Chemistry: Theories and Models</w:t>
      </w:r>
      <w:r>
        <w:rPr>
          <w:sz w:val="24"/>
        </w:rPr>
        <w:t>. John</w:t>
      </w:r>
      <w:r>
        <w:rPr>
          <w:spacing w:val="1"/>
          <w:sz w:val="24"/>
        </w:rPr>
        <w:t> </w:t>
      </w:r>
      <w:r>
        <w:rPr>
          <w:sz w:val="24"/>
        </w:rPr>
        <w:t>Wiley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Sons.</w:t>
      </w:r>
    </w:p>
    <w:p>
      <w:pPr>
        <w:pStyle w:val="BodyText"/>
        <w:spacing w:before="1"/>
      </w:pPr>
    </w:p>
    <w:p>
      <w:pPr>
        <w:pStyle w:val="BodyText"/>
        <w:ind w:left="1033" w:right="693" w:hanging="721"/>
        <w:jc w:val="both"/>
      </w:pPr>
      <w:r>
        <w:rPr/>
        <w:t>Daina, A., Michielin, O., and Zoete, V. (2017). SwissADME: a free web tool to evaluate</w:t>
      </w:r>
      <w:r>
        <w:rPr>
          <w:spacing w:val="1"/>
        </w:rPr>
        <w:t> </w:t>
      </w:r>
      <w:r>
        <w:rPr/>
        <w:t>pharmacokinetics,</w:t>
      </w:r>
      <w:r>
        <w:rPr>
          <w:spacing w:val="1"/>
        </w:rPr>
        <w:t> </w:t>
      </w:r>
      <w:r>
        <w:rPr/>
        <w:t>drug-likeness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friendliness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small</w:t>
      </w:r>
      <w:r>
        <w:rPr>
          <w:spacing w:val="-57"/>
        </w:rPr>
        <w:t> </w:t>
      </w:r>
      <w:r>
        <w:rPr/>
        <w:t>molecules.</w:t>
      </w:r>
      <w:r>
        <w:rPr>
          <w:spacing w:val="5"/>
        </w:rPr>
        <w:t> </w:t>
      </w:r>
      <w:r>
        <w:rPr>
          <w:i/>
        </w:rPr>
        <w:t>Scientific</w:t>
      </w:r>
      <w:r>
        <w:rPr>
          <w:i/>
          <w:spacing w:val="1"/>
        </w:rPr>
        <w:t> </w:t>
      </w:r>
      <w:r>
        <w:rPr>
          <w:i/>
        </w:rPr>
        <w:t>Reports</w:t>
      </w:r>
      <w:r>
        <w:rPr/>
        <w:t>,</w:t>
      </w:r>
      <w:r>
        <w:rPr>
          <w:spacing w:val="4"/>
        </w:rPr>
        <w:t> </w:t>
      </w:r>
      <w:r>
        <w:rPr>
          <w:i/>
        </w:rPr>
        <w:t>7</w:t>
      </w:r>
      <w:r>
        <w:rPr/>
        <w:t>,</w:t>
      </w:r>
      <w:r>
        <w:rPr>
          <w:spacing w:val="3"/>
        </w:rPr>
        <w:t> </w:t>
      </w:r>
      <w:r>
        <w:rPr/>
        <w:t>42717.</w:t>
      </w:r>
    </w:p>
    <w:p>
      <w:pPr>
        <w:pStyle w:val="BodyText"/>
        <w:spacing w:before="11"/>
      </w:pPr>
    </w:p>
    <w:p>
      <w:pPr>
        <w:pStyle w:val="BodyText"/>
        <w:ind w:left="1033" w:right="687" w:hanging="721"/>
        <w:jc w:val="both"/>
      </w:pPr>
      <w:r>
        <w:rPr/>
        <w:t>de Oliveira, M. E., Cenzi, G., Nunes, R. R., Andrighetti, C. R., de Sousa Valadão, D. M.,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Reis,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...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Sanchez,</w:t>
      </w:r>
      <w:r>
        <w:rPr>
          <w:spacing w:val="1"/>
        </w:rPr>
        <w:t> </w:t>
      </w:r>
      <w:r>
        <w:rPr/>
        <w:t>B.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4-</w:t>
      </w:r>
      <w:r>
        <w:rPr>
          <w:spacing w:val="1"/>
        </w:rPr>
        <w:t> </w:t>
      </w:r>
      <w:r>
        <w:rPr/>
        <w:t>metoxychalcones: Docking studies as falcipain/plasmepsin inhibitors, ADMET and</w:t>
      </w:r>
      <w:r>
        <w:rPr>
          <w:spacing w:val="-57"/>
        </w:rPr>
        <w:t> </w:t>
      </w:r>
      <w:r>
        <w:rPr/>
        <w:t>lipophilic efficiency analysis to identify a putative oral lead candidate. </w:t>
      </w:r>
      <w:r>
        <w:rPr>
          <w:i/>
        </w:rPr>
        <w:t>Molecules</w:t>
      </w:r>
      <w:r>
        <w:rPr/>
        <w:t>,</w:t>
      </w:r>
      <w:r>
        <w:rPr>
          <w:spacing w:val="1"/>
        </w:rPr>
        <w:t> </w:t>
      </w:r>
      <w:r>
        <w:rPr>
          <w:i/>
        </w:rPr>
        <w:t>18</w:t>
      </w:r>
      <w:r>
        <w:rPr/>
        <w:t>(12),15276-15287.</w:t>
      </w:r>
    </w:p>
    <w:p>
      <w:pPr>
        <w:pStyle w:val="BodyText"/>
        <w:spacing w:before="10"/>
      </w:pPr>
    </w:p>
    <w:p>
      <w:pPr>
        <w:pStyle w:val="BodyText"/>
        <w:ind w:left="1033" w:right="658" w:hanging="721"/>
        <w:jc w:val="both"/>
      </w:pPr>
      <w:r>
        <w:rPr>
          <w:spacing w:val="-3"/>
        </w:rPr>
        <w:t>Domnguez,</w:t>
      </w:r>
      <w:r>
        <w:rPr>
          <w:spacing w:val="-2"/>
        </w:rPr>
        <w:t> </w:t>
      </w:r>
      <w:r>
        <w:rPr>
          <w:spacing w:val="-3"/>
        </w:rPr>
        <w:t>J.</w:t>
      </w:r>
      <w:r>
        <w:rPr>
          <w:spacing w:val="-2"/>
        </w:rPr>
        <w:t> </w:t>
      </w:r>
      <w:r>
        <w:rPr>
          <w:spacing w:val="-3"/>
        </w:rPr>
        <w:t>N.,</w:t>
      </w:r>
      <w:r>
        <w:rPr>
          <w:spacing w:val="-2"/>
        </w:rPr>
        <w:t> </w:t>
      </w:r>
      <w:r>
        <w:rPr>
          <w:spacing w:val="-3"/>
        </w:rPr>
        <w:t>Charris,</w:t>
      </w:r>
      <w:r>
        <w:rPr>
          <w:spacing w:val="-2"/>
        </w:rPr>
        <w:t> J.</w:t>
      </w:r>
      <w:r>
        <w:rPr>
          <w:spacing w:val="-1"/>
        </w:rPr>
        <w:t> </w:t>
      </w:r>
      <w:r>
        <w:rPr>
          <w:spacing w:val="-2"/>
        </w:rPr>
        <w:t>E.,</w:t>
      </w:r>
      <w:r>
        <w:rPr>
          <w:spacing w:val="-1"/>
        </w:rPr>
        <w:t> </w:t>
      </w:r>
      <w:r>
        <w:rPr>
          <w:spacing w:val="-2"/>
        </w:rPr>
        <w:t>Lobo,</w:t>
      </w:r>
      <w:r>
        <w:rPr>
          <w:spacing w:val="-1"/>
        </w:rPr>
        <w:t> </w:t>
      </w:r>
      <w:r>
        <w:rPr>
          <w:spacing w:val="-2"/>
        </w:rPr>
        <w:t>G.,</w:t>
      </w:r>
      <w:r>
        <w:rPr>
          <w:spacing w:val="-1"/>
        </w:rPr>
        <w:t> </w:t>
      </w:r>
      <w:r>
        <w:rPr>
          <w:spacing w:val="-2"/>
        </w:rPr>
        <w:t>de</w:t>
      </w:r>
      <w:r>
        <w:rPr>
          <w:spacing w:val="-1"/>
        </w:rPr>
        <w:t> </w:t>
      </w:r>
      <w:r>
        <w:rPr>
          <w:spacing w:val="-2"/>
        </w:rPr>
        <w:t>Domnguez,</w:t>
      </w:r>
      <w:r>
        <w:rPr>
          <w:spacing w:val="-1"/>
        </w:rPr>
        <w:t> </w:t>
      </w:r>
      <w:r>
        <w:rPr>
          <w:spacing w:val="-2"/>
        </w:rPr>
        <w:t>N.</w:t>
      </w:r>
      <w:r>
        <w:rPr>
          <w:spacing w:val="-1"/>
        </w:rPr>
        <w:t> </w:t>
      </w:r>
      <w:r>
        <w:rPr>
          <w:spacing w:val="-2"/>
        </w:rPr>
        <w:t>G.,</w:t>
      </w:r>
      <w:r>
        <w:rPr>
          <w:spacing w:val="-1"/>
        </w:rPr>
        <w:t> </w:t>
      </w:r>
      <w:r>
        <w:rPr>
          <w:spacing w:val="-2"/>
        </w:rPr>
        <w:t>Moreno,</w:t>
      </w:r>
      <w:r>
        <w:rPr>
          <w:spacing w:val="56"/>
        </w:rPr>
        <w:t> </w:t>
      </w:r>
      <w:r>
        <w:rPr>
          <w:spacing w:val="-2"/>
        </w:rPr>
        <w:t>M.</w:t>
      </w:r>
      <w:r>
        <w:rPr>
          <w:spacing w:val="57"/>
        </w:rPr>
        <w:t> </w:t>
      </w:r>
      <w:r>
        <w:rPr>
          <w:spacing w:val="-2"/>
        </w:rPr>
        <w:t>M., .,</w:t>
      </w:r>
      <w:r>
        <w:rPr>
          <w:spacing w:val="-1"/>
        </w:rPr>
        <w:t> </w:t>
      </w:r>
      <w:r>
        <w:rPr/>
        <w:t>Riggione, F.,</w:t>
      </w:r>
      <w:r>
        <w:rPr>
          <w:spacing w:val="1"/>
        </w:rPr>
        <w:t> </w:t>
      </w:r>
      <w:r>
        <w:rPr/>
        <w:t>... and Rosenthal, P. J. (2001). Synthesis of quinolinyl chalcones and</w:t>
      </w:r>
      <w:r>
        <w:rPr>
          <w:spacing w:val="1"/>
        </w:rPr>
        <w:t> </w:t>
      </w:r>
      <w:r>
        <w:rPr/>
        <w:t>evaluation</w:t>
      </w:r>
      <w:r>
        <w:rPr>
          <w:spacing w:val="-5"/>
        </w:rPr>
        <w:t> </w:t>
      </w:r>
      <w:r>
        <w:rPr/>
        <w:t>of</w:t>
      </w:r>
      <w:r>
        <w:rPr>
          <w:spacing w:val="-9"/>
        </w:rPr>
        <w:t> </w:t>
      </w:r>
      <w:r>
        <w:rPr/>
        <w:t>their antimalarial</w:t>
      </w:r>
      <w:r>
        <w:rPr>
          <w:spacing w:val="-6"/>
        </w:rPr>
        <w:t> </w:t>
      </w:r>
      <w:r>
        <w:rPr/>
        <w:t>activity.</w:t>
      </w:r>
      <w:r>
        <w:rPr>
          <w:spacing w:val="5"/>
        </w:rPr>
        <w:t> </w:t>
      </w:r>
      <w:r>
        <w:rPr>
          <w:i/>
        </w:rPr>
        <w:t>European</w:t>
      </w:r>
      <w:r>
        <w:rPr>
          <w:i/>
          <w:spacing w:val="3"/>
        </w:rPr>
        <w:t> </w:t>
      </w:r>
      <w:r>
        <w:rPr>
          <w:i/>
        </w:rPr>
        <w:t>Journal</w:t>
      </w:r>
      <w:r>
        <w:rPr>
          <w:i/>
          <w:spacing w:val="-2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Medicinal</w:t>
      </w:r>
      <w:r>
        <w:rPr>
          <w:i/>
          <w:spacing w:val="-1"/>
        </w:rPr>
        <w:t> </w:t>
      </w:r>
      <w:r>
        <w:rPr>
          <w:i/>
        </w:rPr>
        <w:t>Chemistry</w:t>
      </w:r>
      <w:r>
        <w:rPr/>
        <w:t>,</w:t>
      </w:r>
    </w:p>
    <w:p>
      <w:pPr>
        <w:spacing w:after="0"/>
        <w:jc w:val="both"/>
        <w:sectPr>
          <w:headerReference w:type="default" r:id="rId439"/>
          <w:footerReference w:type="default" r:id="rId440"/>
          <w:pgSz w:w="11910" w:h="16840"/>
          <w:pgMar w:header="0" w:footer="2491" w:top="1200" w:bottom="2680" w:left="1560" w:right="600"/>
        </w:sectPr>
      </w:pPr>
    </w:p>
    <w:p>
      <w:pPr>
        <w:pStyle w:val="BodyText"/>
        <w:spacing w:before="70"/>
        <w:ind w:left="1033"/>
      </w:pPr>
      <w:r>
        <w:rPr>
          <w:i/>
        </w:rPr>
        <w:t>36</w:t>
      </w:r>
      <w:r>
        <w:rPr/>
        <w:t>(6),555-560.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ind w:left="1033" w:right="691" w:hanging="721"/>
        <w:jc w:val="both"/>
      </w:pPr>
      <w:r>
        <w:rPr/>
        <w:t>Domínguez,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N., León,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Rodrigues,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Gamboa de Domínguez,</w:t>
      </w:r>
      <w:r>
        <w:rPr>
          <w:spacing w:val="1"/>
        </w:rPr>
        <w:t> </w:t>
      </w:r>
      <w:r>
        <w:rPr/>
        <w:t>N., Gut, J., and</w:t>
      </w:r>
      <w:r>
        <w:rPr>
          <w:spacing w:val="1"/>
        </w:rPr>
        <w:t> </w:t>
      </w:r>
      <w:r>
        <w:rPr/>
        <w:t>Rosenthal, P. J. (2005). Synthesis and evaluation of new antimalarial phenylurenyl</w:t>
      </w:r>
      <w:r>
        <w:rPr>
          <w:spacing w:val="1"/>
        </w:rPr>
        <w:t> </w:t>
      </w:r>
      <w:r>
        <w:rPr/>
        <w:t>chalcone</w:t>
      </w:r>
      <w:r>
        <w:rPr>
          <w:spacing w:val="-1"/>
        </w:rPr>
        <w:t> </w:t>
      </w:r>
      <w:r>
        <w:rPr/>
        <w:t>derivatives.</w:t>
      </w:r>
      <w:r>
        <w:rPr>
          <w:spacing w:val="5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 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2"/>
        </w:rPr>
        <w:t> </w:t>
      </w:r>
      <w:r>
        <w:rPr>
          <w:i/>
        </w:rPr>
        <w:t>48</w:t>
      </w:r>
      <w:r>
        <w:rPr/>
        <w:t>(10),</w:t>
      </w:r>
      <w:r>
        <w:rPr>
          <w:spacing w:val="3"/>
        </w:rPr>
        <w:t> </w:t>
      </w:r>
      <w:r>
        <w:rPr/>
        <w:t>3654-3658.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75" w:lineRule="exact"/>
        <w:ind w:right="706"/>
        <w:jc w:val="right"/>
      </w:pPr>
      <w:r>
        <w:rPr/>
        <w:t>Drew,</w:t>
      </w:r>
      <w:r>
        <w:rPr>
          <w:spacing w:val="7"/>
        </w:rPr>
        <w:t> </w:t>
      </w:r>
      <w:r>
        <w:rPr/>
        <w:t>M.</w:t>
      </w:r>
      <w:r>
        <w:rPr>
          <w:spacing w:val="3"/>
        </w:rPr>
        <w:t> </w:t>
      </w:r>
      <w:r>
        <w:rPr/>
        <w:t>E.,</w:t>
      </w:r>
      <w:r>
        <w:rPr>
          <w:spacing w:val="8"/>
        </w:rPr>
        <w:t> </w:t>
      </w:r>
      <w:r>
        <w:rPr/>
        <w:t>Banerjee,</w:t>
      </w:r>
      <w:r>
        <w:rPr>
          <w:spacing w:val="7"/>
        </w:rPr>
        <w:t> </w:t>
      </w:r>
      <w:r>
        <w:rPr/>
        <w:t>R.,</w:t>
      </w:r>
      <w:r>
        <w:rPr>
          <w:spacing w:val="7"/>
        </w:rPr>
        <w:t> </w:t>
      </w:r>
      <w:r>
        <w:rPr/>
        <w:t>Uffman,</w:t>
      </w:r>
      <w:r>
        <w:rPr>
          <w:spacing w:val="8"/>
        </w:rPr>
        <w:t> </w:t>
      </w:r>
      <w:r>
        <w:rPr/>
        <w:t>E.</w:t>
      </w:r>
      <w:r>
        <w:rPr>
          <w:spacing w:val="3"/>
        </w:rPr>
        <w:t> </w:t>
      </w:r>
      <w:r>
        <w:rPr/>
        <w:t>W.,</w:t>
      </w:r>
      <w:r>
        <w:rPr>
          <w:spacing w:val="8"/>
        </w:rPr>
        <w:t> </w:t>
      </w:r>
      <w:r>
        <w:rPr/>
        <w:t>Gilbertson,</w:t>
      </w:r>
      <w:r>
        <w:rPr>
          <w:spacing w:val="7"/>
        </w:rPr>
        <w:t> </w:t>
      </w:r>
      <w:r>
        <w:rPr/>
        <w:t>S.,</w:t>
      </w:r>
      <w:r>
        <w:rPr>
          <w:spacing w:val="17"/>
        </w:rPr>
        <w:t> </w:t>
      </w:r>
      <w:r>
        <w:rPr/>
        <w:t>Rosenthal,</w:t>
      </w:r>
      <w:r>
        <w:rPr>
          <w:spacing w:val="7"/>
        </w:rPr>
        <w:t> </w:t>
      </w:r>
      <w:r>
        <w:rPr/>
        <w:t>P.</w:t>
      </w:r>
      <w:r>
        <w:rPr>
          <w:spacing w:val="7"/>
        </w:rPr>
        <w:t> </w:t>
      </w:r>
      <w:r>
        <w:rPr/>
        <w:t>J.,</w:t>
      </w:r>
      <w:r>
        <w:rPr>
          <w:spacing w:val="8"/>
        </w:rPr>
        <w:t> </w:t>
      </w:r>
      <w:r>
        <w:rPr/>
        <w:t>and</w:t>
      </w:r>
      <w:r>
        <w:rPr>
          <w:spacing w:val="5"/>
        </w:rPr>
        <w:t> </w:t>
      </w:r>
      <w:r>
        <w:rPr/>
        <w:t>Goldberg,</w:t>
      </w:r>
    </w:p>
    <w:p>
      <w:pPr>
        <w:pStyle w:val="BodyText"/>
        <w:tabs>
          <w:tab w:pos="4987" w:val="left" w:leader="none"/>
          <w:tab w:pos="5500" w:val="left" w:leader="none"/>
          <w:tab w:pos="6597" w:val="left" w:leader="none"/>
        </w:tabs>
        <w:spacing w:line="275" w:lineRule="exact"/>
        <w:ind w:right="707"/>
        <w:jc w:val="right"/>
      </w:pPr>
      <w:r>
        <w:rPr/>
        <w:t>E.</w:t>
      </w:r>
      <w:r>
        <w:rPr>
          <w:spacing w:val="-5"/>
        </w:rPr>
        <w:t> </w:t>
      </w:r>
      <w:r>
        <w:rPr/>
        <w:t>(2008).</w:t>
      </w:r>
      <w:r>
        <w:rPr>
          <w:spacing w:val="2"/>
        </w:rPr>
        <w:t> </w:t>
      </w:r>
      <w:r>
        <w:rPr>
          <w:i/>
        </w:rPr>
        <w:t>Plasmodium</w:t>
      </w:r>
      <w:r>
        <w:rPr>
          <w:i/>
          <w:spacing w:val="-2"/>
        </w:rPr>
        <w:t> </w:t>
      </w:r>
      <w:r>
        <w:rPr/>
        <w:t>food</w:t>
      </w:r>
      <w:r>
        <w:rPr>
          <w:spacing w:val="-6"/>
        </w:rPr>
        <w:t> </w:t>
      </w:r>
      <w:r>
        <w:rPr/>
        <w:t>vacuole</w:t>
      </w:r>
      <w:r>
        <w:rPr>
          <w:spacing w:val="8"/>
        </w:rPr>
        <w:t> </w:t>
      </w:r>
      <w:r>
        <w:rPr/>
        <w:t>plasmepsins</w:t>
        <w:tab/>
        <w:t>are</w:t>
        <w:tab/>
        <w:t>activated</w:t>
        <w:tab/>
        <w:t>by</w:t>
      </w:r>
      <w:r>
        <w:rPr>
          <w:spacing w:val="109"/>
        </w:rPr>
        <w:t> </w:t>
      </w:r>
      <w:r>
        <w:rPr/>
        <w:t>falcipains.</w:t>
      </w:r>
    </w:p>
    <w:p>
      <w:pPr>
        <w:spacing w:before="3"/>
        <w:ind w:left="1033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283</w:t>
      </w:r>
      <w:r>
        <w:rPr>
          <w:sz w:val="24"/>
        </w:rPr>
        <w:t>(19),12870-12876.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1"/>
        </w:rPr>
      </w:pPr>
    </w:p>
    <w:p>
      <w:pPr>
        <w:pStyle w:val="BodyText"/>
        <w:ind w:left="1033" w:right="692" w:hanging="721"/>
        <w:jc w:val="both"/>
      </w:pPr>
      <w:r>
        <w:rPr/>
        <w:t>Eastman, R. T., Buckner, F. S., Yokoyama, K., Gelb, M. H., and Van Voorhis, W. C.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Thematic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series:</w:t>
      </w:r>
      <w:r>
        <w:rPr>
          <w:spacing w:val="1"/>
        </w:rPr>
        <w:t> </w:t>
      </w:r>
      <w:r>
        <w:rPr/>
        <w:t>lipid</w:t>
      </w:r>
      <w:r>
        <w:rPr>
          <w:spacing w:val="1"/>
        </w:rPr>
        <w:t> </w:t>
      </w:r>
      <w:r>
        <w:rPr/>
        <w:t>posttranslational</w:t>
      </w:r>
      <w:r>
        <w:rPr>
          <w:spacing w:val="1"/>
        </w:rPr>
        <w:t> </w:t>
      </w:r>
      <w:r>
        <w:rPr/>
        <w:t>modifications.</w:t>
      </w:r>
      <w:r>
        <w:rPr>
          <w:spacing w:val="1"/>
        </w:rPr>
        <w:t> </w:t>
      </w:r>
      <w:r>
        <w:rPr/>
        <w:t>Fighting</w:t>
      </w:r>
      <w:r>
        <w:rPr>
          <w:spacing w:val="1"/>
        </w:rPr>
        <w:t> </w:t>
      </w:r>
      <w:r>
        <w:rPr/>
        <w:t>parasitic disease</w:t>
      </w:r>
      <w:r>
        <w:rPr>
          <w:spacing w:val="1"/>
        </w:rPr>
        <w:t> </w:t>
      </w:r>
      <w:r>
        <w:rPr/>
        <w:t>by blocking protein</w:t>
      </w:r>
      <w:r>
        <w:rPr>
          <w:spacing w:val="1"/>
        </w:rPr>
        <w:t> </w:t>
      </w:r>
      <w:r>
        <w:rPr/>
        <w:t>farnesylation.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Lipid Research</w:t>
      </w:r>
      <w:r>
        <w:rPr/>
        <w:t>,</w:t>
      </w:r>
      <w:r>
        <w:rPr>
          <w:spacing w:val="1"/>
        </w:rPr>
        <w:t> </w:t>
      </w:r>
      <w:r>
        <w:rPr>
          <w:i/>
        </w:rPr>
        <w:t>47</w:t>
      </w:r>
      <w:r>
        <w:rPr/>
        <w:t>(2),233-240.</w:t>
      </w:r>
    </w:p>
    <w:p>
      <w:pPr>
        <w:pStyle w:val="BodyText"/>
        <w:spacing w:before="1"/>
        <w:rPr>
          <w:sz w:val="25"/>
        </w:rPr>
      </w:pPr>
    </w:p>
    <w:p>
      <w:pPr>
        <w:spacing w:line="240" w:lineRule="auto" w:before="0"/>
        <w:ind w:left="1033" w:right="695" w:hanging="721"/>
        <w:jc w:val="both"/>
        <w:rPr>
          <w:sz w:val="24"/>
        </w:rPr>
      </w:pPr>
      <w:r>
        <w:rPr>
          <w:sz w:val="24"/>
        </w:rPr>
        <w:t>Eggleson,</w:t>
      </w:r>
      <w:r>
        <w:rPr>
          <w:spacing w:val="1"/>
          <w:sz w:val="24"/>
        </w:rPr>
        <w:t> </w:t>
      </w:r>
      <w:r>
        <w:rPr>
          <w:sz w:val="24"/>
        </w:rPr>
        <w:t>K.</w:t>
      </w:r>
      <w:r>
        <w:rPr>
          <w:spacing w:val="1"/>
          <w:sz w:val="24"/>
        </w:rPr>
        <w:t> </w:t>
      </w:r>
      <w:r>
        <w:rPr>
          <w:sz w:val="24"/>
        </w:rPr>
        <w:t>K.,</w:t>
      </w:r>
      <w:r>
        <w:rPr>
          <w:spacing w:val="1"/>
          <w:sz w:val="24"/>
        </w:rPr>
        <w:t> </w:t>
      </w:r>
      <w:r>
        <w:rPr>
          <w:sz w:val="24"/>
        </w:rPr>
        <w:t>Duffin,</w:t>
      </w:r>
      <w:r>
        <w:rPr>
          <w:spacing w:val="1"/>
          <w:sz w:val="24"/>
        </w:rPr>
        <w:t> </w:t>
      </w:r>
      <w:r>
        <w:rPr>
          <w:sz w:val="24"/>
        </w:rPr>
        <w:t>K.</w:t>
      </w:r>
      <w:r>
        <w:rPr>
          <w:spacing w:val="1"/>
          <w:sz w:val="24"/>
        </w:rPr>
        <w:t> </w:t>
      </w:r>
      <w:r>
        <w:rPr>
          <w:sz w:val="24"/>
        </w:rPr>
        <w:t>L.,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Goldberg,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E.</w:t>
      </w:r>
      <w:r>
        <w:rPr>
          <w:spacing w:val="1"/>
          <w:sz w:val="24"/>
        </w:rPr>
        <w:t> </w:t>
      </w:r>
      <w:r>
        <w:rPr>
          <w:sz w:val="24"/>
        </w:rPr>
        <w:t>(1999).</w:t>
      </w:r>
      <w:r>
        <w:rPr>
          <w:spacing w:val="1"/>
          <w:sz w:val="24"/>
        </w:rPr>
        <w:t> </w:t>
      </w:r>
      <w:r>
        <w:rPr>
          <w:sz w:val="24"/>
        </w:rPr>
        <w:t>Identification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characterization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falcilysin,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metallopeptidase</w:t>
      </w:r>
      <w:r>
        <w:rPr>
          <w:spacing w:val="1"/>
          <w:sz w:val="24"/>
        </w:rPr>
        <w:t> </w:t>
      </w:r>
      <w:r>
        <w:rPr>
          <w:sz w:val="24"/>
        </w:rPr>
        <w:t>involved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hemoglobin</w:t>
      </w:r>
      <w:r>
        <w:rPr>
          <w:spacing w:val="1"/>
          <w:sz w:val="24"/>
        </w:rPr>
        <w:t> </w:t>
      </w:r>
      <w:r>
        <w:rPr>
          <w:sz w:val="24"/>
        </w:rPr>
        <w:t>catabolism</w:t>
      </w:r>
      <w:r>
        <w:rPr>
          <w:spacing w:val="1"/>
          <w:sz w:val="24"/>
        </w:rPr>
        <w:t> </w:t>
      </w:r>
      <w:r>
        <w:rPr>
          <w:sz w:val="24"/>
        </w:rPr>
        <w:t>within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malaria</w:t>
      </w:r>
      <w:r>
        <w:rPr>
          <w:spacing w:val="1"/>
          <w:sz w:val="24"/>
        </w:rPr>
        <w:t> </w:t>
      </w:r>
      <w:r>
        <w:rPr>
          <w:sz w:val="24"/>
        </w:rPr>
        <w:t>parasite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274</w:t>
      </w:r>
      <w:r>
        <w:rPr>
          <w:sz w:val="24"/>
        </w:rPr>
        <w:t>(45),</w:t>
      </w:r>
      <w:r>
        <w:rPr>
          <w:spacing w:val="4"/>
          <w:sz w:val="24"/>
        </w:rPr>
        <w:t> </w:t>
      </w:r>
      <w:r>
        <w:rPr>
          <w:sz w:val="24"/>
        </w:rPr>
        <w:t>32411-32417.</w:t>
      </w:r>
    </w:p>
    <w:p>
      <w:pPr>
        <w:pStyle w:val="BodyText"/>
        <w:spacing w:before="8"/>
      </w:pPr>
    </w:p>
    <w:p>
      <w:pPr>
        <w:pStyle w:val="BodyText"/>
        <w:ind w:left="1033" w:right="690" w:hanging="721"/>
        <w:jc w:val="both"/>
      </w:pPr>
      <w:r>
        <w:rPr/>
        <w:t>Ersmark, K., Nervall, M., Gutiérrez-de-Terán, H., Hamelink, E., Janka, L. K., Clemente, J.</w:t>
      </w:r>
      <w:r>
        <w:rPr>
          <w:spacing w:val="-57"/>
        </w:rPr>
        <w:t> </w:t>
      </w:r>
      <w:r>
        <w:rPr/>
        <w:t>C., ... and Hallberg, A. (2006). Macrocyclic</w:t>
      </w:r>
      <w:r>
        <w:rPr>
          <w:spacing w:val="1"/>
        </w:rPr>
        <w:t> </w:t>
      </w:r>
      <w:r>
        <w:rPr/>
        <w:t>inhibitors of the malarial aspartic</w:t>
      </w:r>
      <w:r>
        <w:rPr>
          <w:spacing w:val="1"/>
        </w:rPr>
        <w:t> </w:t>
      </w:r>
      <w:r>
        <w:rPr/>
        <w:t>proteases;</w:t>
      </w:r>
      <w:r>
        <w:rPr>
          <w:spacing w:val="1"/>
        </w:rPr>
        <w:t> </w:t>
      </w:r>
      <w:r>
        <w:rPr/>
        <w:t>plasmepsin</w:t>
      </w:r>
      <w:r>
        <w:rPr>
          <w:spacing w:val="1"/>
        </w:rPr>
        <w:t> </w:t>
      </w:r>
      <w:r>
        <w:rPr/>
        <w:t>I,</w:t>
      </w:r>
      <w:r>
        <w:rPr>
          <w:spacing w:val="1"/>
        </w:rPr>
        <w:t> </w:t>
      </w:r>
      <w:r>
        <w:rPr/>
        <w:t>II,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IV.</w:t>
      </w:r>
      <w:r>
        <w:rPr>
          <w:spacing w:val="1"/>
        </w:rPr>
        <w:t> </w:t>
      </w:r>
      <w:r>
        <w:rPr>
          <w:i/>
        </w:rPr>
        <w:t>Bioorganic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1"/>
        </w:rPr>
        <w:t> </w:t>
      </w:r>
      <w:r>
        <w:rPr>
          <w:i/>
        </w:rPr>
        <w:t>14</w:t>
      </w:r>
      <w:r>
        <w:rPr/>
        <w:t>(7),2197-2208.</w:t>
      </w:r>
    </w:p>
    <w:p>
      <w:pPr>
        <w:pStyle w:val="BodyText"/>
        <w:rPr>
          <w:sz w:val="25"/>
        </w:rPr>
      </w:pPr>
    </w:p>
    <w:p>
      <w:pPr>
        <w:pStyle w:val="BodyText"/>
        <w:ind w:left="1033" w:right="685" w:hanging="721"/>
        <w:jc w:val="both"/>
      </w:pPr>
      <w:r>
        <w:rPr/>
        <w:t>Ettari, R., Zappalà, M., Micale, N., Schirmeister, T., Gelhaus, C., Leippe, M., ... and</w:t>
      </w:r>
      <w:r>
        <w:rPr>
          <w:spacing w:val="1"/>
        </w:rPr>
        <w:t> </w:t>
      </w:r>
      <w:r>
        <w:rPr/>
        <w:t>Grasso, S. (2010). Synthesis of novel peptidomimetics as inhibitors of protozoan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proteases</w:t>
      </w:r>
      <w:r>
        <w:rPr>
          <w:spacing w:val="1"/>
        </w:rPr>
        <w:t> </w:t>
      </w:r>
      <w:r>
        <w:rPr/>
        <w:t>falcipain-2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rhodesain.</w:t>
      </w:r>
      <w:r>
        <w:rPr>
          <w:spacing w:val="1"/>
        </w:rPr>
        <w:t> </w:t>
      </w:r>
      <w:r>
        <w:rPr>
          <w:i/>
        </w:rPr>
        <w:t>European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3"/>
        </w:rPr>
        <w:t> </w:t>
      </w:r>
      <w:r>
        <w:rPr>
          <w:i/>
        </w:rPr>
        <w:t>45</w:t>
      </w:r>
      <w:r>
        <w:rPr/>
        <w:t>(7),3228-3233.</w:t>
      </w:r>
    </w:p>
    <w:p>
      <w:pPr>
        <w:pStyle w:val="BodyText"/>
        <w:spacing w:before="8"/>
      </w:pPr>
    </w:p>
    <w:p>
      <w:pPr>
        <w:pStyle w:val="BodyText"/>
        <w:ind w:left="1033" w:right="686" w:hanging="721"/>
        <w:jc w:val="both"/>
      </w:pPr>
      <w:r>
        <w:rPr/>
        <w:t>Ferreira, L. G., dos Santos, R. N., Oliva, G., and Andricopulo, A. D. (2015). Molecular</w:t>
      </w:r>
      <w:r>
        <w:rPr>
          <w:spacing w:val="1"/>
        </w:rPr>
        <w:t> </w:t>
      </w:r>
      <w:r>
        <w:rPr/>
        <w:t>docking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structure-based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strategies.</w:t>
      </w:r>
      <w:r>
        <w:rPr>
          <w:spacing w:val="1"/>
        </w:rPr>
        <w:t> </w:t>
      </w:r>
      <w:r>
        <w:rPr>
          <w:i/>
        </w:rPr>
        <w:t>Molecules</w:t>
      </w:r>
      <w:r>
        <w:rPr/>
        <w:t>,</w:t>
      </w:r>
      <w:r>
        <w:rPr>
          <w:spacing w:val="1"/>
        </w:rPr>
        <w:t> </w:t>
      </w:r>
      <w:r>
        <w:rPr>
          <w:i/>
        </w:rPr>
        <w:t>20</w:t>
      </w:r>
      <w:r>
        <w:rPr/>
        <w:t>(7),</w:t>
      </w:r>
      <w:r>
        <w:rPr>
          <w:spacing w:val="1"/>
        </w:rPr>
        <w:t> </w:t>
      </w:r>
      <w:r>
        <w:rPr/>
        <w:t>13384-</w:t>
      </w:r>
      <w:r>
        <w:rPr>
          <w:spacing w:val="1"/>
        </w:rPr>
        <w:t> </w:t>
      </w:r>
      <w:r>
        <w:rPr/>
        <w:t>13421.</w:t>
      </w:r>
    </w:p>
    <w:p>
      <w:pPr>
        <w:pStyle w:val="BodyText"/>
        <w:spacing w:before="5"/>
      </w:pPr>
    </w:p>
    <w:p>
      <w:pPr>
        <w:pStyle w:val="BodyText"/>
        <w:spacing w:before="1"/>
        <w:ind w:left="1033" w:right="694" w:hanging="721"/>
        <w:jc w:val="both"/>
      </w:pPr>
      <w:r>
        <w:rPr/>
        <w:t>Forli, S., Huey, R., Pique, M. E., Sanner, M. F., Goodsell, D. S., and Olson, A. J. (2016).</w:t>
      </w:r>
      <w:r>
        <w:rPr>
          <w:spacing w:val="1"/>
        </w:rPr>
        <w:t> </w:t>
      </w:r>
      <w:r>
        <w:rPr/>
        <w:t>Computational</w:t>
      </w:r>
      <w:r>
        <w:rPr>
          <w:spacing w:val="1"/>
        </w:rPr>
        <w:t> </w:t>
      </w:r>
      <w:r>
        <w:rPr/>
        <w:t>protein–ligand</w:t>
      </w:r>
      <w:r>
        <w:rPr>
          <w:spacing w:val="1"/>
        </w:rPr>
        <w:t> </w:t>
      </w:r>
      <w:r>
        <w:rPr/>
        <w:t>docking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virtual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screening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AutoDock</w:t>
      </w:r>
      <w:r>
        <w:rPr>
          <w:spacing w:val="1"/>
        </w:rPr>
        <w:t> </w:t>
      </w:r>
      <w:r>
        <w:rPr/>
        <w:t>suite.</w:t>
      </w:r>
      <w:r>
        <w:rPr>
          <w:spacing w:val="7"/>
        </w:rPr>
        <w:t> </w:t>
      </w:r>
      <w:r>
        <w:rPr>
          <w:i/>
        </w:rPr>
        <w:t>Nature</w:t>
      </w:r>
      <w:r>
        <w:rPr>
          <w:i/>
          <w:spacing w:val="1"/>
        </w:rPr>
        <w:t> </w:t>
      </w:r>
      <w:r>
        <w:rPr>
          <w:i/>
        </w:rPr>
        <w:t>Protocols</w:t>
      </w:r>
      <w:r>
        <w:rPr/>
        <w:t>,</w:t>
      </w:r>
      <w:r>
        <w:rPr>
          <w:spacing w:val="3"/>
        </w:rPr>
        <w:t> </w:t>
      </w:r>
      <w:r>
        <w:rPr>
          <w:i/>
        </w:rPr>
        <w:t>11</w:t>
      </w:r>
      <w:r>
        <w:rPr/>
        <w:t>(5),</w:t>
      </w:r>
      <w:r>
        <w:rPr>
          <w:spacing w:val="-1"/>
        </w:rPr>
        <w:t> </w:t>
      </w:r>
      <w:r>
        <w:rPr/>
        <w:t>905.</w:t>
      </w:r>
    </w:p>
    <w:p>
      <w:pPr>
        <w:pStyle w:val="BodyText"/>
        <w:spacing w:before="9"/>
      </w:pPr>
    </w:p>
    <w:p>
      <w:pPr>
        <w:spacing w:line="240" w:lineRule="auto" w:before="1"/>
        <w:ind w:left="1033" w:right="686" w:hanging="721"/>
        <w:jc w:val="both"/>
        <w:rPr>
          <w:sz w:val="24"/>
        </w:rPr>
      </w:pPr>
      <w:r>
        <w:rPr>
          <w:sz w:val="24"/>
        </w:rPr>
        <w:t>Francis,</w:t>
      </w:r>
      <w:r>
        <w:rPr>
          <w:spacing w:val="11"/>
          <w:sz w:val="24"/>
        </w:rPr>
        <w:t> </w:t>
      </w:r>
      <w:r>
        <w:rPr>
          <w:sz w:val="24"/>
        </w:rPr>
        <w:t>S.</w:t>
      </w:r>
      <w:r>
        <w:rPr>
          <w:spacing w:val="11"/>
          <w:sz w:val="24"/>
        </w:rPr>
        <w:t> </w:t>
      </w:r>
      <w:r>
        <w:rPr>
          <w:sz w:val="24"/>
        </w:rPr>
        <w:t>E.,</w:t>
      </w:r>
      <w:r>
        <w:rPr>
          <w:spacing w:val="11"/>
          <w:sz w:val="24"/>
        </w:rPr>
        <w:t> </w:t>
      </w:r>
      <w:r>
        <w:rPr>
          <w:sz w:val="24"/>
        </w:rPr>
        <w:t>Sullivan</w:t>
      </w:r>
      <w:r>
        <w:rPr>
          <w:spacing w:val="9"/>
          <w:sz w:val="24"/>
        </w:rPr>
        <w:t> </w:t>
      </w:r>
      <w:r>
        <w:rPr>
          <w:sz w:val="24"/>
        </w:rPr>
        <w:t>Jr,</w:t>
      </w:r>
      <w:r>
        <w:rPr>
          <w:spacing w:val="11"/>
          <w:sz w:val="24"/>
        </w:rPr>
        <w:t> </w:t>
      </w:r>
      <w:r>
        <w:rPr>
          <w:sz w:val="24"/>
        </w:rPr>
        <w:t>D.</w:t>
      </w:r>
      <w:r>
        <w:rPr>
          <w:spacing w:val="12"/>
          <w:sz w:val="24"/>
        </w:rPr>
        <w:t> </w:t>
      </w:r>
      <w:r>
        <w:rPr>
          <w:sz w:val="24"/>
        </w:rPr>
        <w:t>J.,</w:t>
      </w:r>
      <w:r>
        <w:rPr>
          <w:spacing w:val="11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Goldberg,</w:t>
      </w:r>
      <w:r>
        <w:rPr>
          <w:spacing w:val="11"/>
          <w:sz w:val="24"/>
        </w:rPr>
        <w:t> </w:t>
      </w:r>
      <w:r>
        <w:rPr>
          <w:sz w:val="24"/>
        </w:rPr>
        <w:t>A.</w:t>
      </w:r>
      <w:r>
        <w:rPr>
          <w:spacing w:val="11"/>
          <w:sz w:val="24"/>
        </w:rPr>
        <w:t> </w:t>
      </w:r>
      <w:r>
        <w:rPr>
          <w:sz w:val="24"/>
        </w:rPr>
        <w:t>D.</w:t>
      </w:r>
      <w:r>
        <w:rPr>
          <w:spacing w:val="12"/>
          <w:sz w:val="24"/>
        </w:rPr>
        <w:t> </w:t>
      </w:r>
      <w:r>
        <w:rPr>
          <w:sz w:val="24"/>
        </w:rPr>
        <w:t>E.</w:t>
      </w:r>
      <w:r>
        <w:rPr>
          <w:spacing w:val="11"/>
          <w:sz w:val="24"/>
        </w:rPr>
        <w:t> </w:t>
      </w:r>
      <w:r>
        <w:rPr>
          <w:sz w:val="24"/>
        </w:rPr>
        <w:t>(1997).</w:t>
      </w:r>
      <w:r>
        <w:rPr>
          <w:spacing w:val="12"/>
          <w:sz w:val="24"/>
        </w:rPr>
        <w:t> </w:t>
      </w:r>
      <w:r>
        <w:rPr>
          <w:sz w:val="24"/>
        </w:rPr>
        <w:t>Hemoglobin</w:t>
      </w:r>
      <w:r>
        <w:rPr>
          <w:spacing w:val="14"/>
          <w:sz w:val="24"/>
        </w:rPr>
        <w:t> </w:t>
      </w:r>
      <w:r>
        <w:rPr>
          <w:sz w:val="24"/>
        </w:rPr>
        <w:t>metabolism</w:t>
      </w:r>
      <w:r>
        <w:rPr>
          <w:spacing w:val="-58"/>
          <w:sz w:val="24"/>
        </w:rPr>
        <w:t> </w:t>
      </w:r>
      <w:r>
        <w:rPr>
          <w:sz w:val="24"/>
        </w:rPr>
        <w:t>in the malaria parasite </w:t>
      </w:r>
      <w:r>
        <w:rPr>
          <w:i/>
          <w:sz w:val="24"/>
        </w:rPr>
        <w:t>Plasmodium falciparum</w:t>
      </w:r>
      <w:r>
        <w:rPr>
          <w:sz w:val="24"/>
        </w:rPr>
        <w:t>. </w:t>
      </w:r>
      <w:r>
        <w:rPr>
          <w:i/>
          <w:sz w:val="24"/>
        </w:rPr>
        <w:t>Annual Reviews in Microbiology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51</w:t>
      </w:r>
      <w:r>
        <w:rPr>
          <w:sz w:val="24"/>
        </w:rPr>
        <w:t>(1),97-123.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441"/>
          <w:footerReference w:type="default" r:id="rId442"/>
          <w:pgSz w:w="11910" w:h="16840"/>
          <w:pgMar w:header="0" w:footer="2491" w:top="1200" w:bottom="2680" w:left="1560" w:right="600"/>
        </w:sectPr>
      </w:pPr>
    </w:p>
    <w:p>
      <w:pPr>
        <w:pStyle w:val="BodyText"/>
        <w:spacing w:before="70"/>
        <w:ind w:left="1033" w:right="696" w:hanging="721"/>
        <w:jc w:val="both"/>
      </w:pPr>
      <w:r>
        <w:rPr/>
        <w:t>Gallicchio, E., Lapelosa, M., and Levy, R. M. (2010). Binding energy distribution analysis</w:t>
      </w:r>
      <w:r>
        <w:rPr>
          <w:spacing w:val="-57"/>
        </w:rPr>
        <w:t> </w:t>
      </w:r>
      <w:r>
        <w:rPr/>
        <w:t>method (BEDAM) for estimation of Protein−Ligand binding affinities.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Chemical</w:t>
      </w:r>
      <w:r>
        <w:rPr>
          <w:i/>
          <w:spacing w:val="1"/>
        </w:rPr>
        <w:t> </w:t>
      </w:r>
      <w:r>
        <w:rPr>
          <w:i/>
        </w:rPr>
        <w:t>Theory</w:t>
      </w:r>
      <w:r>
        <w:rPr>
          <w:i/>
          <w:spacing w:val="3"/>
        </w:rPr>
        <w:t> </w:t>
      </w:r>
      <w:r>
        <w:rPr>
          <w:i/>
        </w:rPr>
        <w:t>and</w:t>
      </w:r>
      <w:r>
        <w:rPr>
          <w:i/>
          <w:spacing w:val="2"/>
        </w:rPr>
        <w:t> </w:t>
      </w:r>
      <w:r>
        <w:rPr>
          <w:i/>
        </w:rPr>
        <w:t>Computation</w:t>
      </w:r>
      <w:r>
        <w:rPr/>
        <w:t>,</w:t>
      </w:r>
      <w:r>
        <w:rPr>
          <w:spacing w:val="3"/>
        </w:rPr>
        <w:t> </w:t>
      </w:r>
      <w:r>
        <w:rPr/>
        <w:t>6(9),</w:t>
      </w:r>
      <w:r>
        <w:rPr>
          <w:spacing w:val="-1"/>
        </w:rPr>
        <w:t> </w:t>
      </w:r>
      <w:r>
        <w:rPr/>
        <w:t>2961-2977.</w:t>
      </w:r>
    </w:p>
    <w:p>
      <w:pPr>
        <w:pStyle w:val="BodyText"/>
        <w:spacing w:before="5"/>
        <w:rPr>
          <w:sz w:val="30"/>
        </w:rPr>
      </w:pPr>
    </w:p>
    <w:p>
      <w:pPr>
        <w:spacing w:line="237" w:lineRule="auto" w:before="1"/>
        <w:ind w:left="1033" w:right="690" w:hanging="721"/>
        <w:jc w:val="both"/>
        <w:rPr>
          <w:sz w:val="24"/>
        </w:rPr>
      </w:pPr>
      <w:r>
        <w:rPr>
          <w:sz w:val="24"/>
        </w:rPr>
        <w:t>Gallup, J. L., and Sachs, J. D. (2001). The economic burden of malaria. </w:t>
      </w:r>
      <w:r>
        <w:rPr>
          <w:i/>
          <w:sz w:val="24"/>
        </w:rPr>
        <w:t>The American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Tropical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Hygiene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64</w:t>
      </w:r>
      <w:r>
        <w:rPr>
          <w:sz w:val="24"/>
        </w:rPr>
        <w:t>(1_suppl),</w:t>
      </w:r>
      <w:r>
        <w:rPr>
          <w:spacing w:val="3"/>
          <w:sz w:val="24"/>
        </w:rPr>
        <w:t> </w:t>
      </w:r>
      <w:r>
        <w:rPr>
          <w:sz w:val="24"/>
        </w:rPr>
        <w:t>85-96.</w:t>
      </w:r>
    </w:p>
    <w:p>
      <w:pPr>
        <w:pStyle w:val="BodyText"/>
        <w:spacing w:before="10"/>
      </w:pPr>
    </w:p>
    <w:p>
      <w:pPr>
        <w:spacing w:line="242" w:lineRule="auto" w:before="0"/>
        <w:ind w:left="1033" w:right="696" w:hanging="721"/>
        <w:jc w:val="both"/>
        <w:rPr>
          <w:sz w:val="24"/>
        </w:rPr>
      </w:pPr>
      <w:r>
        <w:rPr>
          <w:sz w:val="24"/>
        </w:rPr>
        <w:t>Ganto, M. M. (2004). </w:t>
      </w:r>
      <w:r>
        <w:rPr>
          <w:i/>
          <w:sz w:val="24"/>
        </w:rPr>
        <w:t>Antiprotozoal quinolines containing electrophilic moieties </w:t>
      </w:r>
      <w:r>
        <w:rPr>
          <w:sz w:val="24"/>
        </w:rPr>
        <w:t>(Doctoral</w:t>
      </w:r>
      <w:r>
        <w:rPr>
          <w:spacing w:val="-57"/>
          <w:sz w:val="24"/>
        </w:rPr>
        <w:t> </w:t>
      </w:r>
      <w:r>
        <w:rPr>
          <w:sz w:val="24"/>
        </w:rPr>
        <w:t>dissertation,</w:t>
      </w:r>
      <w:r>
        <w:rPr>
          <w:spacing w:val="3"/>
          <w:sz w:val="24"/>
        </w:rPr>
        <w:t> </w:t>
      </w:r>
      <w:r>
        <w:rPr>
          <w:sz w:val="24"/>
        </w:rPr>
        <w:t>University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Cape</w:t>
      </w:r>
      <w:r>
        <w:rPr>
          <w:spacing w:val="5"/>
          <w:sz w:val="24"/>
        </w:rPr>
        <w:t> </w:t>
      </w:r>
      <w:r>
        <w:rPr>
          <w:sz w:val="24"/>
        </w:rPr>
        <w:t>Town,</w:t>
      </w:r>
      <w:r>
        <w:rPr>
          <w:spacing w:val="4"/>
          <w:sz w:val="24"/>
        </w:rPr>
        <w:t> </w:t>
      </w:r>
      <w:r>
        <w:rPr>
          <w:sz w:val="24"/>
        </w:rPr>
        <w:t>Cape Town</w:t>
      </w:r>
      <w:r>
        <w:rPr>
          <w:spacing w:val="-4"/>
          <w:sz w:val="24"/>
        </w:rPr>
        <w:t> </w:t>
      </w:r>
      <w:r>
        <w:rPr>
          <w:sz w:val="24"/>
        </w:rPr>
        <w:t>South</w:t>
      </w:r>
      <w:r>
        <w:rPr>
          <w:spacing w:val="-4"/>
          <w:sz w:val="24"/>
        </w:rPr>
        <w:t> </w:t>
      </w:r>
      <w:r>
        <w:rPr>
          <w:sz w:val="24"/>
        </w:rPr>
        <w:t>Africa).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ind w:left="1033" w:right="694" w:hanging="721"/>
        <w:jc w:val="both"/>
      </w:pPr>
      <w:r>
        <w:rPr/>
        <w:t>Gardner,</w:t>
      </w:r>
      <w:r>
        <w:rPr>
          <w:spacing w:val="53"/>
        </w:rPr>
        <w:t> </w:t>
      </w:r>
      <w:r>
        <w:rPr/>
        <w:t>M.</w:t>
      </w:r>
      <w:r>
        <w:rPr>
          <w:spacing w:val="53"/>
        </w:rPr>
        <w:t> </w:t>
      </w:r>
      <w:r>
        <w:rPr/>
        <w:t>J.,</w:t>
      </w:r>
      <w:r>
        <w:rPr>
          <w:spacing w:val="53"/>
        </w:rPr>
        <w:t> </w:t>
      </w:r>
      <w:r>
        <w:rPr/>
        <w:t>Hall,</w:t>
      </w:r>
      <w:r>
        <w:rPr>
          <w:spacing w:val="53"/>
        </w:rPr>
        <w:t> </w:t>
      </w:r>
      <w:r>
        <w:rPr/>
        <w:t>N.,</w:t>
      </w:r>
      <w:r>
        <w:rPr>
          <w:spacing w:val="53"/>
        </w:rPr>
        <w:t> </w:t>
      </w:r>
      <w:r>
        <w:rPr/>
        <w:t>Fung,</w:t>
      </w:r>
      <w:r>
        <w:rPr>
          <w:spacing w:val="53"/>
        </w:rPr>
        <w:t> </w:t>
      </w:r>
      <w:r>
        <w:rPr/>
        <w:t>E.,</w:t>
      </w:r>
      <w:r>
        <w:rPr>
          <w:spacing w:val="53"/>
        </w:rPr>
        <w:t> </w:t>
      </w:r>
      <w:r>
        <w:rPr/>
        <w:t>White,</w:t>
      </w:r>
      <w:r>
        <w:rPr>
          <w:spacing w:val="53"/>
        </w:rPr>
        <w:t> </w:t>
      </w:r>
      <w:r>
        <w:rPr/>
        <w:t>O.,</w:t>
      </w:r>
      <w:r>
        <w:rPr>
          <w:spacing w:val="49"/>
        </w:rPr>
        <w:t> </w:t>
      </w:r>
      <w:r>
        <w:rPr/>
        <w:t>Berriman,</w:t>
      </w:r>
      <w:r>
        <w:rPr>
          <w:spacing w:val="53"/>
        </w:rPr>
        <w:t> </w:t>
      </w:r>
      <w:r>
        <w:rPr/>
        <w:t>M.,</w:t>
      </w:r>
      <w:r>
        <w:rPr>
          <w:spacing w:val="53"/>
        </w:rPr>
        <w:t> </w:t>
      </w:r>
      <w:r>
        <w:rPr/>
        <w:t>Hyman,</w:t>
      </w:r>
      <w:r>
        <w:rPr>
          <w:spacing w:val="53"/>
        </w:rPr>
        <w:t> </w:t>
      </w:r>
      <w:r>
        <w:rPr/>
        <w:t>R.</w:t>
      </w:r>
      <w:r>
        <w:rPr>
          <w:spacing w:val="53"/>
        </w:rPr>
        <w:t> </w:t>
      </w:r>
      <w:r>
        <w:rPr/>
        <w:t>W.,</w:t>
      </w:r>
      <w:r>
        <w:rPr>
          <w:spacing w:val="53"/>
        </w:rPr>
        <w:t> </w:t>
      </w:r>
      <w:r>
        <w:rPr/>
        <w:t>...</w:t>
      </w:r>
      <w:r>
        <w:rPr>
          <w:spacing w:val="53"/>
        </w:rPr>
        <w:t> </w:t>
      </w:r>
      <w:r>
        <w:rPr/>
        <w:t>and</w:t>
      </w:r>
      <w:r>
        <w:rPr>
          <w:spacing w:val="-57"/>
        </w:rPr>
        <w:t> </w:t>
      </w:r>
      <w:r>
        <w:rPr/>
        <w:t>Paulsen, I. T. (2002). Genome sequence of the human malaria parasite </w:t>
      </w:r>
      <w:r>
        <w:rPr>
          <w:i/>
        </w:rPr>
        <w:t>Plasmodium</w:t>
      </w:r>
      <w:r>
        <w:rPr>
          <w:i/>
          <w:spacing w:val="-57"/>
        </w:rPr>
        <w:t> </w:t>
      </w:r>
      <w:r>
        <w:rPr>
          <w:i/>
        </w:rPr>
        <w:t>falciparum</w:t>
      </w:r>
      <w:r>
        <w:rPr/>
        <w:t>.</w:t>
      </w:r>
      <w:r>
        <w:rPr>
          <w:spacing w:val="-1"/>
        </w:rPr>
        <w:t> </w:t>
      </w:r>
      <w:r>
        <w:rPr>
          <w:i/>
        </w:rPr>
        <w:t>Nature</w:t>
      </w:r>
      <w:r>
        <w:rPr/>
        <w:t>,</w:t>
      </w:r>
      <w:r>
        <w:rPr>
          <w:spacing w:val="4"/>
        </w:rPr>
        <w:t> </w:t>
      </w:r>
      <w:r>
        <w:rPr>
          <w:i/>
        </w:rPr>
        <w:t>419</w:t>
      </w:r>
      <w:r>
        <w:rPr/>
        <w:t>(6906),498.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2"/>
        </w:rPr>
      </w:pPr>
    </w:p>
    <w:p>
      <w:pPr>
        <w:spacing w:line="237" w:lineRule="auto" w:before="0"/>
        <w:ind w:left="1033" w:right="690" w:hanging="721"/>
        <w:jc w:val="both"/>
        <w:rPr>
          <w:sz w:val="24"/>
        </w:rPr>
      </w:pPr>
      <w:r>
        <w:rPr>
          <w:sz w:val="24"/>
        </w:rPr>
        <w:t>Genheden, S., and Ryde, U. (2015). The MM/PBSA and MM/GBSA methods to estimate</w:t>
      </w:r>
      <w:r>
        <w:rPr>
          <w:spacing w:val="1"/>
          <w:sz w:val="24"/>
        </w:rPr>
        <w:t> </w:t>
      </w:r>
      <w:r>
        <w:rPr>
          <w:sz w:val="24"/>
        </w:rPr>
        <w:t>ligand-</w:t>
      </w:r>
      <w:r>
        <w:rPr>
          <w:spacing w:val="2"/>
          <w:sz w:val="24"/>
        </w:rPr>
        <w:t> </w:t>
      </w:r>
      <w:r>
        <w:rPr>
          <w:sz w:val="24"/>
        </w:rPr>
        <w:t>binding affinities.</w:t>
      </w:r>
      <w:r>
        <w:rPr>
          <w:spacing w:val="5"/>
          <w:sz w:val="24"/>
        </w:rPr>
        <w:t> </w:t>
      </w:r>
      <w:r>
        <w:rPr>
          <w:i/>
          <w:sz w:val="24"/>
        </w:rPr>
        <w:t>Expert Opinion on Drug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Discovery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i/>
          <w:sz w:val="24"/>
        </w:rPr>
        <w:t>10</w:t>
      </w:r>
      <w:r>
        <w:rPr>
          <w:sz w:val="24"/>
        </w:rPr>
        <w:t>(5),</w:t>
      </w:r>
      <w:r>
        <w:rPr>
          <w:spacing w:val="-3"/>
          <w:sz w:val="24"/>
        </w:rPr>
        <w:t> </w:t>
      </w:r>
      <w:r>
        <w:rPr>
          <w:sz w:val="24"/>
        </w:rPr>
        <w:t>449-461.</w:t>
      </w:r>
    </w:p>
    <w:p>
      <w:pPr>
        <w:pStyle w:val="BodyText"/>
        <w:spacing w:before="10"/>
      </w:pPr>
    </w:p>
    <w:p>
      <w:pPr>
        <w:tabs>
          <w:tab w:pos="1954" w:val="left" w:leader="none"/>
          <w:tab w:pos="2727" w:val="left" w:leader="none"/>
          <w:tab w:pos="3283" w:val="left" w:leader="none"/>
          <w:tab w:pos="4496" w:val="left" w:leader="none"/>
          <w:tab w:pos="4909" w:val="left" w:leader="none"/>
          <w:tab w:pos="5426" w:val="left" w:leader="none"/>
          <w:tab w:pos="6842" w:val="left" w:leader="none"/>
        </w:tabs>
        <w:spacing w:line="240" w:lineRule="auto" w:before="1"/>
        <w:ind w:left="1033" w:right="706" w:hanging="721"/>
        <w:jc w:val="left"/>
        <w:rPr>
          <w:sz w:val="24"/>
        </w:rPr>
      </w:pPr>
      <w:r>
        <w:rPr>
          <w:sz w:val="24"/>
        </w:rPr>
        <w:t>Gluzman, I. Y., Francis, S. E., Oksman, A., Smith, C. E., Duffin, K. L., and Goldberg, D.</w:t>
      </w:r>
      <w:r>
        <w:rPr>
          <w:spacing w:val="1"/>
          <w:sz w:val="24"/>
        </w:rPr>
        <w:t> </w:t>
      </w:r>
      <w:r>
        <w:rPr>
          <w:sz w:val="24"/>
        </w:rPr>
        <w:t>(1994).</w:t>
        <w:tab/>
        <w:t>Order</w:t>
        <w:tab/>
        <w:t>and</w:t>
        <w:tab/>
        <w:t>specificity</w:t>
        <w:tab/>
        <w:t>of</w:t>
        <w:tab/>
        <w:t>the</w:t>
        <w:tab/>
      </w:r>
      <w:r>
        <w:rPr>
          <w:i/>
          <w:sz w:val="24"/>
        </w:rPr>
        <w:t>Plasmodium</w:t>
        <w:tab/>
      </w:r>
      <w:r>
        <w:rPr>
          <w:i/>
          <w:spacing w:val="-1"/>
          <w:sz w:val="24"/>
        </w:rPr>
        <w:t>falciparum</w:t>
      </w:r>
      <w:r>
        <w:rPr>
          <w:spacing w:val="-1"/>
          <w:sz w:val="24"/>
        </w:rPr>
        <w:t>hemoglobin</w:t>
      </w:r>
      <w:r>
        <w:rPr>
          <w:spacing w:val="-57"/>
          <w:sz w:val="24"/>
        </w:rPr>
        <w:t> </w:t>
      </w:r>
      <w:r>
        <w:rPr>
          <w:sz w:val="24"/>
        </w:rPr>
        <w:t>degradation</w:t>
      </w:r>
      <w:r>
        <w:rPr>
          <w:spacing w:val="39"/>
          <w:sz w:val="24"/>
        </w:rPr>
        <w:t> </w:t>
      </w:r>
      <w:r>
        <w:rPr>
          <w:sz w:val="24"/>
        </w:rPr>
        <w:t>pathway.</w:t>
      </w:r>
      <w:r>
        <w:rPr>
          <w:spacing w:val="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Clinical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Investigation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93</w:t>
      </w:r>
      <w:r>
        <w:rPr>
          <w:sz w:val="24"/>
        </w:rPr>
        <w:t>(4),1602-1608.</w:t>
      </w:r>
    </w:p>
    <w:p>
      <w:pPr>
        <w:pStyle w:val="BodyText"/>
        <w:spacing w:before="5"/>
      </w:pPr>
    </w:p>
    <w:p>
      <w:pPr>
        <w:spacing w:line="242" w:lineRule="auto" w:before="0"/>
        <w:ind w:left="1033" w:right="699" w:hanging="721"/>
        <w:jc w:val="left"/>
        <w:rPr>
          <w:sz w:val="24"/>
        </w:rPr>
      </w:pPr>
      <w:r>
        <w:rPr>
          <w:sz w:val="24"/>
        </w:rPr>
        <w:t>Go,</w:t>
      </w:r>
      <w:r>
        <w:rPr>
          <w:spacing w:val="11"/>
          <w:sz w:val="24"/>
        </w:rPr>
        <w:t> </w:t>
      </w:r>
      <w:r>
        <w:rPr>
          <w:sz w:val="24"/>
        </w:rPr>
        <w:t>M.</w:t>
      </w:r>
      <w:r>
        <w:rPr>
          <w:spacing w:val="11"/>
          <w:sz w:val="24"/>
        </w:rPr>
        <w:t> </w:t>
      </w:r>
      <w:r>
        <w:rPr>
          <w:sz w:val="24"/>
        </w:rPr>
        <w:t>L.</w:t>
      </w:r>
      <w:r>
        <w:rPr>
          <w:spacing w:val="7"/>
          <w:sz w:val="24"/>
        </w:rPr>
        <w:t> </w:t>
      </w:r>
      <w:r>
        <w:rPr>
          <w:sz w:val="24"/>
        </w:rPr>
        <w:t>(2003),</w:t>
      </w:r>
      <w:r>
        <w:rPr>
          <w:spacing w:val="11"/>
          <w:sz w:val="24"/>
        </w:rPr>
        <w:t> </w:t>
      </w:r>
      <w:r>
        <w:rPr>
          <w:sz w:val="24"/>
        </w:rPr>
        <w:t>Novel</w:t>
      </w:r>
      <w:r>
        <w:rPr>
          <w:spacing w:val="5"/>
          <w:sz w:val="24"/>
        </w:rPr>
        <w:t> </w:t>
      </w:r>
      <w:r>
        <w:rPr>
          <w:sz w:val="24"/>
        </w:rPr>
        <w:t>antiplasmodial</w:t>
      </w:r>
      <w:r>
        <w:rPr>
          <w:spacing w:val="6"/>
          <w:sz w:val="24"/>
        </w:rPr>
        <w:t> </w:t>
      </w:r>
      <w:r>
        <w:rPr>
          <w:sz w:val="24"/>
        </w:rPr>
        <w:t>agents.</w:t>
      </w:r>
      <w:r>
        <w:rPr>
          <w:spacing w:val="13"/>
          <w:sz w:val="24"/>
        </w:rPr>
        <w:t> </w:t>
      </w:r>
      <w:r>
        <w:rPr>
          <w:i/>
          <w:sz w:val="24"/>
        </w:rPr>
        <w:t>Medicinal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Reviews</w:t>
      </w:r>
      <w:r>
        <w:rPr>
          <w:sz w:val="24"/>
        </w:rPr>
        <w:t>,</w:t>
      </w:r>
      <w:r>
        <w:rPr>
          <w:spacing w:val="12"/>
          <w:sz w:val="24"/>
        </w:rPr>
        <w:t> </w:t>
      </w:r>
      <w:r>
        <w:rPr>
          <w:i/>
          <w:sz w:val="24"/>
        </w:rPr>
        <w:t>23</w:t>
      </w:r>
      <w:r>
        <w:rPr>
          <w:sz w:val="24"/>
        </w:rPr>
        <w:t>(4),</w:t>
      </w:r>
      <w:r>
        <w:rPr>
          <w:spacing w:val="11"/>
          <w:sz w:val="24"/>
        </w:rPr>
        <w:t> </w:t>
      </w:r>
      <w:r>
        <w:rPr>
          <w:sz w:val="24"/>
        </w:rPr>
        <w:t>456-</w:t>
      </w:r>
      <w:r>
        <w:rPr>
          <w:spacing w:val="-57"/>
          <w:sz w:val="24"/>
        </w:rPr>
        <w:t> </w:t>
      </w:r>
      <w:r>
        <w:rPr>
          <w:sz w:val="24"/>
        </w:rPr>
        <w:t>487.</w:t>
      </w:r>
    </w:p>
    <w:p>
      <w:pPr>
        <w:pStyle w:val="BodyText"/>
        <w:spacing w:before="6"/>
      </w:pPr>
    </w:p>
    <w:p>
      <w:pPr>
        <w:spacing w:line="240" w:lineRule="auto" w:before="0"/>
        <w:ind w:left="1033" w:right="680" w:hanging="721"/>
        <w:jc w:val="both"/>
        <w:rPr>
          <w:sz w:val="24"/>
        </w:rPr>
      </w:pPr>
      <w:r>
        <w:rPr>
          <w:sz w:val="24"/>
        </w:rPr>
        <w:t>Go, M. L., Liu, M., Wilairat, P., Rosenthal, P. J., Saliba, K. J., and Kirk, K. (2004).</w:t>
      </w:r>
      <w:r>
        <w:rPr>
          <w:spacing w:val="1"/>
          <w:sz w:val="24"/>
        </w:rPr>
        <w:t> </w:t>
      </w:r>
      <w:r>
        <w:rPr>
          <w:sz w:val="24"/>
        </w:rPr>
        <w:t>Antiplasmodial</w:t>
      </w:r>
      <w:r>
        <w:rPr>
          <w:spacing w:val="1"/>
          <w:sz w:val="24"/>
        </w:rPr>
        <w:t> </w:t>
      </w:r>
      <w:r>
        <w:rPr>
          <w:sz w:val="24"/>
        </w:rPr>
        <w:t>chalcones</w:t>
      </w:r>
      <w:r>
        <w:rPr>
          <w:spacing w:val="1"/>
          <w:sz w:val="24"/>
        </w:rPr>
        <w:t> </w:t>
      </w:r>
      <w:r>
        <w:rPr>
          <w:sz w:val="24"/>
        </w:rPr>
        <w:t>inhibit</w:t>
      </w:r>
      <w:r>
        <w:rPr>
          <w:spacing w:val="1"/>
          <w:sz w:val="24"/>
        </w:rPr>
        <w:t> </w:t>
      </w:r>
      <w:r>
        <w:rPr>
          <w:sz w:val="24"/>
        </w:rPr>
        <w:t>sorbitol-induced</w:t>
      </w:r>
      <w:r>
        <w:rPr>
          <w:spacing w:val="1"/>
          <w:sz w:val="24"/>
        </w:rPr>
        <w:t> </w:t>
      </w:r>
      <w:r>
        <w:rPr>
          <w:sz w:val="24"/>
        </w:rPr>
        <w:t>hemolysis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Plasmodiumfalciparum</w:t>
      </w:r>
      <w:r>
        <w:rPr>
          <w:sz w:val="24"/>
        </w:rPr>
        <w:t>-infected</w:t>
      </w:r>
      <w:r>
        <w:rPr>
          <w:spacing w:val="1"/>
          <w:sz w:val="24"/>
        </w:rPr>
        <w:t> </w:t>
      </w:r>
      <w:r>
        <w:rPr>
          <w:sz w:val="24"/>
        </w:rPr>
        <w:t>erythrocytes.</w:t>
      </w:r>
      <w:r>
        <w:rPr>
          <w:spacing w:val="1"/>
          <w:sz w:val="24"/>
        </w:rPr>
        <w:t> </w:t>
      </w:r>
      <w:r>
        <w:rPr>
          <w:i/>
          <w:sz w:val="24"/>
        </w:rPr>
        <w:t>Antimicrobial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Agents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Chemotherapy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48</w:t>
      </w:r>
      <w:r>
        <w:rPr>
          <w:sz w:val="24"/>
        </w:rPr>
        <w:t>(9),3241-3245.</w:t>
      </w:r>
    </w:p>
    <w:p>
      <w:pPr>
        <w:pStyle w:val="BodyText"/>
        <w:spacing w:before="8"/>
      </w:pPr>
    </w:p>
    <w:p>
      <w:pPr>
        <w:spacing w:line="242" w:lineRule="auto" w:before="0"/>
        <w:ind w:left="1033" w:right="699" w:hanging="721"/>
        <w:jc w:val="left"/>
        <w:rPr>
          <w:sz w:val="24"/>
        </w:rPr>
      </w:pPr>
      <w:r>
        <w:rPr>
          <w:sz w:val="24"/>
        </w:rPr>
        <w:t>Goldberg,</w:t>
      </w:r>
      <w:r>
        <w:rPr>
          <w:spacing w:val="19"/>
          <w:sz w:val="24"/>
        </w:rPr>
        <w:t> </w:t>
      </w:r>
      <w:r>
        <w:rPr>
          <w:sz w:val="24"/>
        </w:rPr>
        <w:t>D.</w:t>
      </w:r>
      <w:r>
        <w:rPr>
          <w:spacing w:val="19"/>
          <w:sz w:val="24"/>
        </w:rPr>
        <w:t> </w:t>
      </w:r>
      <w:r>
        <w:rPr>
          <w:sz w:val="24"/>
        </w:rPr>
        <w:t>E.</w:t>
      </w:r>
      <w:r>
        <w:rPr>
          <w:spacing w:val="14"/>
          <w:sz w:val="24"/>
        </w:rPr>
        <w:t> </w:t>
      </w:r>
      <w:r>
        <w:rPr>
          <w:sz w:val="24"/>
        </w:rPr>
        <w:t>(2005).</w:t>
      </w:r>
      <w:r>
        <w:rPr>
          <w:spacing w:val="14"/>
          <w:sz w:val="24"/>
        </w:rPr>
        <w:t> </w:t>
      </w:r>
      <w:r>
        <w:rPr>
          <w:sz w:val="24"/>
        </w:rPr>
        <w:t>Hemoglobin</w:t>
      </w:r>
      <w:r>
        <w:rPr>
          <w:spacing w:val="18"/>
          <w:sz w:val="24"/>
        </w:rPr>
        <w:t> </w:t>
      </w:r>
      <w:r>
        <w:rPr>
          <w:sz w:val="24"/>
        </w:rPr>
        <w:t>degradation.</w:t>
      </w:r>
      <w:r>
        <w:rPr>
          <w:spacing w:val="19"/>
          <w:sz w:val="24"/>
        </w:rPr>
        <w:t> </w:t>
      </w:r>
      <w:r>
        <w:rPr>
          <w:sz w:val="24"/>
        </w:rPr>
        <w:t>In</w:t>
      </w:r>
      <w:r>
        <w:rPr>
          <w:spacing w:val="20"/>
          <w:sz w:val="24"/>
        </w:rPr>
        <w:t> </w:t>
      </w:r>
      <w:r>
        <w:rPr>
          <w:i/>
          <w:sz w:val="24"/>
        </w:rPr>
        <w:t>Malaria: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Drugs,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Disease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7"/>
          <w:sz w:val="24"/>
        </w:rPr>
        <w:t> </w:t>
      </w:r>
      <w:r>
        <w:rPr>
          <w:i/>
          <w:sz w:val="24"/>
        </w:rPr>
        <w:t>Post-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genomic Biology</w:t>
      </w:r>
      <w:r>
        <w:rPr>
          <w:i/>
          <w:spacing w:val="2"/>
          <w:sz w:val="24"/>
        </w:rPr>
        <w:t> </w:t>
      </w:r>
      <w:r>
        <w:rPr>
          <w:sz w:val="24"/>
        </w:rPr>
        <w:t>Springer,</w:t>
      </w:r>
      <w:r>
        <w:rPr>
          <w:spacing w:val="3"/>
          <w:sz w:val="24"/>
        </w:rPr>
        <w:t> </w:t>
      </w:r>
      <w:r>
        <w:rPr>
          <w:sz w:val="24"/>
        </w:rPr>
        <w:t>Berlin,</w:t>
      </w:r>
      <w:r>
        <w:rPr>
          <w:spacing w:val="4"/>
          <w:sz w:val="24"/>
        </w:rPr>
        <w:t> </w:t>
      </w:r>
      <w:r>
        <w:rPr>
          <w:sz w:val="24"/>
        </w:rPr>
        <w:t>Heidelberg.</w:t>
      </w:r>
      <w:r>
        <w:rPr>
          <w:spacing w:val="7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275-291.</w:t>
      </w:r>
    </w:p>
    <w:p>
      <w:pPr>
        <w:pStyle w:val="BodyText"/>
        <w:spacing w:before="2"/>
      </w:pPr>
    </w:p>
    <w:p>
      <w:pPr>
        <w:pStyle w:val="BodyText"/>
        <w:spacing w:before="1"/>
        <w:ind w:left="1033" w:right="704" w:hanging="721"/>
        <w:jc w:val="both"/>
      </w:pPr>
      <w:r>
        <w:rPr/>
        <w:t>Goldberg, D. E., Slater, A. F., Beavis, R., Chait, B., Cerami, A., and Henderson, G. B.</w:t>
      </w:r>
      <w:r>
        <w:rPr>
          <w:spacing w:val="1"/>
        </w:rPr>
        <w:t> </w:t>
      </w:r>
      <w:r>
        <w:rPr/>
        <w:t>(1991).</w:t>
      </w:r>
      <w:r>
        <w:rPr>
          <w:spacing w:val="1"/>
        </w:rPr>
        <w:t> </w:t>
      </w:r>
      <w:r>
        <w:rPr/>
        <w:t>Hemoglobin</w:t>
      </w:r>
      <w:r>
        <w:rPr>
          <w:spacing w:val="1"/>
        </w:rPr>
        <w:t> </w:t>
      </w:r>
      <w:r>
        <w:rPr/>
        <w:t>degradation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pathogen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/>
        <w:t>: a catabolic pathway initiated by a specific aspartic protease. </w:t>
      </w:r>
      <w:r>
        <w:rPr>
          <w:i/>
        </w:rPr>
        <w:t>Journal of</w:t>
      </w:r>
      <w:r>
        <w:rPr>
          <w:i/>
          <w:spacing w:val="-57"/>
        </w:rPr>
        <w:t> </w:t>
      </w:r>
      <w:r>
        <w:rPr>
          <w:i/>
        </w:rPr>
        <w:t>Experimental</w:t>
      </w:r>
      <w:r>
        <w:rPr>
          <w:i/>
          <w:spacing w:val="1"/>
        </w:rPr>
        <w:t> </w:t>
      </w:r>
      <w:r>
        <w:rPr>
          <w:i/>
        </w:rPr>
        <w:t>Medicine</w:t>
      </w:r>
      <w:r>
        <w:rPr/>
        <w:t>,</w:t>
      </w:r>
      <w:r>
        <w:rPr>
          <w:spacing w:val="4"/>
        </w:rPr>
        <w:t> </w:t>
      </w:r>
      <w:r>
        <w:rPr>
          <w:i/>
        </w:rPr>
        <w:t>173</w:t>
      </w:r>
      <w:r>
        <w:rPr/>
        <w:t>(4),961-969.</w:t>
      </w:r>
    </w:p>
    <w:p>
      <w:pPr>
        <w:pStyle w:val="BodyText"/>
        <w:spacing w:before="5"/>
        <w:rPr>
          <w:sz w:val="30"/>
        </w:rPr>
      </w:pPr>
    </w:p>
    <w:p>
      <w:pPr>
        <w:pStyle w:val="BodyText"/>
        <w:ind w:left="1033" w:right="689" w:hanging="721"/>
        <w:jc w:val="both"/>
      </w:pPr>
      <w:r>
        <w:rPr/>
        <w:t>Gomes, M. N., Muratov, E. N., Pereira, M., Peixoto, J. C., Rosseto, L. P., Cravo, P. V., ...</w:t>
      </w:r>
      <w:r>
        <w:rPr>
          <w:spacing w:val="1"/>
        </w:rPr>
        <w:t> </w:t>
      </w:r>
      <w:r>
        <w:rPr/>
        <w:t>and Neves,</w:t>
      </w:r>
      <w:r>
        <w:rPr>
          <w:spacing w:val="1"/>
        </w:rPr>
        <w:t> </w:t>
      </w:r>
      <w:r>
        <w:rPr/>
        <w:t>B. J. (2017).</w:t>
      </w:r>
      <w:r>
        <w:rPr>
          <w:spacing w:val="1"/>
        </w:rPr>
        <w:t> </w:t>
      </w:r>
      <w:r>
        <w:rPr/>
        <w:t>Chalcone derivatives: promising starting points for drug</w:t>
      </w:r>
      <w:r>
        <w:rPr>
          <w:spacing w:val="1"/>
        </w:rPr>
        <w:t> </w:t>
      </w:r>
      <w:r>
        <w:rPr/>
        <w:t>design.</w:t>
      </w:r>
      <w:r>
        <w:rPr>
          <w:spacing w:val="4"/>
        </w:rPr>
        <w:t> </w:t>
      </w:r>
      <w:r>
        <w:rPr>
          <w:i/>
        </w:rPr>
        <w:t>Molecules</w:t>
      </w:r>
      <w:r>
        <w:rPr/>
        <w:t>,</w:t>
      </w:r>
      <w:r>
        <w:rPr>
          <w:spacing w:val="4"/>
        </w:rPr>
        <w:t> </w:t>
      </w:r>
      <w:r>
        <w:rPr>
          <w:i/>
        </w:rPr>
        <w:t>22</w:t>
      </w:r>
      <w:r>
        <w:rPr/>
        <w:t>(8),1210.</w:t>
      </w:r>
    </w:p>
    <w:p>
      <w:pPr>
        <w:pStyle w:val="BodyText"/>
        <w:spacing w:before="6"/>
        <w:rPr>
          <w:sz w:val="36"/>
        </w:rPr>
      </w:pPr>
    </w:p>
    <w:p>
      <w:pPr>
        <w:pStyle w:val="BodyText"/>
        <w:spacing w:line="242" w:lineRule="auto" w:before="1"/>
        <w:ind w:left="1033" w:right="694" w:hanging="721"/>
      </w:pPr>
      <w:r>
        <w:rPr/>
        <w:t>Gutiérrez-de-Terán,</w:t>
      </w:r>
      <w:r>
        <w:rPr>
          <w:spacing w:val="28"/>
        </w:rPr>
        <w:t> </w:t>
      </w:r>
      <w:r>
        <w:rPr/>
        <w:t>H.,</w:t>
      </w:r>
      <w:r>
        <w:rPr>
          <w:spacing w:val="28"/>
        </w:rPr>
        <w:t> </w:t>
      </w:r>
      <w:r>
        <w:rPr/>
        <w:t>Nervall,</w:t>
      </w:r>
      <w:r>
        <w:rPr>
          <w:spacing w:val="31"/>
        </w:rPr>
        <w:t> </w:t>
      </w:r>
      <w:r>
        <w:rPr/>
        <w:t>M.,</w:t>
      </w:r>
      <w:r>
        <w:rPr>
          <w:spacing w:val="28"/>
        </w:rPr>
        <w:t> </w:t>
      </w:r>
      <w:r>
        <w:rPr/>
        <w:t>Ersmark,</w:t>
      </w:r>
      <w:r>
        <w:rPr>
          <w:spacing w:val="28"/>
        </w:rPr>
        <w:t> </w:t>
      </w:r>
      <w:r>
        <w:rPr/>
        <w:t>K.,</w:t>
      </w:r>
      <w:r>
        <w:rPr>
          <w:spacing w:val="28"/>
        </w:rPr>
        <w:t> </w:t>
      </w:r>
      <w:r>
        <w:rPr/>
        <w:t>Liu,</w:t>
      </w:r>
      <w:r>
        <w:rPr>
          <w:spacing w:val="28"/>
        </w:rPr>
        <w:t> </w:t>
      </w:r>
      <w:r>
        <w:rPr/>
        <w:t>P.,</w:t>
      </w:r>
      <w:r>
        <w:rPr>
          <w:spacing w:val="28"/>
        </w:rPr>
        <w:t> </w:t>
      </w:r>
      <w:r>
        <w:rPr/>
        <w:t>Janka,</w:t>
      </w:r>
      <w:r>
        <w:rPr>
          <w:spacing w:val="28"/>
        </w:rPr>
        <w:t> </w:t>
      </w:r>
      <w:r>
        <w:rPr/>
        <w:t>L.</w:t>
      </w:r>
      <w:r>
        <w:rPr>
          <w:spacing w:val="29"/>
        </w:rPr>
        <w:t> </w:t>
      </w:r>
      <w:r>
        <w:rPr/>
        <w:t>K.,</w:t>
      </w:r>
      <w:r>
        <w:rPr>
          <w:spacing w:val="28"/>
        </w:rPr>
        <w:t> </w:t>
      </w:r>
      <w:r>
        <w:rPr/>
        <w:t>Dunn,</w:t>
      </w:r>
      <w:r>
        <w:rPr>
          <w:spacing w:val="28"/>
        </w:rPr>
        <w:t> </w:t>
      </w:r>
      <w:r>
        <w:rPr/>
        <w:t>B.,</w:t>
      </w:r>
      <w:r>
        <w:rPr>
          <w:spacing w:val="28"/>
        </w:rPr>
        <w:t> </w:t>
      </w:r>
      <w:r>
        <w:rPr/>
        <w:t>...</w:t>
      </w:r>
      <w:r>
        <w:rPr>
          <w:spacing w:val="23"/>
        </w:rPr>
        <w:t> </w:t>
      </w:r>
      <w:r>
        <w:rPr/>
        <w:t>&amp;</w:t>
      </w:r>
      <w:r>
        <w:rPr>
          <w:spacing w:val="-57"/>
        </w:rPr>
        <w:t> </w:t>
      </w:r>
      <w:r>
        <w:rPr/>
        <w:t>Åqvist,</w:t>
      </w:r>
      <w:r>
        <w:rPr>
          <w:spacing w:val="33"/>
        </w:rPr>
        <w:t> </w:t>
      </w:r>
      <w:r>
        <w:rPr/>
        <w:t>J.</w:t>
      </w:r>
      <w:r>
        <w:rPr>
          <w:spacing w:val="34"/>
        </w:rPr>
        <w:t> </w:t>
      </w:r>
      <w:r>
        <w:rPr/>
        <w:t>(2006).</w:t>
      </w:r>
      <w:r>
        <w:rPr>
          <w:spacing w:val="34"/>
        </w:rPr>
        <w:t> </w:t>
      </w:r>
      <w:r>
        <w:rPr/>
        <w:t>Inhibitor</w:t>
      </w:r>
      <w:r>
        <w:rPr>
          <w:spacing w:val="34"/>
        </w:rPr>
        <w:t> </w:t>
      </w:r>
      <w:r>
        <w:rPr/>
        <w:t>binding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the</w:t>
      </w:r>
      <w:r>
        <w:rPr>
          <w:spacing w:val="31"/>
        </w:rPr>
        <w:t> </w:t>
      </w:r>
      <w:r>
        <w:rPr/>
        <w:t>plasmepsin</w:t>
      </w:r>
      <w:r>
        <w:rPr>
          <w:spacing w:val="32"/>
        </w:rPr>
        <w:t> </w:t>
      </w:r>
      <w:r>
        <w:rPr/>
        <w:t>IV</w:t>
      </w:r>
      <w:r>
        <w:rPr>
          <w:spacing w:val="32"/>
        </w:rPr>
        <w:t> </w:t>
      </w:r>
      <w:r>
        <w:rPr/>
        <w:t>aspartic</w:t>
      </w:r>
      <w:r>
        <w:rPr>
          <w:spacing w:val="36"/>
        </w:rPr>
        <w:t> </w:t>
      </w:r>
      <w:r>
        <w:rPr/>
        <w:t>protease</w:t>
      </w:r>
      <w:r>
        <w:rPr>
          <w:spacing w:val="36"/>
        </w:rPr>
        <w:t> </w:t>
      </w:r>
      <w:r>
        <w:rPr/>
        <w:t>from</w:t>
      </w:r>
    </w:p>
    <w:p>
      <w:pPr>
        <w:spacing w:after="0" w:line="242" w:lineRule="auto"/>
        <w:sectPr>
          <w:headerReference w:type="default" r:id="rId443"/>
          <w:footerReference w:type="default" r:id="rId444"/>
          <w:pgSz w:w="11910" w:h="16840"/>
          <w:pgMar w:header="0" w:footer="2491" w:top="1200" w:bottom="2680" w:left="1560" w:right="600"/>
        </w:sectPr>
      </w:pPr>
    </w:p>
    <w:p>
      <w:pPr>
        <w:spacing w:before="70"/>
        <w:ind w:left="1033" w:right="0" w:firstLine="0"/>
        <w:jc w:val="left"/>
        <w:rPr>
          <w:sz w:val="24"/>
        </w:rPr>
      </w:pPr>
      <w:r>
        <w:rPr>
          <w:i/>
          <w:sz w:val="24"/>
        </w:rPr>
        <w:t>Plasmodium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falciparum</w:t>
      </w:r>
      <w:r>
        <w:rPr>
          <w:sz w:val="24"/>
        </w:rPr>
        <w:t>.</w:t>
      </w:r>
      <w:r>
        <w:rPr>
          <w:spacing w:val="-3"/>
          <w:sz w:val="24"/>
        </w:rPr>
        <w:t> </w:t>
      </w:r>
      <w:r>
        <w:rPr>
          <w:i/>
          <w:sz w:val="24"/>
        </w:rPr>
        <w:t>Biochemistry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45</w:t>
      </w:r>
      <w:r>
        <w:rPr>
          <w:sz w:val="24"/>
        </w:rPr>
        <w:t>(35),</w:t>
      </w:r>
      <w:r>
        <w:rPr>
          <w:spacing w:val="1"/>
          <w:sz w:val="24"/>
        </w:rPr>
        <w:t> </w:t>
      </w:r>
      <w:r>
        <w:rPr>
          <w:sz w:val="24"/>
        </w:rPr>
        <w:t>10529-10541.</w:t>
      </w:r>
    </w:p>
    <w:p>
      <w:pPr>
        <w:pStyle w:val="BodyText"/>
        <w:spacing w:before="9"/>
      </w:pPr>
    </w:p>
    <w:p>
      <w:pPr>
        <w:spacing w:line="242" w:lineRule="auto" w:before="0"/>
        <w:ind w:left="1033" w:right="694" w:hanging="721"/>
        <w:jc w:val="both"/>
        <w:rPr>
          <w:sz w:val="24"/>
        </w:rPr>
      </w:pPr>
      <w:r>
        <w:rPr>
          <w:sz w:val="24"/>
        </w:rPr>
        <w:t>Hayton, K., and Su, X. Z. (2004). Genetic and biochemical aspects of drug resistance in</w:t>
      </w:r>
      <w:r>
        <w:rPr>
          <w:spacing w:val="1"/>
          <w:sz w:val="24"/>
        </w:rPr>
        <w:t> </w:t>
      </w:r>
      <w:r>
        <w:rPr>
          <w:sz w:val="24"/>
        </w:rPr>
        <w:t>malaria</w:t>
      </w:r>
      <w:r>
        <w:rPr>
          <w:spacing w:val="-1"/>
          <w:sz w:val="24"/>
        </w:rPr>
        <w:t> </w:t>
      </w:r>
      <w:r>
        <w:rPr>
          <w:sz w:val="24"/>
        </w:rPr>
        <w:t>parasites.</w:t>
      </w:r>
      <w:r>
        <w:rPr>
          <w:spacing w:val="6"/>
          <w:sz w:val="24"/>
        </w:rPr>
        <w:t> </w:t>
      </w:r>
      <w:r>
        <w:rPr>
          <w:i/>
          <w:sz w:val="24"/>
        </w:rPr>
        <w:t>Current Drug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Targets-Infectious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Disorders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4</w:t>
      </w:r>
      <w:r>
        <w:rPr>
          <w:sz w:val="24"/>
        </w:rPr>
        <w:t>(1),</w:t>
      </w:r>
      <w:r>
        <w:rPr>
          <w:spacing w:val="2"/>
          <w:sz w:val="24"/>
        </w:rPr>
        <w:t> </w:t>
      </w:r>
      <w:r>
        <w:rPr>
          <w:sz w:val="24"/>
        </w:rPr>
        <w:t>1-10.</w:t>
      </w:r>
    </w:p>
    <w:p>
      <w:pPr>
        <w:pStyle w:val="BodyText"/>
        <w:spacing w:before="7"/>
      </w:pPr>
    </w:p>
    <w:p>
      <w:pPr>
        <w:pStyle w:val="BodyText"/>
        <w:ind w:left="1033" w:right="702" w:hanging="721"/>
        <w:jc w:val="both"/>
      </w:pPr>
      <w:r>
        <w:rPr/>
        <w:t>Hoffman,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L.,</w:t>
      </w:r>
      <w:r>
        <w:rPr>
          <w:spacing w:val="1"/>
        </w:rPr>
        <w:t> </w:t>
      </w:r>
      <w:r>
        <w:rPr/>
        <w:t>Subramanian,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Collins,</w:t>
      </w:r>
      <w:r>
        <w:rPr>
          <w:spacing w:val="1"/>
        </w:rPr>
        <w:t> </w:t>
      </w:r>
      <w:r>
        <w:rPr/>
        <w:t>F.</w:t>
      </w:r>
      <w:r>
        <w:rPr>
          <w:spacing w:val="1"/>
        </w:rPr>
        <w:t> </w:t>
      </w:r>
      <w:r>
        <w:rPr/>
        <w:t>H.,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Venter,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C.</w:t>
      </w:r>
      <w:r>
        <w:rPr>
          <w:spacing w:val="60"/>
        </w:rPr>
        <w:t> </w:t>
      </w:r>
      <w:r>
        <w:rPr/>
        <w:t>(2002).</w:t>
      </w:r>
      <w:r>
        <w:rPr>
          <w:spacing w:val="1"/>
        </w:rPr>
        <w:t> </w:t>
      </w:r>
      <w:r>
        <w:rPr>
          <w:i/>
        </w:rPr>
        <w:t>Plasmodium</w:t>
      </w:r>
      <w:r>
        <w:rPr/>
        <w:t>, human and Anopheles genomics and malaria. </w:t>
      </w:r>
      <w:r>
        <w:rPr>
          <w:i/>
        </w:rPr>
        <w:t>Nature</w:t>
      </w:r>
      <w:r>
        <w:rPr/>
        <w:t>, </w:t>
      </w:r>
      <w:r>
        <w:rPr>
          <w:i/>
        </w:rPr>
        <w:t>415</w:t>
      </w:r>
      <w:r>
        <w:rPr/>
        <w:t>(6872),</w:t>
      </w:r>
      <w:r>
        <w:rPr>
          <w:spacing w:val="1"/>
        </w:rPr>
        <w:t> </w:t>
      </w:r>
      <w:r>
        <w:rPr/>
        <w:t>702.</w:t>
      </w:r>
    </w:p>
    <w:p>
      <w:pPr>
        <w:pStyle w:val="BodyText"/>
        <w:spacing w:before="10"/>
      </w:pPr>
    </w:p>
    <w:p>
      <w:pPr>
        <w:spacing w:line="240" w:lineRule="auto" w:before="0"/>
        <w:ind w:left="1033" w:right="687" w:hanging="721"/>
        <w:jc w:val="both"/>
        <w:rPr>
          <w:sz w:val="24"/>
        </w:rPr>
      </w:pPr>
      <w:r>
        <w:rPr>
          <w:sz w:val="24"/>
        </w:rPr>
        <w:t>Hogg, T., Nagarajan, K., Herzberg, S., Chen, L., Shen, X., Jiang, H., ... and Schmidt, C. L.</w:t>
      </w:r>
      <w:r>
        <w:rPr>
          <w:spacing w:val="-57"/>
          <w:sz w:val="24"/>
        </w:rPr>
        <w:t> </w:t>
      </w:r>
      <w:r>
        <w:rPr>
          <w:sz w:val="24"/>
        </w:rPr>
        <w:t>(2006). Structural and functional characterization of Falcipain-2, a hemoglobinase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malarial</w:t>
      </w:r>
      <w:r>
        <w:rPr>
          <w:spacing w:val="1"/>
          <w:sz w:val="24"/>
        </w:rPr>
        <w:t> </w:t>
      </w:r>
      <w:r>
        <w:rPr>
          <w:sz w:val="24"/>
        </w:rPr>
        <w:t>parasite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falciparum.Journal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281</w:t>
      </w:r>
      <w:r>
        <w:rPr>
          <w:sz w:val="24"/>
        </w:rPr>
        <w:t>(35),</w:t>
      </w:r>
      <w:r>
        <w:rPr>
          <w:spacing w:val="4"/>
          <w:sz w:val="24"/>
        </w:rPr>
        <w:t> </w:t>
      </w:r>
      <w:r>
        <w:rPr>
          <w:sz w:val="24"/>
        </w:rPr>
        <w:t>25425-25437.</w:t>
      </w:r>
    </w:p>
    <w:p>
      <w:pPr>
        <w:pStyle w:val="BodyText"/>
        <w:spacing w:before="8"/>
      </w:pPr>
    </w:p>
    <w:p>
      <w:pPr>
        <w:pStyle w:val="BodyText"/>
        <w:ind w:left="312"/>
      </w:pPr>
      <w:hyperlink r:id="rId447">
        <w:r>
          <w:rPr>
            <w:color w:val="0000FF"/>
            <w:u w:val="single" w:color="0000FF"/>
          </w:rPr>
          <w:t>http://www.ebi.ac.uk/thornton</w:t>
        </w:r>
        <w:r>
          <w:rPr>
            <w:color w:val="0000FF"/>
            <w:spacing w:val="-8"/>
            <w:u w:val="single" w:color="0000FF"/>
          </w:rPr>
          <w:t> </w:t>
        </w:r>
        <w:r>
          <w:rPr>
            <w:color w:val="0000FF"/>
            <w:u w:val="single" w:color="0000FF"/>
          </w:rPr>
          <w:t>srv/software/LIGPLOT/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before="1"/>
        <w:ind w:left="312"/>
      </w:pPr>
      <w:hyperlink r:id="rId448">
        <w:r>
          <w:rPr>
            <w:color w:val="0000FF"/>
            <w:u w:val="single" w:color="0000FF"/>
          </w:rPr>
          <w:t>http://www.originlab.com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pStyle w:val="BodyText"/>
        <w:spacing w:before="1"/>
        <w:ind w:left="312"/>
      </w:pPr>
      <w:hyperlink r:id="rId449">
        <w:r>
          <w:rPr>
            <w:color w:val="0000FF"/>
            <w:u w:val="single" w:color="0000FF"/>
          </w:rPr>
          <w:t>http://www.rcsb.org/pdb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40" w:lineRule="auto" w:before="234"/>
        <w:ind w:left="1033" w:right="704" w:hanging="721"/>
        <w:jc w:val="both"/>
        <w:rPr>
          <w:sz w:val="24"/>
        </w:rPr>
      </w:pPr>
      <w:r>
        <w:rPr>
          <w:sz w:val="24"/>
        </w:rPr>
        <w:t>Iwalewa, E. O., Omisore, N. O., Adewunmi, C. O., Gbolade, A. A., Ademowo, O. G.,</w:t>
      </w:r>
      <w:r>
        <w:rPr>
          <w:spacing w:val="1"/>
          <w:sz w:val="24"/>
        </w:rPr>
        <w:t> </w:t>
      </w:r>
      <w:r>
        <w:rPr>
          <w:sz w:val="24"/>
        </w:rPr>
        <w:t>Nneji, C., ... and Daniyan, O. M. (2008). Anti-protozoan activities of </w:t>
      </w:r>
      <w:r>
        <w:rPr>
          <w:i/>
          <w:sz w:val="24"/>
        </w:rPr>
        <w:t>Harungana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madagascariensis</w:t>
      </w:r>
      <w:r>
        <w:rPr>
          <w:i/>
          <w:spacing w:val="1"/>
          <w:sz w:val="24"/>
        </w:rPr>
        <w:t> </w:t>
      </w:r>
      <w:r>
        <w:rPr>
          <w:sz w:val="24"/>
        </w:rPr>
        <w:t>stem</w:t>
      </w:r>
      <w:r>
        <w:rPr>
          <w:spacing w:val="1"/>
          <w:sz w:val="24"/>
        </w:rPr>
        <w:t> </w:t>
      </w:r>
      <w:r>
        <w:rPr>
          <w:sz w:val="24"/>
        </w:rPr>
        <w:t>bark</w:t>
      </w:r>
      <w:r>
        <w:rPr>
          <w:spacing w:val="1"/>
          <w:sz w:val="24"/>
        </w:rPr>
        <w:t> </w:t>
      </w:r>
      <w:r>
        <w:rPr>
          <w:sz w:val="24"/>
        </w:rPr>
        <w:t>extract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trichomonads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malaria.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Ethnopharmacology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117</w:t>
      </w:r>
      <w:r>
        <w:rPr>
          <w:sz w:val="24"/>
        </w:rPr>
        <w:t>(3),507-511.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42" w:lineRule="auto"/>
        <w:ind w:left="1033" w:right="696" w:hanging="721"/>
        <w:jc w:val="both"/>
      </w:pPr>
      <w:r>
        <w:rPr/>
        <w:t>Iyer, J., Grüner, A. C., Rénia, L., Snounou, G., and Preiser, P. R. (2007). Invasion of host</w:t>
      </w:r>
      <w:r>
        <w:rPr>
          <w:spacing w:val="1"/>
        </w:rPr>
        <w:t> </w:t>
      </w:r>
      <w:r>
        <w:rPr/>
        <w:t>cellsby malaria parasites: a tale of two protein families. </w:t>
      </w:r>
      <w:r>
        <w:rPr>
          <w:i/>
        </w:rPr>
        <w:t>Molecular Microbiology</w:t>
      </w:r>
      <w:r>
        <w:rPr/>
        <w:t>,</w:t>
      </w:r>
      <w:r>
        <w:rPr>
          <w:spacing w:val="1"/>
        </w:rPr>
        <w:t> </w:t>
      </w:r>
      <w:r>
        <w:rPr>
          <w:i/>
        </w:rPr>
        <w:t>65</w:t>
      </w:r>
      <w:r>
        <w:rPr/>
        <w:t>(2),231-249.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312"/>
      </w:pPr>
      <w:r>
        <w:rPr/>
        <w:t>Jana,</w:t>
      </w:r>
      <w:r>
        <w:rPr>
          <w:spacing w:val="27"/>
        </w:rPr>
        <w:t> </w:t>
      </w:r>
      <w:r>
        <w:rPr/>
        <w:t>S.,</w:t>
      </w:r>
      <w:r>
        <w:rPr>
          <w:spacing w:val="28"/>
        </w:rPr>
        <w:t> </w:t>
      </w:r>
      <w:r>
        <w:rPr/>
        <w:t>and</w:t>
      </w:r>
      <w:r>
        <w:rPr>
          <w:spacing w:val="25"/>
        </w:rPr>
        <w:t> </w:t>
      </w:r>
      <w:r>
        <w:rPr/>
        <w:t>Paliwal,</w:t>
      </w:r>
      <w:r>
        <w:rPr>
          <w:spacing w:val="27"/>
        </w:rPr>
        <w:t> </w:t>
      </w:r>
      <w:r>
        <w:rPr/>
        <w:t>J.</w:t>
      </w:r>
      <w:r>
        <w:rPr>
          <w:spacing w:val="28"/>
        </w:rPr>
        <w:t> </w:t>
      </w:r>
      <w:r>
        <w:rPr/>
        <w:t>(2007).</w:t>
      </w:r>
      <w:r>
        <w:rPr>
          <w:spacing w:val="33"/>
        </w:rPr>
        <w:t> </w:t>
      </w:r>
      <w:r>
        <w:rPr/>
        <w:t>Novel</w:t>
      </w:r>
      <w:r>
        <w:rPr>
          <w:spacing w:val="22"/>
        </w:rPr>
        <w:t> </w:t>
      </w:r>
      <w:r>
        <w:rPr/>
        <w:t>molecular</w:t>
      </w:r>
      <w:r>
        <w:rPr>
          <w:spacing w:val="31"/>
        </w:rPr>
        <w:t> </w:t>
      </w:r>
      <w:r>
        <w:rPr/>
        <w:t>targets</w:t>
      </w:r>
      <w:r>
        <w:rPr>
          <w:spacing w:val="23"/>
        </w:rPr>
        <w:t> </w:t>
      </w:r>
      <w:r>
        <w:rPr/>
        <w:t>for</w:t>
      </w:r>
      <w:r>
        <w:rPr>
          <w:spacing w:val="27"/>
        </w:rPr>
        <w:t> </w:t>
      </w:r>
      <w:r>
        <w:rPr/>
        <w:t>antimalarial</w:t>
      </w:r>
      <w:r>
        <w:rPr>
          <w:spacing w:val="21"/>
        </w:rPr>
        <w:t> </w:t>
      </w:r>
      <w:r>
        <w:rPr/>
        <w:t>chemotherapy.</w:t>
      </w:r>
    </w:p>
    <w:p>
      <w:pPr>
        <w:spacing w:before="3"/>
        <w:ind w:left="1033" w:right="0" w:firstLine="0"/>
        <w:jc w:val="left"/>
        <w:rPr>
          <w:sz w:val="24"/>
        </w:rPr>
      </w:pPr>
      <w:r>
        <w:rPr>
          <w:i/>
          <w:sz w:val="24"/>
        </w:rPr>
        <w:t>International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Antimicrobial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Agents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30</w:t>
      </w:r>
      <w:r>
        <w:rPr>
          <w:sz w:val="24"/>
        </w:rPr>
        <w:t>(1),4-10.</w:t>
      </w:r>
    </w:p>
    <w:p>
      <w:pPr>
        <w:pStyle w:val="BodyText"/>
        <w:spacing w:before="10"/>
      </w:pPr>
    </w:p>
    <w:p>
      <w:pPr>
        <w:pStyle w:val="BodyText"/>
        <w:ind w:left="312"/>
      </w:pPr>
      <w:r>
        <w:rPr/>
        <w:t>Jensen,</w:t>
      </w:r>
      <w:r>
        <w:rPr>
          <w:spacing w:val="1"/>
        </w:rPr>
        <w:t> </w:t>
      </w:r>
      <w:r>
        <w:rPr/>
        <w:t>F.</w:t>
      </w:r>
      <w:r>
        <w:rPr>
          <w:spacing w:val="2"/>
        </w:rPr>
        <w:t> </w:t>
      </w:r>
      <w:r>
        <w:rPr/>
        <w:t>(1999).</w:t>
      </w:r>
      <w:r>
        <w:rPr>
          <w:spacing w:val="-3"/>
        </w:rPr>
        <w:t> </w:t>
      </w:r>
      <w:r>
        <w:rPr/>
        <w:t>Introduction</w:t>
      </w:r>
      <w:r>
        <w:rPr>
          <w:spacing w:val="-5"/>
        </w:rPr>
        <w:t> </w:t>
      </w:r>
      <w:r>
        <w:rPr/>
        <w:t>to</w:t>
      </w:r>
      <w:r>
        <w:rPr>
          <w:spacing w:val="2"/>
        </w:rPr>
        <w:t> </w:t>
      </w:r>
      <w:r>
        <w:rPr/>
        <w:t>Computational</w:t>
      </w:r>
      <w:r>
        <w:rPr>
          <w:spacing w:val="-8"/>
        </w:rPr>
        <w:t> </w:t>
      </w:r>
      <w:r>
        <w:rPr/>
        <w:t>Chemistry</w:t>
      </w:r>
      <w:r>
        <w:rPr>
          <w:spacing w:val="-10"/>
        </w:rPr>
        <w:t> </w:t>
      </w:r>
      <w:r>
        <w:rPr/>
        <w:t>2nd</w:t>
      </w:r>
      <w:r>
        <w:rPr>
          <w:spacing w:val="-1"/>
        </w:rPr>
        <w:t> </w:t>
      </w:r>
      <w:r>
        <w:rPr/>
        <w:t>edition.</w:t>
      </w:r>
      <w:r>
        <w:rPr>
          <w:spacing w:val="1"/>
        </w:rPr>
        <w:t> </w:t>
      </w:r>
      <w:r>
        <w:rPr/>
        <w:t>Wiley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Sons.</w:t>
      </w:r>
    </w:p>
    <w:p>
      <w:pPr>
        <w:pStyle w:val="BodyText"/>
        <w:spacing w:before="5"/>
      </w:pPr>
    </w:p>
    <w:p>
      <w:pPr>
        <w:spacing w:line="242" w:lineRule="auto" w:before="0"/>
        <w:ind w:left="1033" w:right="704" w:hanging="721"/>
        <w:jc w:val="both"/>
        <w:rPr>
          <w:sz w:val="24"/>
        </w:rPr>
      </w:pPr>
      <w:r>
        <w:rPr>
          <w:sz w:val="24"/>
        </w:rPr>
        <w:t>Kalra, B. S., Chawla, S., Gupta, P., and Valecha, N. (2006). Screening of antimalarial</w:t>
      </w:r>
      <w:r>
        <w:rPr>
          <w:spacing w:val="1"/>
          <w:sz w:val="24"/>
        </w:rPr>
        <w:t> </w:t>
      </w:r>
      <w:r>
        <w:rPr>
          <w:sz w:val="24"/>
        </w:rPr>
        <w:t>drugs: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overview.</w:t>
      </w:r>
      <w:r>
        <w:rPr>
          <w:spacing w:val="6"/>
          <w:sz w:val="24"/>
        </w:rPr>
        <w:t> </w:t>
      </w:r>
      <w:r>
        <w:rPr>
          <w:i/>
          <w:sz w:val="24"/>
        </w:rPr>
        <w:t>Indian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Pharmacology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38</w:t>
      </w:r>
      <w:r>
        <w:rPr>
          <w:sz w:val="24"/>
        </w:rPr>
        <w:t>(1),</w:t>
      </w:r>
      <w:r>
        <w:rPr>
          <w:spacing w:val="-2"/>
          <w:sz w:val="24"/>
        </w:rPr>
        <w:t> </w:t>
      </w:r>
      <w:r>
        <w:rPr>
          <w:sz w:val="24"/>
        </w:rPr>
        <w:t>5.</w:t>
      </w:r>
    </w:p>
    <w:p>
      <w:pPr>
        <w:pStyle w:val="BodyText"/>
        <w:spacing w:before="6"/>
      </w:pPr>
    </w:p>
    <w:p>
      <w:pPr>
        <w:spacing w:line="240" w:lineRule="auto" w:before="1"/>
        <w:ind w:left="1033" w:right="692" w:hanging="721"/>
        <w:jc w:val="both"/>
        <w:rPr>
          <w:sz w:val="24"/>
        </w:rPr>
      </w:pPr>
      <w:r>
        <w:rPr>
          <w:sz w:val="24"/>
        </w:rPr>
        <w:t>Kalyaanamoorthy, S., and Chen, Y. P. P. (2014). Modelling and enhanced molecular</w:t>
      </w:r>
      <w:r>
        <w:rPr>
          <w:spacing w:val="1"/>
          <w:sz w:val="24"/>
        </w:rPr>
        <w:t> </w:t>
      </w:r>
      <w:r>
        <w:rPr>
          <w:sz w:val="24"/>
        </w:rPr>
        <w:t>dynamics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steer</w:t>
      </w:r>
      <w:r>
        <w:rPr>
          <w:spacing w:val="1"/>
          <w:sz w:val="24"/>
        </w:rPr>
        <w:t> </w:t>
      </w:r>
      <w:r>
        <w:rPr>
          <w:sz w:val="24"/>
        </w:rPr>
        <w:t>structure-based</w:t>
      </w:r>
      <w:r>
        <w:rPr>
          <w:spacing w:val="1"/>
          <w:sz w:val="24"/>
        </w:rPr>
        <w:t> </w:t>
      </w:r>
      <w:r>
        <w:rPr>
          <w:sz w:val="24"/>
        </w:rPr>
        <w:t>drug</w:t>
      </w:r>
      <w:r>
        <w:rPr>
          <w:spacing w:val="1"/>
          <w:sz w:val="24"/>
        </w:rPr>
        <w:t> </w:t>
      </w:r>
      <w:r>
        <w:rPr>
          <w:sz w:val="24"/>
        </w:rPr>
        <w:t>discovery.</w:t>
      </w:r>
      <w:r>
        <w:rPr>
          <w:spacing w:val="1"/>
          <w:sz w:val="24"/>
        </w:rPr>
        <w:t> </w:t>
      </w:r>
      <w:r>
        <w:rPr>
          <w:i/>
          <w:sz w:val="24"/>
        </w:rPr>
        <w:t>Progress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Biophysics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Molecular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Biology</w:t>
      </w:r>
      <w:r>
        <w:rPr>
          <w:sz w:val="24"/>
        </w:rPr>
        <w:t>, </w:t>
      </w:r>
      <w:r>
        <w:rPr>
          <w:i/>
          <w:sz w:val="24"/>
        </w:rPr>
        <w:t>114</w:t>
      </w:r>
      <w:r>
        <w:rPr>
          <w:sz w:val="24"/>
        </w:rPr>
        <w:t>(3),</w:t>
      </w:r>
      <w:r>
        <w:rPr>
          <w:spacing w:val="4"/>
          <w:sz w:val="24"/>
        </w:rPr>
        <w:t> </w:t>
      </w:r>
      <w:r>
        <w:rPr>
          <w:sz w:val="24"/>
        </w:rPr>
        <w:t>123-136.</w:t>
      </w:r>
    </w:p>
    <w:p>
      <w:pPr>
        <w:pStyle w:val="BodyText"/>
        <w:spacing w:before="9"/>
      </w:pPr>
    </w:p>
    <w:p>
      <w:pPr>
        <w:pStyle w:val="BodyText"/>
        <w:ind w:left="312"/>
      </w:pPr>
      <w:r>
        <w:rPr/>
        <w:t>Kapoor,</w:t>
      </w:r>
      <w:r>
        <w:rPr>
          <w:spacing w:val="27"/>
        </w:rPr>
        <w:t> </w:t>
      </w:r>
      <w:r>
        <w:rPr/>
        <w:t>V.</w:t>
      </w:r>
      <w:r>
        <w:rPr>
          <w:spacing w:val="86"/>
        </w:rPr>
        <w:t> </w:t>
      </w:r>
      <w:r>
        <w:rPr/>
        <w:t>K.,</w:t>
      </w:r>
      <w:r>
        <w:rPr>
          <w:spacing w:val="86"/>
        </w:rPr>
        <w:t> </w:t>
      </w:r>
      <w:r>
        <w:rPr/>
        <w:t>and</w:t>
      </w:r>
      <w:r>
        <w:rPr>
          <w:spacing w:val="85"/>
        </w:rPr>
        <w:t> </w:t>
      </w:r>
      <w:r>
        <w:rPr/>
        <w:t>Kumar,</w:t>
      </w:r>
      <w:r>
        <w:rPr>
          <w:spacing w:val="86"/>
        </w:rPr>
        <w:t> </w:t>
      </w:r>
      <w:r>
        <w:rPr/>
        <w:t>K.</w:t>
      </w:r>
      <w:r>
        <w:rPr>
          <w:spacing w:val="87"/>
        </w:rPr>
        <w:t> </w:t>
      </w:r>
      <w:r>
        <w:rPr/>
        <w:t>(2005).</w:t>
      </w:r>
      <w:r>
        <w:rPr>
          <w:spacing w:val="86"/>
        </w:rPr>
        <w:t> </w:t>
      </w:r>
      <w:r>
        <w:rPr/>
        <w:t>Recent</w:t>
      </w:r>
      <w:r>
        <w:rPr>
          <w:spacing w:val="89"/>
        </w:rPr>
        <w:t> </w:t>
      </w:r>
      <w:r>
        <w:rPr/>
        <w:t>advances</w:t>
      </w:r>
      <w:r>
        <w:rPr>
          <w:spacing w:val="88"/>
        </w:rPr>
        <w:t> </w:t>
      </w:r>
      <w:r>
        <w:rPr/>
        <w:t>in</w:t>
      </w:r>
      <w:r>
        <w:rPr>
          <w:spacing w:val="79"/>
        </w:rPr>
        <w:t> </w:t>
      </w:r>
      <w:r>
        <w:rPr/>
        <w:t>the</w:t>
      </w:r>
      <w:r>
        <w:rPr>
          <w:spacing w:val="84"/>
        </w:rPr>
        <w:t> </w:t>
      </w:r>
      <w:r>
        <w:rPr/>
        <w:t>search</w:t>
      </w:r>
      <w:r>
        <w:rPr>
          <w:spacing w:val="84"/>
        </w:rPr>
        <w:t> </w:t>
      </w:r>
      <w:r>
        <w:rPr/>
        <w:t>for</w:t>
      </w:r>
      <w:r>
        <w:rPr>
          <w:spacing w:val="87"/>
        </w:rPr>
        <w:t> </w:t>
      </w:r>
      <w:r>
        <w:rPr/>
        <w:t>newer</w:t>
      </w:r>
    </w:p>
    <w:p>
      <w:pPr>
        <w:spacing w:after="0"/>
        <w:sectPr>
          <w:headerReference w:type="default" r:id="rId445"/>
          <w:footerReference w:type="default" r:id="rId446"/>
          <w:pgSz w:w="11910" w:h="16840"/>
          <w:pgMar w:header="0" w:footer="2477" w:top="1200" w:bottom="2660" w:left="1560" w:right="600"/>
        </w:sectPr>
      </w:pPr>
    </w:p>
    <w:p>
      <w:pPr>
        <w:spacing w:before="70"/>
        <w:ind w:left="1033" w:right="0" w:firstLine="0"/>
        <w:jc w:val="left"/>
        <w:rPr>
          <w:sz w:val="24"/>
        </w:rPr>
      </w:pPr>
      <w:r>
        <w:rPr>
          <w:sz w:val="24"/>
        </w:rPr>
        <w:t>antimalarial</w:t>
      </w:r>
      <w:r>
        <w:rPr>
          <w:spacing w:val="-10"/>
          <w:sz w:val="24"/>
        </w:rPr>
        <w:t> </w:t>
      </w:r>
      <w:r>
        <w:rPr>
          <w:sz w:val="24"/>
        </w:rPr>
        <w:t>agents.</w:t>
      </w:r>
      <w:r>
        <w:rPr>
          <w:spacing w:val="5"/>
          <w:sz w:val="24"/>
        </w:rPr>
        <w:t> </w:t>
      </w:r>
      <w:r>
        <w:rPr>
          <w:i/>
          <w:sz w:val="24"/>
        </w:rPr>
        <w:t>Progress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Medicinal Chemistry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43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sz w:val="24"/>
        </w:rPr>
        <w:t>189-237.</w:t>
      </w:r>
    </w:p>
    <w:p>
      <w:pPr>
        <w:pStyle w:val="BodyText"/>
        <w:spacing w:before="4"/>
      </w:pPr>
    </w:p>
    <w:p>
      <w:pPr>
        <w:pStyle w:val="BodyText"/>
        <w:ind w:left="1033" w:right="701" w:hanging="721"/>
        <w:jc w:val="both"/>
      </w:pPr>
      <w:r>
        <w:rPr/>
        <w:t>Karubiu, W., Bhakat, S., McGillewie, L., and Soliman, M. E. (2015). Flap dynamics of</w:t>
      </w:r>
      <w:r>
        <w:rPr>
          <w:spacing w:val="1"/>
        </w:rPr>
        <w:t> </w:t>
      </w:r>
      <w:r>
        <w:rPr/>
        <w:t>plasmepsin proteases: Insight into proposed parameters and molecular dynamics.</w:t>
      </w:r>
      <w:r>
        <w:rPr>
          <w:spacing w:val="1"/>
        </w:rPr>
        <w:t> </w:t>
      </w:r>
      <w:r>
        <w:rPr>
          <w:i/>
        </w:rPr>
        <w:t>Molecular</w:t>
      </w:r>
      <w:r>
        <w:rPr>
          <w:i/>
          <w:spacing w:val="-1"/>
        </w:rPr>
        <w:t> </w:t>
      </w:r>
      <w:r>
        <w:rPr>
          <w:i/>
        </w:rPr>
        <w:t>BioSystems</w:t>
      </w:r>
      <w:r>
        <w:rPr/>
        <w:t>,</w:t>
      </w:r>
      <w:r>
        <w:rPr>
          <w:spacing w:val="4"/>
        </w:rPr>
        <w:t> </w:t>
      </w:r>
      <w:r>
        <w:rPr>
          <w:i/>
        </w:rPr>
        <w:t>11</w:t>
      </w:r>
      <w:r>
        <w:rPr/>
        <w:t>(4),1061-1066.</w:t>
      </w:r>
    </w:p>
    <w:p>
      <w:pPr>
        <w:pStyle w:val="BodyText"/>
        <w:spacing w:before="11"/>
      </w:pPr>
    </w:p>
    <w:p>
      <w:pPr>
        <w:pStyle w:val="BodyText"/>
        <w:spacing w:line="275" w:lineRule="exact"/>
        <w:ind w:left="312"/>
        <w:jc w:val="both"/>
      </w:pPr>
      <w:r>
        <w:rPr/>
        <w:t>Kerr,</w:t>
      </w:r>
      <w:r>
        <w:rPr>
          <w:spacing w:val="1"/>
        </w:rPr>
        <w:t> </w:t>
      </w:r>
      <w:r>
        <w:rPr/>
        <w:t>I. D.,</w:t>
      </w:r>
      <w:r>
        <w:rPr>
          <w:spacing w:val="1"/>
        </w:rPr>
        <w:t> </w:t>
      </w:r>
      <w:r>
        <w:rPr/>
        <w:t>Lee,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H.,</w:t>
      </w:r>
      <w:r>
        <w:rPr>
          <w:spacing w:val="1"/>
        </w:rPr>
        <w:t> </w:t>
      </w:r>
      <w:r>
        <w:rPr/>
        <w:t>Pandey,</w:t>
      </w:r>
      <w:r>
        <w:rPr>
          <w:spacing w:val="6"/>
        </w:rPr>
        <w:t> </w:t>
      </w:r>
      <w:r>
        <w:rPr/>
        <w:t>K.</w:t>
      </w:r>
      <w:r>
        <w:rPr>
          <w:spacing w:val="6"/>
        </w:rPr>
        <w:t> </w:t>
      </w:r>
      <w:r>
        <w:rPr/>
        <w:t>C.,</w:t>
      </w:r>
      <w:r>
        <w:rPr>
          <w:spacing w:val="1"/>
        </w:rPr>
        <w:t> </w:t>
      </w:r>
      <w:r>
        <w:rPr/>
        <w:t>Harrison,</w:t>
      </w:r>
      <w:r>
        <w:rPr>
          <w:spacing w:val="6"/>
        </w:rPr>
        <w:t> </w:t>
      </w:r>
      <w:r>
        <w:rPr/>
        <w:t>A.,</w:t>
      </w:r>
      <w:r>
        <w:rPr>
          <w:spacing w:val="1"/>
        </w:rPr>
        <w:t> </w:t>
      </w:r>
      <w:r>
        <w:rPr/>
        <w:t>Sajid,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Rosenthal,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Brinen,</w:t>
      </w:r>
    </w:p>
    <w:p>
      <w:pPr>
        <w:pStyle w:val="BodyText"/>
        <w:ind w:left="1033" w:right="701"/>
        <w:jc w:val="both"/>
      </w:pPr>
      <w:r>
        <w:rPr/>
        <w:t>L. S. (2009). Structures of falcipain-2 and falcipain-3 bound to small molecule</w:t>
      </w:r>
      <w:r>
        <w:rPr>
          <w:spacing w:val="1"/>
        </w:rPr>
        <w:t> </w:t>
      </w:r>
      <w:r>
        <w:rPr/>
        <w:t>inhibitors: implications for substrate specificity. </w:t>
      </w:r>
      <w:r>
        <w:rPr>
          <w:i/>
        </w:rPr>
        <w:t>Journal of Medicinal Chemistry</w:t>
      </w:r>
      <w:r>
        <w:rPr/>
        <w:t>,</w:t>
      </w:r>
      <w:r>
        <w:rPr>
          <w:spacing w:val="1"/>
        </w:rPr>
        <w:t> </w:t>
      </w:r>
      <w:r>
        <w:rPr>
          <w:i/>
        </w:rPr>
        <w:t>52</w:t>
      </w:r>
      <w:r>
        <w:rPr/>
        <w:t>(3),852-857.</w:t>
      </w:r>
    </w:p>
    <w:p>
      <w:pPr>
        <w:pStyle w:val="BodyText"/>
        <w:spacing w:before="2"/>
        <w:rPr>
          <w:sz w:val="30"/>
        </w:rPr>
      </w:pPr>
    </w:p>
    <w:p>
      <w:pPr>
        <w:pStyle w:val="BodyText"/>
        <w:ind w:left="312"/>
        <w:jc w:val="both"/>
      </w:pPr>
      <w:r>
        <w:rPr/>
        <w:t>Khan,</w:t>
      </w:r>
      <w:r>
        <w:rPr>
          <w:spacing w:val="14"/>
        </w:rPr>
        <w:t> </w:t>
      </w:r>
      <w:r>
        <w:rPr/>
        <w:t>S.</w:t>
      </w:r>
      <w:r>
        <w:rPr>
          <w:spacing w:val="15"/>
        </w:rPr>
        <w:t> </w:t>
      </w:r>
      <w:r>
        <w:rPr/>
        <w:t>M.,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Waters,</w:t>
      </w:r>
      <w:r>
        <w:rPr>
          <w:spacing w:val="15"/>
        </w:rPr>
        <w:t> </w:t>
      </w:r>
      <w:r>
        <w:rPr/>
        <w:t>A.</w:t>
      </w:r>
      <w:r>
        <w:rPr>
          <w:spacing w:val="15"/>
        </w:rPr>
        <w:t> </w:t>
      </w:r>
      <w:r>
        <w:rPr/>
        <w:t>P.</w:t>
      </w:r>
      <w:r>
        <w:rPr>
          <w:spacing w:val="15"/>
        </w:rPr>
        <w:t> </w:t>
      </w:r>
      <w:r>
        <w:rPr/>
        <w:t>(2004).</w:t>
      </w:r>
      <w:r>
        <w:rPr>
          <w:spacing w:val="25"/>
        </w:rPr>
        <w:t> </w:t>
      </w:r>
      <w:r>
        <w:rPr/>
        <w:t>Malaria</w:t>
      </w:r>
      <w:r>
        <w:rPr>
          <w:spacing w:val="12"/>
        </w:rPr>
        <w:t> </w:t>
      </w:r>
      <w:r>
        <w:rPr/>
        <w:t>parasite</w:t>
      </w:r>
      <w:r>
        <w:rPr>
          <w:spacing w:val="12"/>
        </w:rPr>
        <w:t> </w:t>
      </w:r>
      <w:r>
        <w:rPr/>
        <w:t>transmission</w:t>
      </w:r>
      <w:r>
        <w:rPr>
          <w:spacing w:val="8"/>
        </w:rPr>
        <w:t> </w:t>
      </w:r>
      <w:r>
        <w:rPr/>
        <w:t>stages:</w:t>
      </w:r>
      <w:r>
        <w:rPr>
          <w:spacing w:val="87"/>
        </w:rPr>
        <w:t> </w:t>
      </w:r>
      <w:r>
        <w:rPr/>
        <w:t>an</w:t>
      </w:r>
      <w:r>
        <w:rPr>
          <w:spacing w:val="8"/>
        </w:rPr>
        <w:t> </w:t>
      </w:r>
      <w:r>
        <w:rPr/>
        <w:t>update.</w:t>
      </w:r>
    </w:p>
    <w:p>
      <w:pPr>
        <w:spacing w:before="3"/>
        <w:ind w:left="1033" w:right="0" w:firstLine="0"/>
        <w:jc w:val="left"/>
        <w:rPr>
          <w:sz w:val="24"/>
        </w:rPr>
      </w:pPr>
      <w:r>
        <w:rPr>
          <w:i/>
          <w:sz w:val="24"/>
        </w:rPr>
        <w:t>Trends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Parasitology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i/>
          <w:sz w:val="24"/>
        </w:rPr>
        <w:t>20</w:t>
      </w:r>
      <w:r>
        <w:rPr>
          <w:sz w:val="24"/>
        </w:rPr>
        <w:t>(12),575-580.</w:t>
      </w:r>
    </w:p>
    <w:p>
      <w:pPr>
        <w:pStyle w:val="BodyText"/>
        <w:spacing w:before="4"/>
      </w:pPr>
    </w:p>
    <w:p>
      <w:pPr>
        <w:pStyle w:val="BodyText"/>
        <w:ind w:left="1033" w:right="696" w:hanging="721"/>
        <w:jc w:val="both"/>
      </w:pPr>
      <w:r>
        <w:rPr/>
        <w:t>Kumar, R., Mohanakrishnan, D., Sharma, A., Kaushik, N. K., Kalia, K., Sinha, A. K., and</w:t>
      </w:r>
      <w:r>
        <w:rPr>
          <w:spacing w:val="1"/>
        </w:rPr>
        <w:t> </w:t>
      </w:r>
      <w:r>
        <w:rPr/>
        <w:t>Sahal,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(2010).</w:t>
      </w:r>
      <w:r>
        <w:rPr>
          <w:spacing w:val="1"/>
        </w:rPr>
        <w:t> </w:t>
      </w:r>
      <w:r>
        <w:rPr/>
        <w:t>Reinvestigation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structure–activity</w:t>
      </w:r>
      <w:r>
        <w:rPr>
          <w:spacing w:val="1"/>
        </w:rPr>
        <w:t> </w:t>
      </w:r>
      <w:r>
        <w:rPr/>
        <w:t>relationship</w:t>
      </w:r>
      <w:r>
        <w:rPr>
          <w:spacing w:val="61"/>
        </w:rPr>
        <w:t> </w:t>
      </w:r>
      <w:r>
        <w:rPr/>
        <w:t>of</w:t>
      </w:r>
      <w:r>
        <w:rPr>
          <w:spacing w:val="1"/>
        </w:rPr>
        <w:t> </w:t>
      </w:r>
      <w:r>
        <w:rPr/>
        <w:t>methoxylated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antimalarials:</w:t>
      </w:r>
      <w:r>
        <w:rPr>
          <w:spacing w:val="1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of 2,</w:t>
      </w:r>
      <w:r>
        <w:rPr>
          <w:spacing w:val="1"/>
        </w:rPr>
        <w:t> </w:t>
      </w:r>
      <w:r>
        <w:rPr/>
        <w:t>4,</w:t>
      </w:r>
      <w:r>
        <w:rPr>
          <w:spacing w:val="1"/>
        </w:rPr>
        <w:t> </w:t>
      </w:r>
      <w:r>
        <w:rPr/>
        <w:t>5-</w:t>
      </w:r>
      <w:r>
        <w:rPr>
          <w:spacing w:val="1"/>
        </w:rPr>
        <w:t> </w:t>
      </w:r>
      <w:r>
        <w:rPr/>
        <w:t>trimethoxy</w:t>
      </w:r>
      <w:r>
        <w:rPr>
          <w:spacing w:val="1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candidates</w:t>
      </w:r>
      <w:r>
        <w:rPr>
          <w:spacing w:val="1"/>
        </w:rPr>
        <w:t> </w:t>
      </w:r>
      <w:r>
        <w:rPr/>
        <w:t>derived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abundantly</w:t>
      </w:r>
      <w:r>
        <w:rPr>
          <w:spacing w:val="1"/>
        </w:rPr>
        <w:t> </w:t>
      </w:r>
      <w:r>
        <w:rPr/>
        <w:t>available natural β-asarone. </w:t>
      </w:r>
      <w:r>
        <w:rPr>
          <w:i/>
        </w:rPr>
        <w:t>European Journal of Medicinal Chemistry</w:t>
      </w:r>
      <w:r>
        <w:rPr/>
        <w:t>, </w:t>
      </w:r>
      <w:r>
        <w:rPr>
          <w:i/>
        </w:rPr>
        <w:t>45</w:t>
      </w:r>
      <w:r>
        <w:rPr/>
        <w:t>(11),</w:t>
      </w:r>
      <w:r>
        <w:rPr>
          <w:spacing w:val="1"/>
        </w:rPr>
        <w:t> </w:t>
      </w:r>
      <w:r>
        <w:rPr/>
        <w:t>5292-5301.</w:t>
      </w:r>
    </w:p>
    <w:p>
      <w:pPr>
        <w:pStyle w:val="BodyText"/>
        <w:spacing w:before="8"/>
      </w:pPr>
    </w:p>
    <w:p>
      <w:pPr>
        <w:pStyle w:val="BodyText"/>
        <w:ind w:left="1033" w:right="705" w:hanging="721"/>
        <w:jc w:val="both"/>
      </w:pPr>
      <w:r>
        <w:rPr/>
        <w:t>Lecaille, F., Kaleta, J., and Brömme, D. (2002). Human and parasitic papain-like cysteine</w:t>
      </w:r>
      <w:r>
        <w:rPr>
          <w:spacing w:val="1"/>
        </w:rPr>
        <w:t> </w:t>
      </w:r>
      <w:r>
        <w:rPr/>
        <w:t>proteases: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in physiology and</w:t>
      </w:r>
      <w:r>
        <w:rPr>
          <w:spacing w:val="1"/>
        </w:rPr>
        <w:t> </w:t>
      </w:r>
      <w:r>
        <w:rPr/>
        <w:t>pathology and</w:t>
      </w:r>
      <w:r>
        <w:rPr>
          <w:spacing w:val="1"/>
        </w:rPr>
        <w:t> </w:t>
      </w:r>
      <w:r>
        <w:rPr/>
        <w:t>recent</w:t>
      </w:r>
      <w:r>
        <w:rPr>
          <w:spacing w:val="1"/>
        </w:rPr>
        <w:t> </w:t>
      </w:r>
      <w:r>
        <w:rPr/>
        <w:t>developments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inhibitor</w:t>
      </w:r>
      <w:r>
        <w:rPr>
          <w:spacing w:val="2"/>
        </w:rPr>
        <w:t> </w:t>
      </w:r>
      <w:r>
        <w:rPr/>
        <w:t>design.</w:t>
      </w:r>
      <w:r>
        <w:rPr>
          <w:spacing w:val="6"/>
        </w:rPr>
        <w:t> </w:t>
      </w:r>
      <w:r>
        <w:rPr>
          <w:i/>
        </w:rPr>
        <w:t>Chemical</w:t>
      </w:r>
      <w:r>
        <w:rPr>
          <w:i/>
          <w:spacing w:val="2"/>
        </w:rPr>
        <w:t> </w:t>
      </w:r>
      <w:r>
        <w:rPr>
          <w:i/>
        </w:rPr>
        <w:t>Reviews</w:t>
      </w:r>
      <w:r>
        <w:rPr/>
        <w:t>,</w:t>
      </w:r>
      <w:r>
        <w:rPr>
          <w:spacing w:val="3"/>
        </w:rPr>
        <w:t> </w:t>
      </w:r>
      <w:r>
        <w:rPr>
          <w:i/>
        </w:rPr>
        <w:t>102</w:t>
      </w:r>
      <w:r>
        <w:rPr/>
        <w:t>(12),</w:t>
      </w:r>
      <w:r>
        <w:rPr>
          <w:spacing w:val="-1"/>
        </w:rPr>
        <w:t> </w:t>
      </w:r>
      <w:r>
        <w:rPr/>
        <w:t>4459-4488.</w:t>
      </w:r>
    </w:p>
    <w:p>
      <w:pPr>
        <w:pStyle w:val="BodyText"/>
        <w:spacing w:before="10"/>
      </w:pPr>
    </w:p>
    <w:p>
      <w:pPr>
        <w:pStyle w:val="BodyText"/>
        <w:ind w:left="1033" w:right="704" w:hanging="721"/>
        <w:jc w:val="both"/>
      </w:pPr>
      <w:r>
        <w:rPr/>
        <w:t>Lell, B., Agnandji, S., Von Glasenapp, I., Haertle, S., Oyakhiromen, S., Issifou, S., ... and</w:t>
      </w:r>
      <w:r>
        <w:rPr>
          <w:spacing w:val="1"/>
        </w:rPr>
        <w:t> </w:t>
      </w:r>
      <w:r>
        <w:rPr/>
        <w:t>Demoitie,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randomized</w:t>
      </w:r>
      <w:r>
        <w:rPr>
          <w:spacing w:val="1"/>
        </w:rPr>
        <w:t> </w:t>
      </w:r>
      <w:r>
        <w:rPr/>
        <w:t>trial</w:t>
      </w:r>
      <w:r>
        <w:rPr>
          <w:spacing w:val="1"/>
        </w:rPr>
        <w:t> </w:t>
      </w:r>
      <w:r>
        <w:rPr/>
        <w:t>assessing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safety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immunogenicity of AS01 and AS02 adjuvanted RTS, S malaria vaccine candidates</w:t>
      </w:r>
      <w:r>
        <w:rPr>
          <w:spacing w:val="-57"/>
        </w:rPr>
        <w:t> </w:t>
      </w:r>
      <w:r>
        <w:rPr/>
        <w:t>in</w:t>
      </w:r>
      <w:r>
        <w:rPr>
          <w:spacing w:val="1"/>
        </w:rPr>
        <w:t> </w:t>
      </w:r>
      <w:r>
        <w:rPr/>
        <w:t>children</w:t>
      </w:r>
      <w:r>
        <w:rPr>
          <w:spacing w:val="2"/>
        </w:rPr>
        <w:t> </w:t>
      </w:r>
      <w:r>
        <w:rPr/>
        <w:t>in</w:t>
      </w:r>
      <w:r>
        <w:rPr>
          <w:spacing w:val="-4"/>
        </w:rPr>
        <w:t> </w:t>
      </w:r>
      <w:r>
        <w:rPr/>
        <w:t>Gabon.</w:t>
      </w:r>
      <w:r>
        <w:rPr>
          <w:spacing w:val="7"/>
        </w:rPr>
        <w:t> </w:t>
      </w:r>
      <w:r>
        <w:rPr>
          <w:i/>
        </w:rPr>
        <w:t>PLoS</w:t>
      </w:r>
      <w:r>
        <w:rPr>
          <w:i/>
          <w:spacing w:val="1"/>
        </w:rPr>
        <w:t> </w:t>
      </w:r>
      <w:r>
        <w:rPr>
          <w:i/>
        </w:rPr>
        <w:t>One</w:t>
      </w:r>
      <w:r>
        <w:rPr/>
        <w:t>,</w:t>
      </w:r>
      <w:r>
        <w:rPr>
          <w:spacing w:val="4"/>
        </w:rPr>
        <w:t> </w:t>
      </w:r>
      <w:r>
        <w:rPr>
          <w:i/>
        </w:rPr>
        <w:t>4</w:t>
      </w:r>
      <w:r>
        <w:rPr/>
        <w:t>(10),</w:t>
      </w:r>
      <w:r>
        <w:rPr>
          <w:spacing w:val="4"/>
        </w:rPr>
        <w:t> </w:t>
      </w:r>
      <w:r>
        <w:rPr/>
        <w:t>7611.</w:t>
      </w:r>
    </w:p>
    <w:p>
      <w:pPr>
        <w:pStyle w:val="BodyText"/>
        <w:spacing w:before="1"/>
        <w:rPr>
          <w:sz w:val="25"/>
        </w:rPr>
      </w:pPr>
    </w:p>
    <w:p>
      <w:pPr>
        <w:spacing w:line="242" w:lineRule="auto" w:before="0"/>
        <w:ind w:left="1033" w:right="685" w:hanging="721"/>
        <w:jc w:val="both"/>
        <w:rPr>
          <w:sz w:val="24"/>
        </w:rPr>
      </w:pPr>
      <w:r>
        <w:rPr>
          <w:sz w:val="24"/>
        </w:rPr>
        <w:t>Lewars,</w:t>
      </w:r>
      <w:r>
        <w:rPr>
          <w:spacing w:val="1"/>
          <w:sz w:val="24"/>
        </w:rPr>
        <w:t> </w:t>
      </w:r>
      <w:r>
        <w:rPr>
          <w:sz w:val="24"/>
        </w:rPr>
        <w:t>E.</w:t>
      </w:r>
      <w:r>
        <w:rPr>
          <w:spacing w:val="1"/>
          <w:sz w:val="24"/>
        </w:rPr>
        <w:t> </w:t>
      </w:r>
      <w:r>
        <w:rPr>
          <w:sz w:val="24"/>
        </w:rPr>
        <w:t>G.</w:t>
      </w:r>
      <w:r>
        <w:rPr>
          <w:spacing w:val="1"/>
          <w:sz w:val="24"/>
        </w:rPr>
        <w:t> </w:t>
      </w:r>
      <w:r>
        <w:rPr>
          <w:sz w:val="24"/>
        </w:rPr>
        <w:t>(2016).</w:t>
      </w:r>
      <w:r>
        <w:rPr>
          <w:spacing w:val="1"/>
          <w:sz w:val="24"/>
        </w:rPr>
        <w:t> </w:t>
      </w:r>
      <w:r>
        <w:rPr>
          <w:i/>
          <w:sz w:val="24"/>
        </w:rPr>
        <w:t>Computational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Theory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Applications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Molecular 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Quantum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Mechanics</w:t>
      </w:r>
      <w:r>
        <w:rPr>
          <w:sz w:val="24"/>
        </w:rPr>
        <w:t>.</w:t>
      </w:r>
      <w:r>
        <w:rPr>
          <w:spacing w:val="4"/>
          <w:sz w:val="24"/>
        </w:rPr>
        <w:t> </w:t>
      </w:r>
      <w:r>
        <w:rPr>
          <w:sz w:val="24"/>
        </w:rPr>
        <w:t>Springer.</w:t>
      </w:r>
    </w:p>
    <w:p>
      <w:pPr>
        <w:pStyle w:val="BodyText"/>
        <w:spacing w:before="2"/>
      </w:pPr>
    </w:p>
    <w:p>
      <w:pPr>
        <w:pStyle w:val="BodyText"/>
        <w:ind w:left="1033" w:right="690" w:hanging="721"/>
        <w:jc w:val="both"/>
      </w:pPr>
      <w:r>
        <w:rPr/>
        <w:t>Li, R., Chen, X., Gong, B., Selzer, P. M., Li, Z., Davidson, E., ... and Fletterick, R. J.</w:t>
      </w:r>
      <w:r>
        <w:rPr>
          <w:spacing w:val="1"/>
        </w:rPr>
        <w:t> </w:t>
      </w:r>
      <w:r>
        <w:rPr/>
        <w:t>(1996).</w:t>
      </w:r>
      <w:r>
        <w:rPr>
          <w:spacing w:val="1"/>
        </w:rPr>
        <w:t> </w:t>
      </w:r>
      <w:r>
        <w:rPr/>
        <w:t>Structure-based</w:t>
      </w:r>
      <w:r>
        <w:rPr>
          <w:spacing w:val="1"/>
        </w:rPr>
        <w:t> </w:t>
      </w:r>
      <w:r>
        <w:rPr/>
        <w:t>design of parasitic protease</w:t>
      </w:r>
      <w:r>
        <w:rPr>
          <w:spacing w:val="1"/>
        </w:rPr>
        <w:t> </w:t>
      </w:r>
      <w:r>
        <w:rPr/>
        <w:t>inhibitors.</w:t>
      </w:r>
      <w:r>
        <w:rPr>
          <w:spacing w:val="1"/>
        </w:rPr>
        <w:t> </w:t>
      </w:r>
      <w:r>
        <w:rPr>
          <w:i/>
        </w:rPr>
        <w:t>Bioorganic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4</w:t>
      </w:r>
      <w:r>
        <w:rPr/>
        <w:t>(9),1421-1427.</w:t>
      </w:r>
    </w:p>
    <w:p>
      <w:pPr>
        <w:pStyle w:val="BodyText"/>
        <w:spacing w:before="1"/>
      </w:pPr>
    </w:p>
    <w:p>
      <w:pPr>
        <w:pStyle w:val="BodyText"/>
        <w:ind w:left="1033" w:right="703" w:hanging="721"/>
        <w:jc w:val="both"/>
      </w:pPr>
      <w:r>
        <w:rPr/>
        <w:t>Li, R., Kenyon, G. L., Cohen, F. E., Chen, X., Gong, B., Dominguez, J. N., ... and</w:t>
      </w:r>
      <w:r>
        <w:rPr>
          <w:spacing w:val="1"/>
        </w:rPr>
        <w:t> </w:t>
      </w:r>
      <w:r>
        <w:rPr/>
        <w:t>Rosenthal,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(1995).</w:t>
      </w:r>
      <w:r>
        <w:rPr>
          <w:spacing w:val="1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vitro</w:t>
      </w:r>
      <w:r>
        <w:rPr>
          <w:i/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chalcones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derivatives.</w:t>
      </w:r>
      <w:r>
        <w:rPr>
          <w:spacing w:val="4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3"/>
        </w:rPr>
        <w:t> </w:t>
      </w:r>
      <w:r>
        <w:rPr>
          <w:i/>
        </w:rPr>
        <w:t>38</w:t>
      </w:r>
      <w:r>
        <w:rPr/>
        <w:t>(26),</w:t>
      </w:r>
      <w:r>
        <w:rPr>
          <w:spacing w:val="4"/>
        </w:rPr>
        <w:t> </w:t>
      </w:r>
      <w:r>
        <w:rPr/>
        <w:t>5031-5037.</w:t>
      </w:r>
    </w:p>
    <w:p>
      <w:pPr>
        <w:pStyle w:val="BodyText"/>
        <w:spacing w:before="10"/>
      </w:pPr>
    </w:p>
    <w:p>
      <w:pPr>
        <w:pStyle w:val="BodyText"/>
        <w:ind w:left="1033" w:right="694" w:hanging="721"/>
        <w:jc w:val="both"/>
      </w:pPr>
      <w:r>
        <w:rPr/>
        <w:t>Li, Z., Chen, X., Davidson, E., Zwang, O., Mendis, C., Ring, C. S., ... and Lee, G. K.</w:t>
      </w:r>
      <w:r>
        <w:rPr>
          <w:spacing w:val="1"/>
        </w:rPr>
        <w:t> </w:t>
      </w:r>
      <w:r>
        <w:rPr/>
        <w:t>(1994). Anti-malarial drug development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enzyme</w:t>
      </w:r>
      <w:r>
        <w:rPr>
          <w:spacing w:val="1"/>
        </w:rPr>
        <w:t> </w:t>
      </w:r>
      <w:r>
        <w:rPr/>
        <w:t>structure.</w:t>
      </w:r>
      <w:r>
        <w:rPr>
          <w:spacing w:val="1"/>
        </w:rPr>
        <w:t> </w:t>
      </w:r>
      <w:r>
        <w:rPr>
          <w:i/>
        </w:rPr>
        <w:t>Chemistry and</w:t>
      </w:r>
      <w:r>
        <w:rPr>
          <w:i/>
          <w:spacing w:val="2"/>
        </w:rPr>
        <w:t> </w:t>
      </w:r>
      <w:r>
        <w:rPr>
          <w:i/>
        </w:rPr>
        <w:t>Biology</w:t>
      </w:r>
      <w:r>
        <w:rPr/>
        <w:t>,</w:t>
      </w:r>
      <w:r>
        <w:rPr>
          <w:spacing w:val="4"/>
        </w:rPr>
        <w:t> </w:t>
      </w:r>
      <w:r>
        <w:rPr>
          <w:i/>
        </w:rPr>
        <w:t>1</w:t>
      </w:r>
      <w:r>
        <w:rPr/>
        <w:t>(1),31-37.</w:t>
      </w:r>
    </w:p>
    <w:p>
      <w:pPr>
        <w:spacing w:after="0"/>
        <w:jc w:val="both"/>
        <w:sectPr>
          <w:headerReference w:type="default" r:id="rId450"/>
          <w:footerReference w:type="default" r:id="rId451"/>
          <w:pgSz w:w="11910" w:h="16840"/>
          <w:pgMar w:header="0" w:footer="2491" w:top="1200" w:bottom="2680" w:left="1560" w:right="600"/>
        </w:sectPr>
      </w:pPr>
    </w:p>
    <w:p>
      <w:pPr>
        <w:pStyle w:val="BodyText"/>
        <w:spacing w:before="70"/>
        <w:ind w:left="1033" w:right="703" w:hanging="721"/>
        <w:jc w:val="both"/>
      </w:pPr>
      <w:r>
        <w:rPr/>
        <w:t>Lin, A. J., Klayman, D. L., and Milhous, W. K. (1987). Antimalarial activity of new</w:t>
      </w:r>
      <w:r>
        <w:rPr>
          <w:spacing w:val="1"/>
        </w:rPr>
        <w:t> </w:t>
      </w:r>
      <w:r>
        <w:rPr/>
        <w:t>water-soluble</w:t>
      </w:r>
      <w:r>
        <w:rPr>
          <w:spacing w:val="1"/>
        </w:rPr>
        <w:t> </w:t>
      </w:r>
      <w:r>
        <w:rPr/>
        <w:t>dihydroartemisinin</w:t>
      </w:r>
      <w:r>
        <w:rPr>
          <w:spacing w:val="1"/>
        </w:rPr>
        <w:t> </w:t>
      </w:r>
      <w:r>
        <w:rPr/>
        <w:t>derivatives.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1"/>
        </w:rPr>
        <w:t> </w:t>
      </w:r>
      <w:r>
        <w:rPr>
          <w:i/>
        </w:rPr>
        <w:t>30</w:t>
      </w:r>
      <w:r>
        <w:rPr/>
        <w:t>(11),2147-2150.</w:t>
      </w:r>
    </w:p>
    <w:p>
      <w:pPr>
        <w:pStyle w:val="BodyText"/>
        <w:spacing w:before="2"/>
        <w:rPr>
          <w:sz w:val="38"/>
        </w:rPr>
      </w:pPr>
    </w:p>
    <w:p>
      <w:pPr>
        <w:pStyle w:val="BodyText"/>
        <w:spacing w:before="1"/>
        <w:ind w:left="1033" w:right="696" w:hanging="721"/>
        <w:jc w:val="both"/>
      </w:pPr>
      <w:r>
        <w:rPr/>
        <w:t>Lionta, E., Spyrou, G., K Vassilatis, D., and Cournia, Z. (2014). Structure-based virtual</w:t>
      </w:r>
      <w:r>
        <w:rPr>
          <w:spacing w:val="1"/>
        </w:rPr>
        <w:t> </w:t>
      </w:r>
      <w:r>
        <w:rPr/>
        <w:t>screening fordrug discovery: principles, applications and recent advances. </w:t>
      </w:r>
      <w:r>
        <w:rPr>
          <w:i/>
        </w:rPr>
        <w:t>Current</w:t>
      </w:r>
      <w:r>
        <w:rPr>
          <w:i/>
          <w:spacing w:val="1"/>
        </w:rPr>
        <w:t> </w:t>
      </w:r>
      <w:r>
        <w:rPr>
          <w:i/>
        </w:rPr>
        <w:t>Topics</w:t>
      </w:r>
      <w:r>
        <w:rPr>
          <w:i/>
          <w:spacing w:val="-2"/>
        </w:rPr>
        <w:t> </w:t>
      </w:r>
      <w:r>
        <w:rPr>
          <w:i/>
        </w:rPr>
        <w:t>in</w:t>
      </w:r>
      <w:r>
        <w:rPr>
          <w:i/>
          <w:spacing w:val="2"/>
        </w:rPr>
        <w:t> </w:t>
      </w:r>
      <w:r>
        <w:rPr>
          <w:i/>
        </w:rPr>
        <w:t>Medicinal</w:t>
      </w:r>
      <w:r>
        <w:rPr>
          <w:i/>
          <w:spacing w:val="-3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14</w:t>
      </w:r>
      <w:r>
        <w:rPr/>
        <w:t>(16),1923-1938.</w:t>
      </w:r>
    </w:p>
    <w:p>
      <w:pPr>
        <w:pStyle w:val="BodyText"/>
        <w:spacing w:before="9"/>
      </w:pPr>
    </w:p>
    <w:p>
      <w:pPr>
        <w:spacing w:line="240" w:lineRule="auto" w:before="0"/>
        <w:ind w:left="1033" w:right="702" w:hanging="721"/>
        <w:jc w:val="both"/>
        <w:rPr>
          <w:sz w:val="24"/>
        </w:rPr>
      </w:pPr>
      <w:r>
        <w:rPr>
          <w:sz w:val="24"/>
        </w:rPr>
        <w:t>Liu, J., Gluzman, I. Y., Drew, M. E., and Goldberg, D. E. (2005). The role of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 </w:t>
      </w:r>
      <w:r>
        <w:rPr>
          <w:sz w:val="24"/>
        </w:rPr>
        <w:t>food vacuole plasmepsins. </w:t>
      </w:r>
      <w:r>
        <w:rPr>
          <w:i/>
          <w:sz w:val="24"/>
        </w:rPr>
        <w:t>Journal of Biological Chemistry</w:t>
      </w:r>
      <w:r>
        <w:rPr>
          <w:sz w:val="24"/>
        </w:rPr>
        <w:t>, </w:t>
      </w:r>
      <w:r>
        <w:rPr>
          <w:i/>
          <w:sz w:val="24"/>
        </w:rPr>
        <w:t>280</w:t>
      </w:r>
      <w:r>
        <w:rPr>
          <w:sz w:val="24"/>
        </w:rPr>
        <w:t>(2),</w:t>
      </w:r>
      <w:r>
        <w:rPr>
          <w:spacing w:val="1"/>
          <w:sz w:val="24"/>
        </w:rPr>
        <w:t> </w:t>
      </w:r>
      <w:r>
        <w:rPr>
          <w:sz w:val="24"/>
        </w:rPr>
        <w:t>1432-</w:t>
      </w:r>
      <w:r>
        <w:rPr>
          <w:spacing w:val="4"/>
          <w:sz w:val="24"/>
        </w:rPr>
        <w:t> </w:t>
      </w:r>
      <w:r>
        <w:rPr>
          <w:sz w:val="24"/>
        </w:rPr>
        <w:t>1437.</w:t>
      </w:r>
    </w:p>
    <w:p>
      <w:pPr>
        <w:pStyle w:val="BodyText"/>
        <w:spacing w:before="10"/>
      </w:pPr>
    </w:p>
    <w:p>
      <w:pPr>
        <w:spacing w:line="240" w:lineRule="auto" w:before="0"/>
        <w:ind w:left="1033" w:right="699" w:hanging="721"/>
        <w:jc w:val="both"/>
        <w:rPr>
          <w:sz w:val="24"/>
        </w:rPr>
      </w:pPr>
      <w:r>
        <w:rPr>
          <w:sz w:val="24"/>
        </w:rPr>
        <w:t>Liu, J., Istvan, E. S., Gluzman, I. Y., Gross, J., and Goldberg, D. E. (2006).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 </w:t>
      </w:r>
      <w:r>
        <w:rPr>
          <w:sz w:val="24"/>
        </w:rPr>
        <w:t>ensures its amino acid supply with multiple acquisition pathways and</w:t>
      </w:r>
      <w:r>
        <w:rPr>
          <w:spacing w:val="1"/>
          <w:sz w:val="24"/>
        </w:rPr>
        <w:t> </w:t>
      </w:r>
      <w:r>
        <w:rPr>
          <w:sz w:val="24"/>
        </w:rPr>
        <w:t>redundant proteolytic enzyme systems. </w:t>
      </w:r>
      <w:r>
        <w:rPr>
          <w:i/>
          <w:sz w:val="24"/>
        </w:rPr>
        <w:t>Proceedings of the National Academy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103</w:t>
      </w:r>
      <w:r>
        <w:rPr>
          <w:sz w:val="24"/>
        </w:rPr>
        <w:t>(23),8840-8845.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1"/>
        <w:ind w:left="1033" w:right="701" w:hanging="721"/>
        <w:jc w:val="both"/>
      </w:pPr>
      <w:r>
        <w:rPr/>
        <w:t>Liu, M., Wilairat, P., and Go, M. L. (2001). Antimalarial alkoxylated and hydroxylated</w:t>
      </w:r>
      <w:r>
        <w:rPr>
          <w:spacing w:val="1"/>
        </w:rPr>
        <w:t> </w:t>
      </w:r>
      <w:r>
        <w:rPr/>
        <w:t>chalones: structure−activity relationship analysis. </w:t>
      </w:r>
      <w:r>
        <w:rPr>
          <w:i/>
        </w:rPr>
        <w:t>Journal of Medicinal Chemistry</w:t>
      </w:r>
      <w:r>
        <w:rPr/>
        <w:t>,</w:t>
      </w:r>
      <w:r>
        <w:rPr>
          <w:spacing w:val="1"/>
        </w:rPr>
        <w:t> </w:t>
      </w:r>
      <w:r>
        <w:rPr>
          <w:i/>
        </w:rPr>
        <w:t>44</w:t>
      </w:r>
      <w:r>
        <w:rPr/>
        <w:t>(25),4443-4452.</w:t>
      </w:r>
    </w:p>
    <w:p>
      <w:pPr>
        <w:pStyle w:val="BodyText"/>
        <w:spacing w:before="5"/>
      </w:pPr>
    </w:p>
    <w:p>
      <w:pPr>
        <w:pStyle w:val="BodyText"/>
        <w:ind w:left="1033" w:right="695" w:hanging="721"/>
        <w:jc w:val="both"/>
      </w:pPr>
      <w:r>
        <w:rPr/>
        <w:t>Liu, M., Wilairat, P., Croft, S. L., Tan, A. L. C., and Go, M. L. (2003). Structure–activity</w:t>
      </w:r>
      <w:r>
        <w:rPr>
          <w:spacing w:val="1"/>
        </w:rPr>
        <w:t> </w:t>
      </w:r>
      <w:r>
        <w:rPr/>
        <w:t>relationships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antileishmanial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chalcones.</w:t>
      </w:r>
      <w:r>
        <w:rPr>
          <w:spacing w:val="1"/>
        </w:rPr>
        <w:t> </w:t>
      </w:r>
      <w:r>
        <w:rPr>
          <w:i/>
        </w:rPr>
        <w:t>Bioorganic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11</w:t>
      </w:r>
      <w:r>
        <w:rPr/>
        <w:t>(13),</w:t>
      </w:r>
      <w:r>
        <w:rPr>
          <w:spacing w:val="4"/>
        </w:rPr>
        <w:t> </w:t>
      </w:r>
      <w:r>
        <w:rPr/>
        <w:t>2729-2738.</w:t>
      </w:r>
    </w:p>
    <w:p>
      <w:pPr>
        <w:pStyle w:val="BodyText"/>
        <w:spacing w:before="3"/>
        <w:rPr>
          <w:sz w:val="25"/>
        </w:rPr>
      </w:pPr>
    </w:p>
    <w:p>
      <w:pPr>
        <w:spacing w:line="240" w:lineRule="auto" w:before="0"/>
        <w:ind w:left="1033" w:right="697" w:hanging="721"/>
        <w:jc w:val="both"/>
        <w:rPr>
          <w:sz w:val="24"/>
        </w:rPr>
      </w:pPr>
      <w:r>
        <w:rPr>
          <w:sz w:val="24"/>
        </w:rPr>
        <w:t>Macalino, S. J. Y., Gosu, V., Hong, S., and Choi, S. (2015). Role of computer-aided drug</w:t>
      </w:r>
      <w:r>
        <w:rPr>
          <w:spacing w:val="1"/>
          <w:sz w:val="24"/>
        </w:rPr>
        <w:t> </w:t>
      </w:r>
      <w:r>
        <w:rPr>
          <w:sz w:val="24"/>
        </w:rPr>
        <w:t>design in modern drug discovery. </w:t>
      </w:r>
      <w:r>
        <w:rPr>
          <w:i/>
          <w:sz w:val="24"/>
        </w:rPr>
        <w:t>Archives of Pharmaceutical Research</w:t>
      </w:r>
      <w:r>
        <w:rPr>
          <w:sz w:val="24"/>
        </w:rPr>
        <w:t>, </w:t>
      </w:r>
      <w:r>
        <w:rPr>
          <w:i/>
          <w:sz w:val="24"/>
        </w:rPr>
        <w:t>38</w:t>
      </w:r>
      <w:r>
        <w:rPr>
          <w:sz w:val="24"/>
        </w:rPr>
        <w:t>(9),</w:t>
      </w:r>
      <w:r>
        <w:rPr>
          <w:spacing w:val="1"/>
          <w:sz w:val="24"/>
        </w:rPr>
        <w:t> </w:t>
      </w:r>
      <w:r>
        <w:rPr>
          <w:sz w:val="24"/>
        </w:rPr>
        <w:t>1686-</w:t>
      </w:r>
      <w:r>
        <w:rPr>
          <w:spacing w:val="4"/>
          <w:sz w:val="24"/>
        </w:rPr>
        <w:t> </w:t>
      </w:r>
      <w:r>
        <w:rPr>
          <w:sz w:val="24"/>
        </w:rPr>
        <w:t>1701.</w:t>
      </w:r>
    </w:p>
    <w:p>
      <w:pPr>
        <w:pStyle w:val="BodyText"/>
        <w:spacing w:before="5"/>
      </w:pPr>
    </w:p>
    <w:p>
      <w:pPr>
        <w:spacing w:line="242" w:lineRule="auto" w:before="0"/>
        <w:ind w:left="1033" w:right="712" w:hanging="721"/>
        <w:jc w:val="both"/>
        <w:rPr>
          <w:sz w:val="24"/>
        </w:rPr>
      </w:pPr>
      <w:r>
        <w:rPr>
          <w:sz w:val="24"/>
        </w:rPr>
        <w:t>Marco, M., and Miguel Coteron, J. (2012). Falcipain inhibition as a promising antimalarial</w:t>
      </w:r>
      <w:r>
        <w:rPr>
          <w:spacing w:val="-57"/>
          <w:sz w:val="24"/>
        </w:rPr>
        <w:t> </w:t>
      </w:r>
      <w:r>
        <w:rPr>
          <w:sz w:val="24"/>
        </w:rPr>
        <w:t>target.</w:t>
      </w:r>
      <w:r>
        <w:rPr>
          <w:spacing w:val="5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Topics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Medicinal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12</w:t>
      </w:r>
      <w:r>
        <w:rPr>
          <w:sz w:val="24"/>
        </w:rPr>
        <w:t>(5),</w:t>
      </w:r>
      <w:r>
        <w:rPr>
          <w:spacing w:val="3"/>
          <w:sz w:val="24"/>
        </w:rPr>
        <w:t> </w:t>
      </w:r>
      <w:r>
        <w:rPr>
          <w:sz w:val="24"/>
        </w:rPr>
        <w:t>408-444.</w:t>
      </w:r>
    </w:p>
    <w:p>
      <w:pPr>
        <w:pStyle w:val="BodyText"/>
        <w:spacing w:before="5"/>
        <w:rPr>
          <w:sz w:val="30"/>
        </w:rPr>
      </w:pPr>
    </w:p>
    <w:p>
      <w:pPr>
        <w:spacing w:line="240" w:lineRule="auto" w:before="0"/>
        <w:ind w:left="1033" w:right="692" w:hanging="721"/>
        <w:jc w:val="both"/>
        <w:rPr>
          <w:sz w:val="24"/>
        </w:rPr>
      </w:pPr>
      <w:r>
        <w:rPr>
          <w:sz w:val="24"/>
        </w:rPr>
        <w:t>Mauritz, J. M., Esposito, A., Ginsburg, H., Kaminski, C. F., Tiffert, T., and Lew, V. L.</w:t>
      </w:r>
      <w:r>
        <w:rPr>
          <w:spacing w:val="1"/>
          <w:sz w:val="24"/>
        </w:rPr>
        <w:t> </w:t>
      </w:r>
      <w:r>
        <w:rPr>
          <w:sz w:val="24"/>
        </w:rPr>
        <w:t>(2009). The homeostasis of </w:t>
      </w:r>
      <w:r>
        <w:rPr>
          <w:i/>
          <w:sz w:val="24"/>
        </w:rPr>
        <w:t>Plasmodium falciparum</w:t>
      </w:r>
      <w:r>
        <w:rPr>
          <w:sz w:val="24"/>
        </w:rPr>
        <w:t>-infected red blood cells. </w:t>
      </w:r>
      <w:r>
        <w:rPr>
          <w:i/>
          <w:sz w:val="24"/>
        </w:rPr>
        <w:t>PLoS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Computational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5</w:t>
      </w:r>
      <w:r>
        <w:rPr>
          <w:sz w:val="24"/>
        </w:rPr>
        <w:t>(4),1000339.</w:t>
      </w:r>
    </w:p>
    <w:p>
      <w:pPr>
        <w:pStyle w:val="BodyText"/>
        <w:spacing w:before="5"/>
      </w:pPr>
    </w:p>
    <w:p>
      <w:pPr>
        <w:spacing w:line="240" w:lineRule="auto" w:before="0"/>
        <w:ind w:left="1033" w:right="701" w:hanging="721"/>
        <w:jc w:val="both"/>
        <w:rPr>
          <w:sz w:val="24"/>
        </w:rPr>
      </w:pPr>
      <w:r>
        <w:rPr>
          <w:sz w:val="24"/>
        </w:rPr>
        <w:t>McGillewie, L., and Soliman, M. E. (2015). Flap flexibility amongst plasmepsins I, II, III,</w:t>
      </w:r>
      <w:r>
        <w:rPr>
          <w:spacing w:val="1"/>
          <w:sz w:val="24"/>
        </w:rPr>
        <w:t> </w:t>
      </w:r>
      <w:r>
        <w:rPr>
          <w:sz w:val="24"/>
        </w:rPr>
        <w:t>IV,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V:</w:t>
      </w:r>
      <w:r>
        <w:rPr>
          <w:spacing w:val="1"/>
          <w:sz w:val="24"/>
        </w:rPr>
        <w:t> </w:t>
      </w:r>
      <w:r>
        <w:rPr>
          <w:sz w:val="24"/>
        </w:rPr>
        <w:t>Sequence,</w:t>
      </w:r>
      <w:r>
        <w:rPr>
          <w:spacing w:val="1"/>
          <w:sz w:val="24"/>
        </w:rPr>
        <w:t> </w:t>
      </w:r>
      <w:r>
        <w:rPr>
          <w:sz w:val="24"/>
        </w:rPr>
        <w:t>structural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molecular</w:t>
      </w:r>
      <w:r>
        <w:rPr>
          <w:spacing w:val="1"/>
          <w:sz w:val="24"/>
        </w:rPr>
        <w:t> </w:t>
      </w:r>
      <w:r>
        <w:rPr>
          <w:sz w:val="24"/>
        </w:rPr>
        <w:t>dynamics</w:t>
      </w:r>
      <w:r>
        <w:rPr>
          <w:spacing w:val="1"/>
          <w:sz w:val="24"/>
        </w:rPr>
        <w:t> </w:t>
      </w:r>
      <w:r>
        <w:rPr>
          <w:sz w:val="24"/>
        </w:rPr>
        <w:t>analyses.</w:t>
      </w:r>
      <w:r>
        <w:rPr>
          <w:spacing w:val="1"/>
          <w:sz w:val="24"/>
        </w:rPr>
        <w:t> </w:t>
      </w:r>
      <w:r>
        <w:rPr>
          <w:i/>
          <w:sz w:val="24"/>
        </w:rPr>
        <w:t>Proteins: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Structure,Function,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Bioinformatics</w:t>
      </w:r>
      <w:r>
        <w:rPr>
          <w:sz w:val="24"/>
        </w:rPr>
        <w:t>,</w:t>
      </w:r>
      <w:r>
        <w:rPr>
          <w:i/>
          <w:sz w:val="24"/>
        </w:rPr>
        <w:t>83</w:t>
      </w:r>
      <w:r>
        <w:rPr>
          <w:sz w:val="24"/>
        </w:rPr>
        <w:t>(9),</w:t>
      </w:r>
      <w:r>
        <w:rPr>
          <w:spacing w:val="-2"/>
          <w:sz w:val="24"/>
        </w:rPr>
        <w:t> </w:t>
      </w:r>
      <w:r>
        <w:rPr>
          <w:sz w:val="24"/>
        </w:rPr>
        <w:t>1693-1705.</w:t>
      </w:r>
    </w:p>
    <w:p>
      <w:pPr>
        <w:pStyle w:val="BodyText"/>
        <w:spacing w:before="5"/>
      </w:pPr>
    </w:p>
    <w:p>
      <w:pPr>
        <w:pStyle w:val="BodyText"/>
        <w:spacing w:line="242" w:lineRule="auto" w:before="1"/>
        <w:ind w:left="1033" w:right="700" w:hanging="721"/>
        <w:jc w:val="both"/>
      </w:pPr>
      <w:r>
        <w:rPr/>
        <w:t>McKerrow, J. H., Sun, E., Rosenthal, P. J., and Bouvier, J. (1993). The proteases and</w:t>
      </w:r>
      <w:r>
        <w:rPr>
          <w:spacing w:val="1"/>
        </w:rPr>
        <w:t> </w:t>
      </w:r>
      <w:r>
        <w:rPr/>
        <w:t>pathogenicity of parasitic protozoa. </w:t>
      </w:r>
      <w:r>
        <w:rPr>
          <w:i/>
        </w:rPr>
        <w:t>Annual Reviews in Microbiology</w:t>
      </w:r>
      <w:r>
        <w:rPr/>
        <w:t>, </w:t>
      </w:r>
      <w:r>
        <w:rPr>
          <w:i/>
        </w:rPr>
        <w:t>47</w:t>
      </w:r>
      <w:r>
        <w:rPr/>
        <w:t>(1), 821-</w:t>
      </w:r>
      <w:r>
        <w:rPr>
          <w:spacing w:val="1"/>
        </w:rPr>
        <w:t> </w:t>
      </w:r>
      <w:r>
        <w:rPr/>
        <w:t>853.</w:t>
      </w:r>
    </w:p>
    <w:p>
      <w:pPr>
        <w:spacing w:after="0" w:line="242" w:lineRule="auto"/>
        <w:jc w:val="both"/>
        <w:sectPr>
          <w:headerReference w:type="default" r:id="rId452"/>
          <w:footerReference w:type="default" r:id="rId453"/>
          <w:pgSz w:w="11910" w:h="16840"/>
          <w:pgMar w:header="0" w:footer="2491" w:top="1200" w:bottom="2680" w:left="1560" w:right="600"/>
        </w:sectPr>
      </w:pPr>
    </w:p>
    <w:p>
      <w:pPr>
        <w:pStyle w:val="BodyText"/>
        <w:spacing w:before="70"/>
        <w:ind w:left="1033" w:right="705" w:hanging="721"/>
        <w:jc w:val="both"/>
      </w:pPr>
      <w:r>
        <w:rPr/>
        <w:t>Micale, N., Kozikowski, A. P., Ettari, R., Grasso, S., Zappalà, M., Jeong, J. J., ... and</w:t>
      </w:r>
      <w:r>
        <w:rPr>
          <w:spacing w:val="1"/>
        </w:rPr>
        <w:t> </w:t>
      </w:r>
      <w:r>
        <w:rPr/>
        <w:t>Chishti,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H.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Novel</w:t>
      </w:r>
      <w:r>
        <w:rPr>
          <w:spacing w:val="1"/>
        </w:rPr>
        <w:t> </w:t>
      </w:r>
      <w:r>
        <w:rPr/>
        <w:t>peptidomimetic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protease</w:t>
      </w:r>
      <w:r>
        <w:rPr>
          <w:spacing w:val="1"/>
        </w:rPr>
        <w:t> </w:t>
      </w:r>
      <w:r>
        <w:rPr/>
        <w:t>inhibitors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potential</w:t>
      </w:r>
      <w:r>
        <w:rPr>
          <w:spacing w:val="-6"/>
        </w:rPr>
        <w:t> </w:t>
      </w:r>
      <w:r>
        <w:rPr/>
        <w:t>antimalarial</w:t>
      </w:r>
      <w:r>
        <w:rPr>
          <w:spacing w:val="-6"/>
        </w:rPr>
        <w:t> </w:t>
      </w:r>
      <w:r>
        <w:rPr/>
        <w:t>agents.</w:t>
      </w:r>
      <w:r>
        <w:rPr>
          <w:spacing w:val="6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Medicinal</w:t>
      </w:r>
      <w:r>
        <w:rPr>
          <w:i/>
          <w:spacing w:val="-6"/>
        </w:rPr>
        <w:t> </w:t>
      </w:r>
      <w:r>
        <w:rPr>
          <w:i/>
        </w:rPr>
        <w:t>Chemistry</w:t>
      </w:r>
      <w:r>
        <w:rPr/>
        <w:t>,</w:t>
      </w:r>
      <w:r>
        <w:rPr>
          <w:spacing w:val="1"/>
        </w:rPr>
        <w:t> </w:t>
      </w:r>
      <w:r>
        <w:rPr>
          <w:i/>
        </w:rPr>
        <w:t>49</w:t>
      </w:r>
      <w:r>
        <w:rPr/>
        <w:t>(11),</w:t>
      </w:r>
      <w:r>
        <w:rPr>
          <w:spacing w:val="-3"/>
        </w:rPr>
        <w:t> </w:t>
      </w:r>
      <w:r>
        <w:rPr/>
        <w:t>3064-3067.</w:t>
      </w:r>
    </w:p>
    <w:p>
      <w:pPr>
        <w:pStyle w:val="BodyText"/>
        <w:spacing w:before="10"/>
      </w:pPr>
    </w:p>
    <w:p>
      <w:pPr>
        <w:pStyle w:val="BodyText"/>
        <w:spacing w:line="242" w:lineRule="auto"/>
        <w:ind w:left="1033" w:right="704" w:hanging="721"/>
        <w:jc w:val="both"/>
      </w:pPr>
      <w:r>
        <w:rPr/>
        <w:t>Miller, L. H., Ackerman, H. C., Su, X. Z., and Wellems, T. E. (2013). Malaria biology and</w:t>
      </w:r>
      <w:r>
        <w:rPr>
          <w:spacing w:val="-57"/>
        </w:rPr>
        <w:t> </w:t>
      </w:r>
      <w:r>
        <w:rPr/>
        <w:t>disease</w:t>
      </w:r>
      <w:r>
        <w:rPr>
          <w:spacing w:val="-3"/>
        </w:rPr>
        <w:t> </w:t>
      </w:r>
      <w:r>
        <w:rPr/>
        <w:t>pathogenesis:</w:t>
      </w:r>
      <w:r>
        <w:rPr>
          <w:spacing w:val="4"/>
        </w:rPr>
        <w:t> </w:t>
      </w:r>
      <w:r>
        <w:rPr/>
        <w:t>insights</w:t>
      </w:r>
      <w:r>
        <w:rPr>
          <w:spacing w:val="-3"/>
        </w:rPr>
        <w:t> </w:t>
      </w:r>
      <w:r>
        <w:rPr/>
        <w:t>for new</w:t>
      </w:r>
      <w:r>
        <w:rPr>
          <w:spacing w:val="-2"/>
        </w:rPr>
        <w:t> </w:t>
      </w:r>
      <w:r>
        <w:rPr/>
        <w:t>treatments.</w:t>
      </w:r>
      <w:r>
        <w:rPr>
          <w:spacing w:val="4"/>
        </w:rPr>
        <w:t> </w:t>
      </w:r>
      <w:r>
        <w:rPr>
          <w:i/>
        </w:rPr>
        <w:t>Nature</w:t>
      </w:r>
      <w:r>
        <w:rPr>
          <w:i/>
          <w:spacing w:val="-2"/>
        </w:rPr>
        <w:t> </w:t>
      </w:r>
      <w:r>
        <w:rPr>
          <w:i/>
        </w:rPr>
        <w:t>Medicine</w:t>
      </w:r>
      <w:r>
        <w:rPr/>
        <w:t>,</w:t>
      </w:r>
      <w:r>
        <w:rPr>
          <w:spacing w:val="1"/>
        </w:rPr>
        <w:t> </w:t>
      </w:r>
      <w:r>
        <w:rPr>
          <w:i/>
        </w:rPr>
        <w:t>19</w:t>
      </w:r>
      <w:r>
        <w:rPr/>
        <w:t>(2), 156.</w:t>
      </w:r>
    </w:p>
    <w:p>
      <w:pPr>
        <w:pStyle w:val="BodyText"/>
        <w:spacing w:before="1"/>
      </w:pPr>
    </w:p>
    <w:p>
      <w:pPr>
        <w:pStyle w:val="BodyText"/>
        <w:spacing w:before="1"/>
        <w:ind w:left="1033" w:right="698" w:hanging="721"/>
        <w:jc w:val="both"/>
      </w:pPr>
      <w:r>
        <w:rPr/>
        <w:t>Mishra, N., Arora, P., Kumar, B., Mishra, L. C., Bhattacharya, A., Awasthi, S. K., and</w:t>
      </w:r>
      <w:r>
        <w:rPr>
          <w:spacing w:val="1"/>
        </w:rPr>
        <w:t> </w:t>
      </w:r>
      <w:r>
        <w:rPr/>
        <w:t>Bhasin,</w:t>
      </w:r>
      <w:r>
        <w:rPr>
          <w:spacing w:val="1"/>
        </w:rPr>
        <w:t> </w:t>
      </w:r>
      <w:r>
        <w:rPr/>
        <w:t>V.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(2008).</w:t>
      </w:r>
      <w:r>
        <w:rPr>
          <w:spacing w:val="1"/>
        </w:rPr>
        <w:t> </w:t>
      </w:r>
      <w:r>
        <w:rPr/>
        <w:t>Synthesis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novel</w:t>
      </w:r>
      <w:r>
        <w:rPr>
          <w:spacing w:val="1"/>
        </w:rPr>
        <w:t> </w:t>
      </w:r>
      <w:r>
        <w:rPr/>
        <w:t>substituted</w:t>
      </w:r>
      <w:r>
        <w:rPr>
          <w:spacing w:val="1"/>
        </w:rPr>
        <w:t> </w:t>
      </w:r>
      <w:r>
        <w:rPr/>
        <w:t>1,</w:t>
      </w:r>
      <w:r>
        <w:rPr>
          <w:spacing w:val="1"/>
        </w:rPr>
        <w:t> </w:t>
      </w:r>
      <w:r>
        <w:rPr/>
        <w:t>3-diaryl</w:t>
      </w:r>
      <w:r>
        <w:rPr>
          <w:spacing w:val="1"/>
        </w:rPr>
        <w:t> </w:t>
      </w:r>
      <w:r>
        <w:rPr/>
        <w:t>propenone</w:t>
      </w:r>
      <w:r>
        <w:rPr>
          <w:spacing w:val="1"/>
        </w:rPr>
        <w:t> </w:t>
      </w:r>
      <w:r>
        <w:rPr/>
        <w:t>derivatives and their antimalarial activity in vitro. </w:t>
      </w:r>
      <w:r>
        <w:rPr>
          <w:i/>
        </w:rPr>
        <w:t>European Journal of 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3"/>
        </w:rPr>
        <w:t> </w:t>
      </w:r>
      <w:r>
        <w:rPr>
          <w:i/>
        </w:rPr>
        <w:t>43</w:t>
      </w:r>
      <w:r>
        <w:rPr/>
        <w:t>(7),</w:t>
      </w:r>
      <w:r>
        <w:rPr>
          <w:spacing w:val="4"/>
        </w:rPr>
        <w:t> </w:t>
      </w:r>
      <w:r>
        <w:rPr/>
        <w:t>1530-1535.</w:t>
      </w:r>
    </w:p>
    <w:p>
      <w:pPr>
        <w:pStyle w:val="BodyText"/>
        <w:spacing w:before="7"/>
      </w:pPr>
    </w:p>
    <w:p>
      <w:pPr>
        <w:spacing w:line="240" w:lineRule="auto" w:before="0"/>
        <w:ind w:left="1033" w:right="700" w:hanging="721"/>
        <w:jc w:val="both"/>
        <w:rPr>
          <w:sz w:val="24"/>
        </w:rPr>
      </w:pPr>
      <w:r>
        <w:rPr>
          <w:sz w:val="24"/>
        </w:rPr>
        <w:t>Motta,</w:t>
      </w:r>
      <w:r>
        <w:rPr>
          <w:spacing w:val="1"/>
          <w:sz w:val="24"/>
        </w:rPr>
        <w:t> </w:t>
      </w:r>
      <w:r>
        <w:rPr>
          <w:sz w:val="24"/>
        </w:rPr>
        <w:t>L.</w:t>
      </w:r>
      <w:r>
        <w:rPr>
          <w:spacing w:val="1"/>
          <w:sz w:val="24"/>
        </w:rPr>
        <w:t> </w:t>
      </w:r>
      <w:r>
        <w:rPr>
          <w:sz w:val="24"/>
        </w:rPr>
        <w:t>F.,</w:t>
      </w:r>
      <w:r>
        <w:rPr>
          <w:spacing w:val="1"/>
          <w:sz w:val="24"/>
        </w:rPr>
        <w:t> </w:t>
      </w:r>
      <w:r>
        <w:rPr>
          <w:sz w:val="24"/>
        </w:rPr>
        <w:t>Gaudio,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C.,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Takahata,</w:t>
      </w:r>
      <w:r>
        <w:rPr>
          <w:spacing w:val="1"/>
          <w:sz w:val="24"/>
        </w:rPr>
        <w:t> </w:t>
      </w:r>
      <w:r>
        <w:rPr>
          <w:sz w:val="24"/>
        </w:rPr>
        <w:t>Y.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spacing w:val="1"/>
          <w:sz w:val="24"/>
        </w:rPr>
        <w:t> </w:t>
      </w:r>
      <w:r>
        <w:rPr>
          <w:sz w:val="24"/>
        </w:rPr>
        <w:t>Chalcone</w:t>
      </w:r>
      <w:r>
        <w:rPr>
          <w:spacing w:val="1"/>
          <w:sz w:val="24"/>
        </w:rPr>
        <w:t> </w:t>
      </w:r>
      <w:r>
        <w:rPr>
          <w:sz w:val="24"/>
        </w:rPr>
        <w:t>Derivatives</w:t>
      </w:r>
      <w:r>
        <w:rPr>
          <w:spacing w:val="1"/>
          <w:sz w:val="24"/>
        </w:rPr>
        <w:t> </w:t>
      </w:r>
      <w:r>
        <w:rPr>
          <w:sz w:val="24"/>
        </w:rPr>
        <w:t>(1,</w:t>
      </w:r>
      <w:r>
        <w:rPr>
          <w:spacing w:val="1"/>
          <w:sz w:val="24"/>
        </w:rPr>
        <w:t> </w:t>
      </w:r>
      <w:r>
        <w:rPr>
          <w:sz w:val="24"/>
        </w:rPr>
        <w:t>3-</w:t>
      </w:r>
      <w:r>
        <w:rPr>
          <w:spacing w:val="1"/>
          <w:sz w:val="24"/>
        </w:rPr>
        <w:t> </w:t>
      </w:r>
      <w:r>
        <w:rPr>
          <w:sz w:val="24"/>
        </w:rPr>
        <w:t>diphenyl–2–propen–1–one) as Anti </w:t>
      </w:r>
      <w:r>
        <w:rPr>
          <w:i/>
          <w:sz w:val="24"/>
        </w:rPr>
        <w:t>Plasmodium falciparum </w:t>
      </w:r>
      <w:r>
        <w:rPr>
          <w:sz w:val="24"/>
        </w:rPr>
        <w:t>Agents (Anti Malaria</w:t>
      </w:r>
      <w:r>
        <w:rPr>
          <w:spacing w:val="1"/>
          <w:sz w:val="24"/>
        </w:rPr>
        <w:t> </w:t>
      </w:r>
      <w:r>
        <w:rPr>
          <w:sz w:val="24"/>
        </w:rPr>
        <w:t>Agents).</w:t>
      </w:r>
      <w:r>
        <w:rPr>
          <w:spacing w:val="4"/>
          <w:sz w:val="24"/>
        </w:rPr>
        <w:t> </w:t>
      </w:r>
      <w:r>
        <w:rPr>
          <w:i/>
          <w:sz w:val="24"/>
        </w:rPr>
        <w:t>Internet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Electronic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Molecular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Design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5</w:t>
      </w:r>
      <w:r>
        <w:rPr>
          <w:sz w:val="24"/>
        </w:rPr>
        <w:t>,555-569</w:t>
      </w:r>
    </w:p>
    <w:p>
      <w:pPr>
        <w:pStyle w:val="BodyText"/>
        <w:spacing w:before="11"/>
      </w:pPr>
    </w:p>
    <w:p>
      <w:pPr>
        <w:spacing w:line="242" w:lineRule="auto" w:before="0"/>
        <w:ind w:left="1033" w:right="702" w:hanging="721"/>
        <w:jc w:val="both"/>
        <w:rPr>
          <w:sz w:val="24"/>
        </w:rPr>
      </w:pPr>
      <w:r>
        <w:rPr>
          <w:sz w:val="24"/>
        </w:rPr>
        <w:t>Muegge, I., and Mukherjee, P. (2016). An overview of molecular fingerprint similarity</w:t>
      </w:r>
      <w:r>
        <w:rPr>
          <w:spacing w:val="1"/>
          <w:sz w:val="24"/>
        </w:rPr>
        <w:t> </w:t>
      </w:r>
      <w:r>
        <w:rPr>
          <w:sz w:val="24"/>
        </w:rPr>
        <w:t>search</w:t>
      </w:r>
      <w:r>
        <w:rPr>
          <w:spacing w:val="-1"/>
          <w:sz w:val="24"/>
        </w:rPr>
        <w:t> </w:t>
      </w:r>
      <w:r>
        <w:rPr>
          <w:sz w:val="24"/>
        </w:rPr>
        <w:t>in virtual</w:t>
      </w:r>
      <w:r>
        <w:rPr>
          <w:spacing w:val="-8"/>
          <w:sz w:val="24"/>
        </w:rPr>
        <w:t> </w:t>
      </w:r>
      <w:r>
        <w:rPr>
          <w:sz w:val="24"/>
        </w:rPr>
        <w:t>screening.</w:t>
      </w:r>
      <w:r>
        <w:rPr>
          <w:spacing w:val="6"/>
          <w:sz w:val="24"/>
        </w:rPr>
        <w:t> </w:t>
      </w:r>
      <w:r>
        <w:rPr>
          <w:i/>
          <w:sz w:val="24"/>
        </w:rPr>
        <w:t>Expert Opinion on Drug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Discovery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i/>
          <w:sz w:val="24"/>
        </w:rPr>
        <w:t>11</w:t>
      </w:r>
      <w:r>
        <w:rPr>
          <w:sz w:val="24"/>
        </w:rPr>
        <w:t>(2),137-148.</w:t>
      </w:r>
    </w:p>
    <w:p>
      <w:pPr>
        <w:pStyle w:val="BodyText"/>
        <w:spacing w:before="6"/>
      </w:pPr>
    </w:p>
    <w:p>
      <w:pPr>
        <w:pStyle w:val="BodyText"/>
        <w:ind w:left="1033" w:right="706" w:hanging="721"/>
        <w:jc w:val="both"/>
      </w:pPr>
      <w:r>
        <w:rPr/>
        <w:t>Musyoka, T. M., Kanzi, A. M., Lobb, K. A., and Bishop, Ö. T. (2016). Structure based</w:t>
      </w:r>
      <w:r>
        <w:rPr>
          <w:spacing w:val="1"/>
        </w:rPr>
        <w:t> </w:t>
      </w:r>
      <w:r>
        <w:rPr/>
        <w:t>docking and molecular dynamic studies of </w:t>
      </w:r>
      <w:r>
        <w:rPr>
          <w:i/>
        </w:rPr>
        <w:t>plasmodial </w:t>
      </w:r>
      <w:r>
        <w:rPr/>
        <w:t>cysteine proteases against a</w:t>
      </w:r>
      <w:r>
        <w:rPr>
          <w:spacing w:val="1"/>
        </w:rPr>
        <w:t> </w:t>
      </w:r>
      <w:r>
        <w:rPr/>
        <w:t>South</w:t>
      </w:r>
      <w:r>
        <w:rPr>
          <w:spacing w:val="-4"/>
        </w:rPr>
        <w:t> </w:t>
      </w:r>
      <w:r>
        <w:rPr/>
        <w:t>African</w:t>
      </w:r>
      <w:r>
        <w:rPr>
          <w:spacing w:val="-4"/>
        </w:rPr>
        <w:t> </w:t>
      </w:r>
      <w:r>
        <w:rPr/>
        <w:t>natural</w:t>
      </w:r>
      <w:r>
        <w:rPr>
          <w:spacing w:val="-8"/>
        </w:rPr>
        <w:t> </w:t>
      </w:r>
      <w:r>
        <w:rPr/>
        <w:t>compound and</w:t>
      </w:r>
      <w:r>
        <w:rPr>
          <w:spacing w:val="5"/>
        </w:rPr>
        <w:t> </w:t>
      </w:r>
      <w:r>
        <w:rPr/>
        <w:t>its</w:t>
      </w:r>
      <w:r>
        <w:rPr>
          <w:spacing w:val="-1"/>
        </w:rPr>
        <w:t> </w:t>
      </w:r>
      <w:r>
        <w:rPr/>
        <w:t>analogs.</w:t>
      </w:r>
      <w:r>
        <w:rPr>
          <w:spacing w:val="7"/>
        </w:rPr>
        <w:t> </w:t>
      </w:r>
      <w:r>
        <w:rPr>
          <w:i/>
        </w:rPr>
        <w:t>Scientific</w:t>
      </w:r>
      <w:r>
        <w:rPr>
          <w:i/>
          <w:spacing w:val="-4"/>
        </w:rPr>
        <w:t> </w:t>
      </w:r>
      <w:r>
        <w:rPr>
          <w:i/>
        </w:rPr>
        <w:t>Reports</w:t>
      </w:r>
      <w:r>
        <w:rPr/>
        <w:t>,</w:t>
      </w:r>
      <w:r>
        <w:rPr>
          <w:spacing w:val="3"/>
        </w:rPr>
        <w:t> </w:t>
      </w:r>
      <w:r>
        <w:rPr>
          <w:i/>
        </w:rPr>
        <w:t>6</w:t>
      </w:r>
      <w:r>
        <w:rPr/>
        <w:t>,23690.</w:t>
      </w:r>
    </w:p>
    <w:p>
      <w:pPr>
        <w:pStyle w:val="BodyText"/>
        <w:spacing w:before="10"/>
        <w:rPr>
          <w:sz w:val="38"/>
        </w:rPr>
      </w:pPr>
    </w:p>
    <w:p>
      <w:pPr>
        <w:pStyle w:val="BodyText"/>
        <w:spacing w:line="237" w:lineRule="auto"/>
        <w:ind w:left="1033" w:right="700" w:hanging="721"/>
        <w:jc w:val="both"/>
      </w:pPr>
      <w:r>
        <w:rPr/>
        <w:t>Nair, P. C., and Miners, J. O. (2014). Molecular dynamics simulations: from structure-</w:t>
      </w:r>
      <w:r>
        <w:rPr>
          <w:spacing w:val="1"/>
        </w:rPr>
        <w:t> </w:t>
      </w:r>
      <w:r>
        <w:rPr/>
        <w:t>function</w:t>
      </w:r>
      <w:r>
        <w:rPr>
          <w:spacing w:val="-5"/>
        </w:rPr>
        <w:t> </w:t>
      </w:r>
      <w:r>
        <w:rPr/>
        <w:t>relationships</w:t>
      </w:r>
      <w:r>
        <w:rPr>
          <w:spacing w:val="-2"/>
        </w:rPr>
        <w:t> </w:t>
      </w:r>
      <w:r>
        <w:rPr/>
        <w:t>to</w:t>
      </w:r>
      <w:r>
        <w:rPr>
          <w:spacing w:val="1"/>
        </w:rPr>
        <w:t> </w:t>
      </w:r>
      <w:r>
        <w:rPr/>
        <w:t>drug discovery.</w:t>
      </w:r>
      <w:r>
        <w:rPr>
          <w:spacing w:val="8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silico</w:t>
      </w:r>
      <w:r>
        <w:rPr>
          <w:i/>
          <w:spacing w:val="-1"/>
        </w:rPr>
        <w:t> </w:t>
      </w:r>
      <w:r>
        <w:rPr>
          <w:i/>
        </w:rPr>
        <w:t>Pharmacology</w:t>
      </w:r>
      <w:r>
        <w:rPr/>
        <w:t>,</w:t>
      </w:r>
      <w:r>
        <w:rPr>
          <w:spacing w:val="3"/>
        </w:rPr>
        <w:t> </w:t>
      </w:r>
      <w:r>
        <w:rPr>
          <w:i/>
        </w:rPr>
        <w:t>2</w:t>
      </w:r>
      <w:r>
        <w:rPr/>
        <w:t>(1),</w:t>
      </w:r>
      <w:r>
        <w:rPr>
          <w:spacing w:val="2"/>
        </w:rPr>
        <w:t> </w:t>
      </w:r>
      <w:r>
        <w:rPr/>
        <w:t>4.</w:t>
      </w:r>
    </w:p>
    <w:p>
      <w:pPr>
        <w:pStyle w:val="BodyText"/>
        <w:spacing w:before="6"/>
      </w:pPr>
    </w:p>
    <w:p>
      <w:pPr>
        <w:pStyle w:val="BodyText"/>
        <w:ind w:left="1033" w:right="704" w:hanging="721"/>
        <w:jc w:val="both"/>
      </w:pPr>
      <w:r>
        <w:rPr/>
        <w:t>Noedl, H., Se, Y., Schaecher, K., Smith, B. L., Socheat, D., and Fukuda, M. M. (2008).</w:t>
      </w:r>
      <w:r>
        <w:rPr>
          <w:spacing w:val="1"/>
        </w:rPr>
        <w:t> </w:t>
      </w:r>
      <w:r>
        <w:rPr/>
        <w:t>Evidence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artemisinin-resistant</w:t>
      </w:r>
      <w:r>
        <w:rPr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western</w:t>
      </w:r>
      <w:r>
        <w:rPr>
          <w:spacing w:val="1"/>
        </w:rPr>
        <w:t> </w:t>
      </w:r>
      <w:r>
        <w:rPr/>
        <w:t>Cambodia.</w:t>
      </w:r>
      <w:r>
        <w:rPr>
          <w:spacing w:val="1"/>
        </w:rPr>
        <w:t> </w:t>
      </w:r>
      <w:r>
        <w:rPr>
          <w:i/>
        </w:rPr>
        <w:t>New</w:t>
      </w:r>
      <w:r>
        <w:rPr>
          <w:i/>
          <w:spacing w:val="1"/>
        </w:rPr>
        <w:t> </w:t>
      </w:r>
      <w:r>
        <w:rPr>
          <w:i/>
        </w:rPr>
        <w:t>England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2"/>
        </w:rPr>
        <w:t> </w:t>
      </w:r>
      <w:r>
        <w:rPr>
          <w:i/>
        </w:rPr>
        <w:t>Medicine</w:t>
      </w:r>
      <w:r>
        <w:rPr/>
        <w:t>, </w:t>
      </w:r>
      <w:r>
        <w:rPr>
          <w:i/>
        </w:rPr>
        <w:t>359</w:t>
      </w:r>
      <w:r>
        <w:rPr/>
        <w:t>(24),</w:t>
      </w:r>
      <w:r>
        <w:rPr>
          <w:spacing w:val="4"/>
        </w:rPr>
        <w:t> </w:t>
      </w:r>
      <w:r>
        <w:rPr/>
        <w:t>2619-2620.</w:t>
      </w:r>
    </w:p>
    <w:p>
      <w:pPr>
        <w:pStyle w:val="BodyText"/>
        <w:spacing w:before="10"/>
      </w:pPr>
    </w:p>
    <w:p>
      <w:pPr>
        <w:pStyle w:val="BodyText"/>
        <w:ind w:left="312"/>
        <w:jc w:val="both"/>
      </w:pPr>
      <w:r>
        <w:rPr/>
        <w:t>Noedl,</w:t>
      </w:r>
      <w:r>
        <w:rPr>
          <w:spacing w:val="28"/>
        </w:rPr>
        <w:t> </w:t>
      </w:r>
      <w:r>
        <w:rPr/>
        <w:t>H.,</w:t>
      </w:r>
      <w:r>
        <w:rPr>
          <w:spacing w:val="29"/>
        </w:rPr>
        <w:t> </w:t>
      </w:r>
      <w:r>
        <w:rPr/>
        <w:t>Socheat,</w:t>
      </w:r>
      <w:r>
        <w:rPr>
          <w:spacing w:val="28"/>
        </w:rPr>
        <w:t> </w:t>
      </w:r>
      <w:r>
        <w:rPr/>
        <w:t>D.,</w:t>
      </w:r>
      <w:r>
        <w:rPr>
          <w:spacing w:val="30"/>
        </w:rPr>
        <w:t> </w:t>
      </w:r>
      <w:r>
        <w:rPr/>
        <w:t>and</w:t>
      </w:r>
      <w:r>
        <w:rPr>
          <w:spacing w:val="25"/>
        </w:rPr>
        <w:t> </w:t>
      </w:r>
      <w:r>
        <w:rPr/>
        <w:t>Satimai,</w:t>
      </w:r>
      <w:r>
        <w:rPr>
          <w:spacing w:val="37"/>
        </w:rPr>
        <w:t> </w:t>
      </w:r>
      <w:r>
        <w:rPr/>
        <w:t>W.</w:t>
      </w:r>
      <w:r>
        <w:rPr>
          <w:spacing w:val="58"/>
        </w:rPr>
        <w:t> </w:t>
      </w:r>
      <w:r>
        <w:rPr/>
        <w:t>(2009).</w:t>
      </w:r>
      <w:r>
        <w:rPr>
          <w:spacing w:val="30"/>
        </w:rPr>
        <w:t> </w:t>
      </w:r>
      <w:r>
        <w:rPr/>
        <w:t>Artemisinin-resistant</w:t>
      </w:r>
      <w:r>
        <w:rPr>
          <w:spacing w:val="35"/>
        </w:rPr>
        <w:t> </w:t>
      </w:r>
      <w:r>
        <w:rPr/>
        <w:t>malaria</w:t>
      </w:r>
      <w:r>
        <w:rPr>
          <w:spacing w:val="34"/>
        </w:rPr>
        <w:t> </w:t>
      </w:r>
      <w:r>
        <w:rPr/>
        <w:t>in</w:t>
      </w:r>
      <w:r>
        <w:rPr>
          <w:spacing w:val="31"/>
        </w:rPr>
        <w:t> </w:t>
      </w:r>
      <w:r>
        <w:rPr/>
        <w:t>Asia.</w:t>
      </w:r>
    </w:p>
    <w:p>
      <w:pPr>
        <w:spacing w:before="2"/>
        <w:ind w:left="1033" w:right="0" w:firstLine="0"/>
        <w:jc w:val="left"/>
        <w:rPr>
          <w:sz w:val="24"/>
        </w:rPr>
      </w:pPr>
      <w:r>
        <w:rPr>
          <w:i/>
          <w:sz w:val="24"/>
        </w:rPr>
        <w:t>New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England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 of Medicine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361</w:t>
      </w:r>
      <w:r>
        <w:rPr>
          <w:sz w:val="24"/>
        </w:rPr>
        <w:t>(5),540-541</w:t>
      </w:r>
    </w:p>
    <w:p>
      <w:pPr>
        <w:pStyle w:val="BodyText"/>
        <w:spacing w:before="6"/>
      </w:pPr>
    </w:p>
    <w:p>
      <w:pPr>
        <w:pStyle w:val="BodyText"/>
        <w:spacing w:line="242" w:lineRule="auto"/>
        <w:ind w:left="1033" w:right="703" w:hanging="721"/>
        <w:jc w:val="both"/>
      </w:pPr>
      <w:r>
        <w:rPr/>
        <w:t>Pagola, S., Stephens, P. W., Bohle, D. S., Kosar, A. D., and Madsen, S. K. (2000). The</w:t>
      </w:r>
      <w:r>
        <w:rPr>
          <w:spacing w:val="1"/>
        </w:rPr>
        <w:t> </w:t>
      </w:r>
      <w:r>
        <w:rPr/>
        <w:t>structure</w:t>
      </w:r>
      <w:r>
        <w:rPr>
          <w:spacing w:val="-10"/>
        </w:rPr>
        <w:t> </w:t>
      </w:r>
      <w:r>
        <w:rPr/>
        <w:t>of</w:t>
      </w:r>
      <w:r>
        <w:rPr>
          <w:spacing w:val="-2"/>
        </w:rPr>
        <w:t> </w:t>
      </w:r>
      <w:r>
        <w:rPr/>
        <w:t>malaria pigment</w:t>
      </w:r>
      <w:r>
        <w:rPr>
          <w:spacing w:val="12"/>
        </w:rPr>
        <w:t> </w:t>
      </w:r>
      <w:r>
        <w:rPr>
          <w:i/>
        </w:rPr>
        <w:t>β-</w:t>
      </w:r>
      <w:r>
        <w:rPr/>
        <w:t>haematin.</w:t>
      </w:r>
      <w:r>
        <w:rPr>
          <w:spacing w:val="4"/>
        </w:rPr>
        <w:t> </w:t>
      </w:r>
      <w:r>
        <w:rPr>
          <w:i/>
        </w:rPr>
        <w:t>Nature</w:t>
      </w:r>
      <w:r>
        <w:rPr/>
        <w:t>,</w:t>
      </w:r>
      <w:r>
        <w:rPr>
          <w:spacing w:val="3"/>
        </w:rPr>
        <w:t> </w:t>
      </w:r>
      <w:r>
        <w:rPr>
          <w:i/>
        </w:rPr>
        <w:t>404</w:t>
      </w:r>
      <w:r>
        <w:rPr/>
        <w:t>(6775),</w:t>
      </w:r>
      <w:r>
        <w:rPr>
          <w:spacing w:val="-2"/>
        </w:rPr>
        <w:t> </w:t>
      </w:r>
      <w:r>
        <w:rPr/>
        <w:t>307.</w:t>
      </w:r>
    </w:p>
    <w:p>
      <w:pPr>
        <w:pStyle w:val="BodyText"/>
        <w:spacing w:before="6"/>
      </w:pPr>
    </w:p>
    <w:p>
      <w:pPr>
        <w:pStyle w:val="BodyText"/>
        <w:spacing w:line="275" w:lineRule="exact"/>
        <w:ind w:left="312"/>
        <w:jc w:val="both"/>
      </w:pPr>
      <w:r>
        <w:rPr/>
        <w:t>Pandey,</w:t>
      </w:r>
      <w:r>
        <w:rPr>
          <w:spacing w:val="6"/>
        </w:rPr>
        <w:t> </w:t>
      </w:r>
      <w:r>
        <w:rPr/>
        <w:t>K.</w:t>
      </w:r>
      <w:r>
        <w:rPr>
          <w:spacing w:val="1"/>
        </w:rPr>
        <w:t> </w:t>
      </w:r>
      <w:r>
        <w:rPr/>
        <w:t>C.,</w:t>
      </w:r>
      <w:r>
        <w:rPr>
          <w:spacing w:val="6"/>
        </w:rPr>
        <w:t> </w:t>
      </w:r>
      <w:r>
        <w:rPr/>
        <w:t>Wang,</w:t>
      </w:r>
      <w:r>
        <w:rPr>
          <w:spacing w:val="1"/>
        </w:rPr>
        <w:t> </w:t>
      </w:r>
      <w:r>
        <w:rPr/>
        <w:t>S.</w:t>
      </w:r>
      <w:r>
        <w:rPr>
          <w:spacing w:val="2"/>
        </w:rPr>
        <w:t> </w:t>
      </w:r>
      <w:r>
        <w:rPr/>
        <w:t>X.,</w:t>
      </w:r>
      <w:r>
        <w:rPr>
          <w:spacing w:val="1"/>
        </w:rPr>
        <w:t> </w:t>
      </w:r>
      <w:r>
        <w:rPr/>
        <w:t>Sijwali,</w:t>
      </w:r>
      <w:r>
        <w:rPr>
          <w:spacing w:val="6"/>
        </w:rPr>
        <w:t> </w:t>
      </w:r>
      <w:r>
        <w:rPr/>
        <w:t>P.</w:t>
      </w:r>
      <w:r>
        <w:rPr>
          <w:spacing w:val="2"/>
        </w:rPr>
        <w:t> </w:t>
      </w:r>
      <w:r>
        <w:rPr/>
        <w:t>S.,</w:t>
      </w:r>
      <w:r>
        <w:rPr>
          <w:spacing w:val="1"/>
        </w:rPr>
        <w:t> </w:t>
      </w:r>
      <w:r>
        <w:rPr/>
        <w:t>Lau,</w:t>
      </w:r>
      <w:r>
        <w:rPr>
          <w:spacing w:val="1"/>
        </w:rPr>
        <w:t> </w:t>
      </w:r>
      <w:r>
        <w:rPr/>
        <w:t>A.</w:t>
      </w:r>
      <w:r>
        <w:rPr>
          <w:spacing w:val="6"/>
        </w:rPr>
        <w:t> </w:t>
      </w:r>
      <w:r>
        <w:rPr/>
        <w:t>L.,</w:t>
      </w:r>
      <w:r>
        <w:rPr>
          <w:spacing w:val="2"/>
        </w:rPr>
        <w:t> </w:t>
      </w:r>
      <w:r>
        <w:rPr/>
        <w:t>McKerrow, J.</w:t>
      </w:r>
      <w:r>
        <w:rPr>
          <w:spacing w:val="1"/>
        </w:rPr>
        <w:t> </w:t>
      </w:r>
      <w:r>
        <w:rPr/>
        <w:t>H.,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Rosenthal,</w:t>
      </w:r>
      <w:r>
        <w:rPr>
          <w:spacing w:val="6"/>
        </w:rPr>
        <w:t> </w:t>
      </w:r>
      <w:r>
        <w:rPr/>
        <w:t>P.</w:t>
      </w:r>
    </w:p>
    <w:p>
      <w:pPr>
        <w:spacing w:line="240" w:lineRule="auto" w:before="0"/>
        <w:ind w:left="1033" w:right="704" w:firstLine="0"/>
        <w:jc w:val="both"/>
        <w:rPr>
          <w:sz w:val="24"/>
        </w:rPr>
      </w:pPr>
      <w:r>
        <w:rPr>
          <w:sz w:val="24"/>
        </w:rPr>
        <w:t>J. (2005). The </w:t>
      </w:r>
      <w:r>
        <w:rPr>
          <w:i/>
          <w:sz w:val="24"/>
        </w:rPr>
        <w:t>Plasmodium falciparum </w:t>
      </w:r>
      <w:r>
        <w:rPr>
          <w:sz w:val="24"/>
        </w:rPr>
        <w:t>cysteine protease falcipain-2 captures its</w:t>
      </w:r>
      <w:r>
        <w:rPr>
          <w:spacing w:val="1"/>
          <w:sz w:val="24"/>
        </w:rPr>
        <w:t> </w:t>
      </w:r>
      <w:r>
        <w:rPr>
          <w:sz w:val="24"/>
        </w:rPr>
        <w:t>substrate, hemoglobin, via a unique motif. </w:t>
      </w:r>
      <w:r>
        <w:rPr>
          <w:i/>
          <w:sz w:val="24"/>
        </w:rPr>
        <w:t>Proceedings of the National Academy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Sciences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the United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States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America</w:t>
      </w:r>
      <w:r>
        <w:rPr>
          <w:sz w:val="24"/>
        </w:rPr>
        <w:t>,</w:t>
      </w:r>
      <w:r>
        <w:rPr>
          <w:spacing w:val="5"/>
          <w:sz w:val="24"/>
        </w:rPr>
        <w:t> </w:t>
      </w:r>
      <w:r>
        <w:rPr>
          <w:i/>
          <w:sz w:val="24"/>
        </w:rPr>
        <w:t>102</w:t>
      </w:r>
      <w:r>
        <w:rPr>
          <w:sz w:val="24"/>
        </w:rPr>
        <w:t>(26),</w:t>
      </w:r>
      <w:r>
        <w:rPr>
          <w:spacing w:val="-6"/>
          <w:sz w:val="24"/>
        </w:rPr>
        <w:t> </w:t>
      </w:r>
      <w:r>
        <w:rPr>
          <w:sz w:val="24"/>
        </w:rPr>
        <w:t>9138-9143.</w:t>
      </w:r>
    </w:p>
    <w:p>
      <w:pPr>
        <w:pStyle w:val="BodyText"/>
        <w:spacing w:before="4"/>
      </w:pPr>
    </w:p>
    <w:p>
      <w:pPr>
        <w:pStyle w:val="BodyText"/>
        <w:ind w:left="1033" w:right="702" w:hanging="721"/>
        <w:jc w:val="both"/>
      </w:pPr>
      <w:r>
        <w:rPr/>
        <w:t>Pettersen, E. F., Goddard, T. D., Huang, C. C., Couch, G. S., Greenblatt, D. M., Meng, E.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Ferrin,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E.</w:t>
      </w:r>
      <w:r>
        <w:rPr>
          <w:spacing w:val="1"/>
        </w:rPr>
        <w:t> </w:t>
      </w:r>
      <w:r>
        <w:rPr/>
        <w:t>(2004).</w:t>
      </w:r>
      <w:r>
        <w:rPr>
          <w:spacing w:val="1"/>
        </w:rPr>
        <w:t> </w:t>
      </w:r>
      <w:r>
        <w:rPr/>
        <w:t>UCSF</w:t>
      </w:r>
      <w:r>
        <w:rPr>
          <w:spacing w:val="1"/>
        </w:rPr>
        <w:t> </w:t>
      </w:r>
      <w:r>
        <w:rPr/>
        <w:t>Chimera—a</w:t>
      </w:r>
      <w:r>
        <w:rPr>
          <w:spacing w:val="1"/>
        </w:rPr>
        <w:t> </w:t>
      </w:r>
      <w:r>
        <w:rPr/>
        <w:t>visualization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exploratory research and analysis. </w:t>
      </w:r>
      <w:r>
        <w:rPr>
          <w:i/>
        </w:rPr>
        <w:t>Journal of Computational Chemistry</w:t>
      </w:r>
      <w:r>
        <w:rPr/>
        <w:t>, </w:t>
      </w:r>
      <w:r>
        <w:rPr>
          <w:i/>
        </w:rPr>
        <w:t>25</w:t>
      </w:r>
      <w:r>
        <w:rPr/>
        <w:t>(13),</w:t>
      </w:r>
      <w:r>
        <w:rPr>
          <w:spacing w:val="1"/>
        </w:rPr>
        <w:t> </w:t>
      </w:r>
      <w:r>
        <w:rPr/>
        <w:t>1605-1612.</w:t>
      </w:r>
    </w:p>
    <w:p>
      <w:pPr>
        <w:spacing w:after="0"/>
        <w:jc w:val="both"/>
        <w:sectPr>
          <w:headerReference w:type="default" r:id="rId454"/>
          <w:footerReference w:type="default" r:id="rId455"/>
          <w:pgSz w:w="11910" w:h="16840"/>
          <w:pgMar w:header="0" w:footer="2491" w:top="1200" w:bottom="2680" w:left="1560" w:right="600"/>
        </w:sectPr>
      </w:pPr>
    </w:p>
    <w:p>
      <w:pPr>
        <w:pStyle w:val="BodyText"/>
        <w:spacing w:before="63"/>
        <w:ind w:left="1033" w:right="696" w:hanging="721"/>
        <w:jc w:val="both"/>
      </w:pPr>
      <w:r>
        <w:rPr/>
        <w:t>Phyo, A. P., Nkhoma, S., Stepniewska, K., Ashley, E. A., Nair, S., McGready, R., ... and</w:t>
      </w:r>
      <w:r>
        <w:rPr>
          <w:spacing w:val="1"/>
        </w:rPr>
        <w:t> </w:t>
      </w:r>
      <w:r>
        <w:rPr/>
        <w:t>Singhasivanon,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Emergence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artemisinin-resistant</w:t>
      </w:r>
      <w:r>
        <w:rPr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western border of Thailand: a longitudinal study. </w:t>
      </w:r>
      <w:r>
        <w:rPr>
          <w:i/>
        </w:rPr>
        <w:t>The Lancet</w:t>
      </w:r>
      <w:r>
        <w:rPr/>
        <w:t>, </w:t>
      </w:r>
      <w:r>
        <w:rPr>
          <w:i/>
        </w:rPr>
        <w:t>379</w:t>
      </w:r>
      <w:r>
        <w:rPr/>
        <w:t>(9830), 1960-</w:t>
      </w:r>
      <w:r>
        <w:rPr>
          <w:spacing w:val="1"/>
        </w:rPr>
        <w:t> </w:t>
      </w:r>
      <w:r>
        <w:rPr/>
        <w:t>1966.</w:t>
      </w:r>
    </w:p>
    <w:p>
      <w:pPr>
        <w:pStyle w:val="BodyText"/>
        <w:spacing w:before="1"/>
        <w:rPr>
          <w:sz w:val="25"/>
        </w:rPr>
      </w:pPr>
    </w:p>
    <w:p>
      <w:pPr>
        <w:spacing w:line="240" w:lineRule="auto" w:before="0"/>
        <w:ind w:left="1033" w:right="700" w:hanging="721"/>
        <w:jc w:val="both"/>
        <w:rPr>
          <w:sz w:val="24"/>
        </w:rPr>
      </w:pPr>
      <w:r>
        <w:rPr>
          <w:sz w:val="24"/>
        </w:rPr>
        <w:t>Pirhadi, S., Shiri, F., and Ghasemi, J. B. (2013). Methods and applications of structure-</w:t>
      </w:r>
      <w:r>
        <w:rPr>
          <w:spacing w:val="1"/>
          <w:sz w:val="24"/>
        </w:rPr>
        <w:t> </w:t>
      </w:r>
      <w:r>
        <w:rPr>
          <w:sz w:val="24"/>
        </w:rPr>
        <w:t>based pharmacophores in drug discovery. </w:t>
      </w:r>
      <w:r>
        <w:rPr>
          <w:i/>
          <w:sz w:val="24"/>
        </w:rPr>
        <w:t>Current Topic in Medicinal Chemistry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13</w:t>
      </w:r>
      <w:r>
        <w:rPr>
          <w:sz w:val="24"/>
        </w:rPr>
        <w:t>(9),1036-1047.</w:t>
      </w:r>
    </w:p>
    <w:p>
      <w:pPr>
        <w:pStyle w:val="BodyText"/>
        <w:spacing w:before="10"/>
        <w:rPr>
          <w:sz w:val="29"/>
        </w:rPr>
      </w:pPr>
    </w:p>
    <w:p>
      <w:pPr>
        <w:spacing w:line="240" w:lineRule="auto" w:before="1"/>
        <w:ind w:left="1033" w:right="699" w:hanging="721"/>
        <w:jc w:val="both"/>
        <w:rPr>
          <w:sz w:val="24"/>
        </w:rPr>
      </w:pPr>
      <w:r>
        <w:rPr>
          <w:sz w:val="24"/>
        </w:rPr>
        <w:t>Recacha, R., Leitans, J., Akopjana, I., Aprupe, L., Trapencieris, P., Jaudzems, K., ... and</w:t>
      </w:r>
      <w:r>
        <w:rPr>
          <w:spacing w:val="1"/>
          <w:sz w:val="24"/>
        </w:rPr>
        <w:t> </w:t>
      </w:r>
      <w:r>
        <w:rPr>
          <w:sz w:val="24"/>
        </w:rPr>
        <w:t>Tars,</w:t>
      </w:r>
      <w:r>
        <w:rPr>
          <w:spacing w:val="1"/>
          <w:sz w:val="24"/>
        </w:rPr>
        <w:t> </w:t>
      </w:r>
      <w:r>
        <w:rPr>
          <w:sz w:val="24"/>
        </w:rPr>
        <w:t>K.</w:t>
      </w:r>
      <w:r>
        <w:rPr>
          <w:spacing w:val="1"/>
          <w:sz w:val="24"/>
        </w:rPr>
        <w:t> </w:t>
      </w:r>
      <w:r>
        <w:rPr>
          <w:sz w:val="24"/>
        </w:rPr>
        <w:t>(2015).</w:t>
      </w:r>
      <w:r>
        <w:rPr>
          <w:spacing w:val="1"/>
          <w:sz w:val="24"/>
        </w:rPr>
        <w:t> </w:t>
      </w:r>
      <w:r>
        <w:rPr>
          <w:sz w:val="24"/>
        </w:rPr>
        <w:t>Structures</w:t>
      </w:r>
      <w:r>
        <w:rPr>
          <w:spacing w:val="1"/>
          <w:sz w:val="24"/>
        </w:rPr>
        <w:t> </w:t>
      </w:r>
      <w:r>
        <w:rPr>
          <w:sz w:val="24"/>
        </w:rPr>
        <w:t>of plasmepsin</w:t>
      </w:r>
      <w:r>
        <w:rPr>
          <w:spacing w:val="1"/>
          <w:sz w:val="24"/>
        </w:rPr>
        <w:t> </w:t>
      </w:r>
      <w:r>
        <w:rPr>
          <w:sz w:val="24"/>
        </w:rPr>
        <w:t>II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falciparum</w:t>
      </w:r>
      <w:r>
        <w:rPr>
          <w:i/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complex with two</w:t>
      </w:r>
      <w:r>
        <w:rPr>
          <w:spacing w:val="1"/>
          <w:sz w:val="24"/>
        </w:rPr>
        <w:t> </w:t>
      </w:r>
      <w:r>
        <w:rPr>
          <w:sz w:val="24"/>
        </w:rPr>
        <w:t>hydroxyethylamine-based</w:t>
      </w:r>
      <w:r>
        <w:rPr>
          <w:spacing w:val="1"/>
          <w:sz w:val="24"/>
        </w:rPr>
        <w:t> </w:t>
      </w:r>
      <w:r>
        <w:rPr>
          <w:sz w:val="24"/>
        </w:rPr>
        <w:t>inhibitors.</w:t>
      </w:r>
      <w:r>
        <w:rPr>
          <w:spacing w:val="1"/>
          <w:sz w:val="24"/>
        </w:rPr>
        <w:t> </w:t>
      </w:r>
      <w:r>
        <w:rPr>
          <w:i/>
          <w:sz w:val="24"/>
        </w:rPr>
        <w:t>Acta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Crystallographica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Section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F: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Structural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Biology Communications</w:t>
      </w:r>
      <w:r>
        <w:rPr>
          <w:sz w:val="24"/>
        </w:rPr>
        <w:t>, </w:t>
      </w:r>
      <w:r>
        <w:rPr>
          <w:i/>
          <w:sz w:val="24"/>
        </w:rPr>
        <w:t>71</w:t>
      </w:r>
      <w:r>
        <w:rPr>
          <w:sz w:val="24"/>
        </w:rPr>
        <w:t>(12),</w:t>
      </w:r>
      <w:r>
        <w:rPr>
          <w:spacing w:val="-2"/>
          <w:sz w:val="24"/>
        </w:rPr>
        <w:t> </w:t>
      </w:r>
      <w:r>
        <w:rPr>
          <w:sz w:val="24"/>
        </w:rPr>
        <w:t>1531-1539.</w:t>
      </w:r>
    </w:p>
    <w:p>
      <w:pPr>
        <w:pStyle w:val="BodyText"/>
        <w:rPr>
          <w:sz w:val="25"/>
        </w:rPr>
      </w:pPr>
    </w:p>
    <w:p>
      <w:pPr>
        <w:spacing w:line="240" w:lineRule="auto" w:before="0"/>
        <w:ind w:left="1033" w:right="703" w:hanging="721"/>
        <w:jc w:val="both"/>
        <w:rPr>
          <w:sz w:val="24"/>
        </w:rPr>
      </w:pPr>
      <w:r>
        <w:rPr>
          <w:sz w:val="24"/>
        </w:rPr>
        <w:t>Reguera, R. M., Tekwani, B. L., and Balaña-Fouce, R. (2005). Polyamine transport in</w:t>
      </w:r>
      <w:r>
        <w:rPr>
          <w:spacing w:val="1"/>
          <w:sz w:val="24"/>
        </w:rPr>
        <w:t> </w:t>
      </w:r>
      <w:r>
        <w:rPr>
          <w:sz w:val="24"/>
        </w:rPr>
        <w:t>parasites: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potential</w:t>
      </w:r>
      <w:r>
        <w:rPr>
          <w:spacing w:val="1"/>
          <w:sz w:val="24"/>
        </w:rPr>
        <w:t> </w:t>
      </w:r>
      <w:r>
        <w:rPr>
          <w:sz w:val="24"/>
        </w:rPr>
        <w:t>target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antiparasitic</w:t>
      </w:r>
      <w:r>
        <w:rPr>
          <w:spacing w:val="1"/>
          <w:sz w:val="24"/>
        </w:rPr>
        <w:t> </w:t>
      </w:r>
      <w:r>
        <w:rPr>
          <w:sz w:val="24"/>
        </w:rPr>
        <w:t>drug</w:t>
      </w:r>
      <w:r>
        <w:rPr>
          <w:spacing w:val="1"/>
          <w:sz w:val="24"/>
        </w:rPr>
        <w:t> </w:t>
      </w:r>
      <w:r>
        <w:rPr>
          <w:sz w:val="24"/>
        </w:rPr>
        <w:t>development.</w:t>
      </w:r>
      <w:r>
        <w:rPr>
          <w:spacing w:val="1"/>
          <w:sz w:val="24"/>
        </w:rPr>
        <w:t> </w:t>
      </w:r>
      <w:r>
        <w:rPr>
          <w:i/>
          <w:sz w:val="24"/>
        </w:rPr>
        <w:t>ComparativeBiochemistryand Physiology Part C: Toxicology and Pharmacology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140</w:t>
      </w:r>
      <w:r>
        <w:rPr>
          <w:sz w:val="24"/>
        </w:rPr>
        <w:t>(2),151-164.</w:t>
      </w:r>
    </w:p>
    <w:p>
      <w:pPr>
        <w:pStyle w:val="BodyText"/>
        <w:spacing w:before="8"/>
      </w:pPr>
    </w:p>
    <w:p>
      <w:pPr>
        <w:pStyle w:val="BodyText"/>
        <w:ind w:left="1033" w:right="700" w:hanging="721"/>
        <w:jc w:val="both"/>
      </w:pPr>
      <w:r>
        <w:rPr/>
        <w:t>Ring, C. S., Sun, E., McKerrow, J. H., Lee, G. K., Rosenthal, P. J., Kuntz, I. D., and</w:t>
      </w:r>
      <w:r>
        <w:rPr>
          <w:spacing w:val="1"/>
        </w:rPr>
        <w:t> </w:t>
      </w:r>
      <w:r>
        <w:rPr/>
        <w:t>Cohen, F. E. (1993). Structure-based inhibitor design by using protein models for</w:t>
      </w:r>
      <w:r>
        <w:rPr>
          <w:spacing w:val="1"/>
        </w:rPr>
        <w:t> </w:t>
      </w:r>
      <w:r>
        <w:rPr/>
        <w:t>the development of antiparasitic agents. </w:t>
      </w:r>
      <w:r>
        <w:rPr>
          <w:i/>
        </w:rPr>
        <w:t>Proceedings of the National Academy of</w:t>
      </w:r>
      <w:r>
        <w:rPr>
          <w:i/>
          <w:spacing w:val="1"/>
        </w:rPr>
        <w:t> </w:t>
      </w:r>
      <w:r>
        <w:rPr>
          <w:i/>
        </w:rPr>
        <w:t>Sciences</w:t>
      </w:r>
      <w:r>
        <w:rPr/>
        <w:t>,</w:t>
      </w:r>
      <w:r>
        <w:rPr>
          <w:spacing w:val="3"/>
        </w:rPr>
        <w:t> </w:t>
      </w:r>
      <w:r>
        <w:rPr>
          <w:i/>
        </w:rPr>
        <w:t>90</w:t>
      </w:r>
      <w:r>
        <w:rPr/>
        <w:t>(8),</w:t>
      </w:r>
      <w:r>
        <w:rPr>
          <w:spacing w:val="-1"/>
        </w:rPr>
        <w:t> </w:t>
      </w:r>
      <w:r>
        <w:rPr/>
        <w:t>3583-3587.</w:t>
      </w:r>
    </w:p>
    <w:p>
      <w:pPr>
        <w:pStyle w:val="BodyText"/>
        <w:spacing w:before="1"/>
        <w:rPr>
          <w:sz w:val="25"/>
        </w:rPr>
      </w:pPr>
    </w:p>
    <w:p>
      <w:pPr>
        <w:spacing w:line="242" w:lineRule="auto" w:before="0"/>
        <w:ind w:left="1033" w:right="704" w:hanging="721"/>
        <w:jc w:val="both"/>
        <w:rPr>
          <w:sz w:val="24"/>
        </w:rPr>
      </w:pPr>
      <w:r>
        <w:rPr>
          <w:sz w:val="24"/>
        </w:rPr>
        <w:t>Rodrigues, J. R., and de Domínguez, N. G. (2007). </w:t>
      </w:r>
      <w:r>
        <w:rPr>
          <w:i/>
          <w:sz w:val="24"/>
        </w:rPr>
        <w:t>Plasmodium berghei</w:t>
      </w:r>
      <w:r>
        <w:rPr>
          <w:sz w:val="24"/>
        </w:rPr>
        <w:t>: </w:t>
      </w:r>
      <w:r>
        <w:rPr>
          <w:i/>
          <w:sz w:val="24"/>
        </w:rPr>
        <w:t>in vitro </w:t>
      </w:r>
      <w:r>
        <w:rPr>
          <w:sz w:val="24"/>
        </w:rPr>
        <w:t>and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vivo</w:t>
      </w:r>
      <w:r>
        <w:rPr>
          <w:i/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dequalinium.</w:t>
      </w:r>
      <w:r>
        <w:rPr>
          <w:spacing w:val="8"/>
          <w:sz w:val="24"/>
        </w:rPr>
        <w:t> </w:t>
      </w:r>
      <w:r>
        <w:rPr>
          <w:i/>
          <w:sz w:val="24"/>
        </w:rPr>
        <w:t>Experimental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Parasitology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115</w:t>
      </w:r>
      <w:r>
        <w:rPr>
          <w:sz w:val="24"/>
        </w:rPr>
        <w:t>(1),</w:t>
      </w:r>
      <w:r>
        <w:rPr>
          <w:spacing w:val="-2"/>
          <w:sz w:val="24"/>
        </w:rPr>
        <w:t> </w:t>
      </w:r>
      <w:r>
        <w:rPr>
          <w:sz w:val="24"/>
        </w:rPr>
        <w:t>19-24.</w:t>
      </w:r>
    </w:p>
    <w:p>
      <w:pPr>
        <w:pStyle w:val="BodyText"/>
        <w:spacing w:before="2"/>
      </w:pPr>
    </w:p>
    <w:p>
      <w:pPr>
        <w:spacing w:line="240" w:lineRule="auto" w:before="0"/>
        <w:ind w:left="1033" w:right="705" w:hanging="721"/>
        <w:jc w:val="both"/>
        <w:rPr>
          <w:sz w:val="24"/>
        </w:rPr>
      </w:pPr>
      <w:r>
        <w:rPr>
          <w:sz w:val="24"/>
        </w:rPr>
        <w:t>Roe,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R.,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Cheatham</w:t>
      </w:r>
      <w:r>
        <w:rPr>
          <w:spacing w:val="1"/>
          <w:sz w:val="24"/>
        </w:rPr>
        <w:t> </w:t>
      </w:r>
      <w:r>
        <w:rPr>
          <w:sz w:val="24"/>
        </w:rPr>
        <w:t>III,</w:t>
      </w:r>
      <w:r>
        <w:rPr>
          <w:spacing w:val="1"/>
          <w:sz w:val="24"/>
        </w:rPr>
        <w:t> </w:t>
      </w:r>
      <w:r>
        <w:rPr>
          <w:sz w:val="24"/>
        </w:rPr>
        <w:t>T.</w:t>
      </w:r>
      <w:r>
        <w:rPr>
          <w:spacing w:val="1"/>
          <w:sz w:val="24"/>
        </w:rPr>
        <w:t> </w:t>
      </w:r>
      <w:r>
        <w:rPr>
          <w:sz w:val="24"/>
        </w:rPr>
        <w:t>E.</w:t>
      </w:r>
      <w:r>
        <w:rPr>
          <w:spacing w:val="1"/>
          <w:sz w:val="24"/>
        </w:rPr>
        <w:t> </w:t>
      </w:r>
      <w:r>
        <w:rPr>
          <w:sz w:val="24"/>
        </w:rPr>
        <w:t>(2013).</w:t>
      </w:r>
      <w:r>
        <w:rPr>
          <w:spacing w:val="1"/>
          <w:sz w:val="24"/>
        </w:rPr>
        <w:t> </w:t>
      </w:r>
      <w:r>
        <w:rPr>
          <w:sz w:val="24"/>
        </w:rPr>
        <w:t>PTRAJ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CPPTRAJ:</w:t>
      </w:r>
      <w:r>
        <w:rPr>
          <w:spacing w:val="1"/>
          <w:sz w:val="24"/>
        </w:rPr>
        <w:t> </w:t>
      </w:r>
      <w:r>
        <w:rPr>
          <w:sz w:val="24"/>
        </w:rPr>
        <w:t>software</w:t>
      </w:r>
      <w:r>
        <w:rPr>
          <w:spacing w:val="60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processing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molecular</w:t>
      </w:r>
      <w:r>
        <w:rPr>
          <w:spacing w:val="1"/>
          <w:sz w:val="24"/>
        </w:rPr>
        <w:t> </w:t>
      </w:r>
      <w:r>
        <w:rPr>
          <w:sz w:val="24"/>
        </w:rPr>
        <w:t>dynamics</w:t>
      </w:r>
      <w:r>
        <w:rPr>
          <w:spacing w:val="1"/>
          <w:sz w:val="24"/>
        </w:rPr>
        <w:t> </w:t>
      </w:r>
      <w:r>
        <w:rPr>
          <w:sz w:val="24"/>
        </w:rPr>
        <w:t>trajectory</w:t>
      </w:r>
      <w:r>
        <w:rPr>
          <w:spacing w:val="1"/>
          <w:sz w:val="24"/>
        </w:rPr>
        <w:t> </w:t>
      </w:r>
      <w:r>
        <w:rPr>
          <w:sz w:val="24"/>
        </w:rPr>
        <w:t>data.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Theory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Computation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9</w:t>
      </w:r>
      <w:r>
        <w:rPr>
          <w:sz w:val="24"/>
        </w:rPr>
        <w:t>(7),3084-3095.</w:t>
      </w:r>
    </w:p>
    <w:p>
      <w:pPr>
        <w:pStyle w:val="BodyText"/>
        <w:rPr>
          <w:sz w:val="26"/>
        </w:rPr>
      </w:pPr>
    </w:p>
    <w:p>
      <w:pPr>
        <w:pStyle w:val="BodyText"/>
        <w:spacing w:line="275" w:lineRule="exact" w:before="179"/>
        <w:ind w:left="312"/>
      </w:pPr>
      <w:r>
        <w:rPr/>
        <w:t>Rose, P. W., Prlić,</w:t>
      </w:r>
      <w:r>
        <w:rPr>
          <w:spacing w:val="5"/>
        </w:rPr>
        <w:t> </w:t>
      </w:r>
      <w:r>
        <w:rPr/>
        <w:t>A.,</w:t>
      </w:r>
      <w:r>
        <w:rPr>
          <w:spacing w:val="5"/>
        </w:rPr>
        <w:t> </w:t>
      </w:r>
      <w:r>
        <w:rPr/>
        <w:t>Altunkaya,</w:t>
      </w:r>
      <w:r>
        <w:rPr>
          <w:spacing w:val="5"/>
        </w:rPr>
        <w:t> </w:t>
      </w:r>
      <w:r>
        <w:rPr/>
        <w:t>A.,</w:t>
      </w:r>
      <w:r>
        <w:rPr>
          <w:spacing w:val="1"/>
        </w:rPr>
        <w:t> </w:t>
      </w:r>
      <w:r>
        <w:rPr/>
        <w:t>Bi, C., Bradley,</w:t>
      </w:r>
      <w:r>
        <w:rPr>
          <w:spacing w:val="5"/>
        </w:rPr>
        <w:t> </w:t>
      </w:r>
      <w:r>
        <w:rPr/>
        <w:t>A.</w:t>
      </w:r>
      <w:r>
        <w:rPr>
          <w:spacing w:val="1"/>
        </w:rPr>
        <w:t> </w:t>
      </w:r>
      <w:r>
        <w:rPr/>
        <w:t>R.,</w:t>
      </w:r>
      <w:r>
        <w:rPr>
          <w:spacing w:val="11"/>
        </w:rPr>
        <w:t> </w:t>
      </w:r>
      <w:r>
        <w:rPr/>
        <w:t>Christie,</w:t>
      </w:r>
      <w:r>
        <w:rPr>
          <w:spacing w:val="1"/>
        </w:rPr>
        <w:t> </w:t>
      </w:r>
      <w:r>
        <w:rPr/>
        <w:t>C. H., ...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Green,</w:t>
      </w:r>
    </w:p>
    <w:p>
      <w:pPr>
        <w:pStyle w:val="BodyText"/>
        <w:spacing w:line="242" w:lineRule="auto"/>
        <w:ind w:left="1033"/>
      </w:pPr>
      <w:r>
        <w:rPr/>
        <w:t>K.</w:t>
      </w:r>
      <w:r>
        <w:rPr>
          <w:spacing w:val="13"/>
        </w:rPr>
        <w:t> </w:t>
      </w:r>
      <w:r>
        <w:rPr/>
        <w:t>(2016).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RCSB</w:t>
      </w:r>
      <w:r>
        <w:rPr>
          <w:spacing w:val="9"/>
        </w:rPr>
        <w:t> </w:t>
      </w:r>
      <w:r>
        <w:rPr/>
        <w:t>protein</w:t>
      </w:r>
      <w:r>
        <w:rPr>
          <w:spacing w:val="5"/>
        </w:rPr>
        <w:t> </w:t>
      </w:r>
      <w:r>
        <w:rPr/>
        <w:t>data</w:t>
      </w:r>
      <w:r>
        <w:rPr>
          <w:spacing w:val="10"/>
        </w:rPr>
        <w:t> </w:t>
      </w:r>
      <w:r>
        <w:rPr/>
        <w:t>bank:</w:t>
      </w:r>
      <w:r>
        <w:rPr>
          <w:spacing w:val="16"/>
        </w:rPr>
        <w:t> </w:t>
      </w:r>
      <w:r>
        <w:rPr/>
        <w:t>integrative</w:t>
      </w:r>
      <w:r>
        <w:rPr>
          <w:spacing w:val="14"/>
        </w:rPr>
        <w:t> </w:t>
      </w:r>
      <w:r>
        <w:rPr/>
        <w:t>view</w:t>
      </w:r>
      <w:r>
        <w:rPr>
          <w:spacing w:val="10"/>
        </w:rPr>
        <w:t> </w:t>
      </w:r>
      <w:r>
        <w:rPr/>
        <w:t>of</w:t>
      </w:r>
      <w:r>
        <w:rPr>
          <w:spacing w:val="2"/>
        </w:rPr>
        <w:t> </w:t>
      </w:r>
      <w:r>
        <w:rPr/>
        <w:t>protein,</w:t>
      </w:r>
      <w:r>
        <w:rPr>
          <w:spacing w:val="12"/>
        </w:rPr>
        <w:t> </w:t>
      </w:r>
      <w:r>
        <w:rPr/>
        <w:t>gene</w:t>
      </w:r>
      <w:r>
        <w:rPr>
          <w:spacing w:val="14"/>
        </w:rPr>
        <w:t> </w:t>
      </w:r>
      <w:r>
        <w:rPr/>
        <w:t>and</w:t>
      </w:r>
      <w:r>
        <w:rPr>
          <w:spacing w:val="11"/>
        </w:rPr>
        <w:t> </w:t>
      </w:r>
      <w:r>
        <w:rPr/>
        <w:t>3D</w:t>
      </w:r>
      <w:r>
        <w:rPr>
          <w:spacing w:val="-57"/>
        </w:rPr>
        <w:t> </w:t>
      </w:r>
      <w:r>
        <w:rPr/>
        <w:t>structural</w:t>
      </w:r>
      <w:r>
        <w:rPr>
          <w:spacing w:val="-4"/>
        </w:rPr>
        <w:t> </w:t>
      </w:r>
      <w:r>
        <w:rPr/>
        <w:t>information.</w:t>
      </w:r>
      <w:r>
        <w:rPr>
          <w:spacing w:val="7"/>
        </w:rPr>
        <w:t> </w:t>
      </w:r>
      <w:r>
        <w:rPr>
          <w:i/>
        </w:rPr>
        <w:t>Nucleic</w:t>
      </w:r>
      <w:r>
        <w:rPr>
          <w:i/>
          <w:spacing w:val="1"/>
        </w:rPr>
        <w:t> </w:t>
      </w:r>
      <w:r>
        <w:rPr>
          <w:i/>
        </w:rPr>
        <w:t>Acids</w:t>
      </w:r>
      <w:r>
        <w:rPr>
          <w:i/>
          <w:spacing w:val="-1"/>
        </w:rPr>
        <w:t> </w:t>
      </w:r>
      <w:r>
        <w:rPr>
          <w:i/>
        </w:rPr>
        <w:t>Research</w:t>
      </w:r>
      <w:r>
        <w:rPr/>
        <w:t>,</w:t>
      </w:r>
      <w:r>
        <w:rPr>
          <w:spacing w:val="4"/>
        </w:rPr>
        <w:t> </w:t>
      </w:r>
      <w:r>
        <w:rPr/>
        <w:t>8(2),</w:t>
      </w:r>
      <w:r>
        <w:rPr>
          <w:spacing w:val="4"/>
        </w:rPr>
        <w:t> </w:t>
      </w:r>
      <w:r>
        <w:rPr/>
        <w:t>1000.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before="1"/>
        <w:ind w:left="312"/>
      </w:pPr>
      <w:r>
        <w:rPr/>
        <w:t>Rosenthal,</w:t>
      </w:r>
      <w:r>
        <w:rPr>
          <w:spacing w:val="33"/>
        </w:rPr>
        <w:t> </w:t>
      </w:r>
      <w:r>
        <w:rPr/>
        <w:t>P.</w:t>
      </w:r>
      <w:r>
        <w:rPr>
          <w:spacing w:val="33"/>
        </w:rPr>
        <w:t> </w:t>
      </w:r>
      <w:r>
        <w:rPr/>
        <w:t>J.</w:t>
      </w:r>
      <w:r>
        <w:rPr>
          <w:spacing w:val="34"/>
        </w:rPr>
        <w:t> </w:t>
      </w:r>
      <w:r>
        <w:rPr/>
        <w:t>(1998).</w:t>
      </w:r>
      <w:r>
        <w:rPr>
          <w:spacing w:val="30"/>
        </w:rPr>
        <w:t> </w:t>
      </w:r>
      <w:r>
        <w:rPr/>
        <w:t>Proteases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/>
        <w:t>malaria</w:t>
      </w:r>
      <w:r>
        <w:rPr>
          <w:spacing w:val="30"/>
        </w:rPr>
        <w:t> </w:t>
      </w:r>
      <w:r>
        <w:rPr/>
        <w:t>parasites:</w:t>
      </w:r>
      <w:r>
        <w:rPr>
          <w:spacing w:val="66"/>
        </w:rPr>
        <w:t> </w:t>
      </w:r>
      <w:r>
        <w:rPr/>
        <w:t>New</w:t>
      </w:r>
      <w:r>
        <w:rPr>
          <w:spacing w:val="32"/>
        </w:rPr>
        <w:t> </w:t>
      </w:r>
      <w:r>
        <w:rPr/>
        <w:t>targets</w:t>
      </w:r>
      <w:r>
        <w:rPr>
          <w:spacing w:val="30"/>
        </w:rPr>
        <w:t> </w:t>
      </w:r>
      <w:r>
        <w:rPr/>
        <w:t>for</w:t>
      </w:r>
      <w:r>
        <w:rPr>
          <w:spacing w:val="33"/>
        </w:rPr>
        <w:t> </w:t>
      </w:r>
      <w:r>
        <w:rPr/>
        <w:t>chemotherapy.</w:t>
      </w:r>
    </w:p>
    <w:p>
      <w:pPr>
        <w:spacing w:before="2"/>
        <w:ind w:left="1033" w:right="0" w:firstLine="0"/>
        <w:jc w:val="left"/>
        <w:rPr>
          <w:sz w:val="24"/>
        </w:rPr>
      </w:pPr>
      <w:r>
        <w:rPr>
          <w:i/>
          <w:sz w:val="24"/>
        </w:rPr>
        <w:t>Emerging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Infectious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Diseases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4</w:t>
      </w:r>
      <w:r>
        <w:rPr>
          <w:sz w:val="24"/>
        </w:rPr>
        <w:t>(1),49.</w:t>
      </w:r>
    </w:p>
    <w:p>
      <w:pPr>
        <w:pStyle w:val="BodyText"/>
        <w:spacing w:before="10"/>
      </w:pPr>
    </w:p>
    <w:p>
      <w:pPr>
        <w:spacing w:line="242" w:lineRule="auto" w:before="0"/>
        <w:ind w:left="1033" w:right="708" w:hanging="721"/>
        <w:jc w:val="both"/>
        <w:rPr>
          <w:sz w:val="24"/>
        </w:rPr>
      </w:pPr>
      <w:r>
        <w:rPr>
          <w:sz w:val="24"/>
        </w:rPr>
        <w:t>Rosenthal,</w:t>
      </w:r>
      <w:r>
        <w:rPr>
          <w:spacing w:val="1"/>
          <w:sz w:val="24"/>
        </w:rPr>
        <w:t> </w:t>
      </w:r>
      <w:r>
        <w:rPr>
          <w:sz w:val="24"/>
        </w:rPr>
        <w:t>P.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(2002).</w:t>
      </w:r>
      <w:r>
        <w:rPr>
          <w:spacing w:val="1"/>
          <w:sz w:val="24"/>
        </w:rPr>
        <w:t> </w:t>
      </w:r>
      <w:r>
        <w:rPr>
          <w:sz w:val="24"/>
        </w:rPr>
        <w:t>Hydrolysis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erythrocyte</w:t>
      </w:r>
      <w:r>
        <w:rPr>
          <w:spacing w:val="1"/>
          <w:sz w:val="24"/>
        </w:rPr>
        <w:t> </w:t>
      </w:r>
      <w:r>
        <w:rPr>
          <w:sz w:val="24"/>
        </w:rPr>
        <w:t>proteins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proteases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malaria</w:t>
      </w:r>
      <w:r>
        <w:rPr>
          <w:spacing w:val="1"/>
          <w:sz w:val="24"/>
        </w:rPr>
        <w:t> </w:t>
      </w:r>
      <w:r>
        <w:rPr>
          <w:sz w:val="24"/>
        </w:rPr>
        <w:t>parasites.</w:t>
      </w:r>
      <w:r>
        <w:rPr>
          <w:spacing w:val="5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Opinion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Hematology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9</w:t>
      </w:r>
      <w:r>
        <w:rPr>
          <w:sz w:val="24"/>
        </w:rPr>
        <w:t>(2),</w:t>
      </w:r>
      <w:r>
        <w:rPr>
          <w:spacing w:val="-2"/>
          <w:sz w:val="24"/>
        </w:rPr>
        <w:t> </w:t>
      </w:r>
      <w:r>
        <w:rPr>
          <w:sz w:val="24"/>
        </w:rPr>
        <w:t>140-145.</w:t>
      </w:r>
    </w:p>
    <w:p>
      <w:pPr>
        <w:pStyle w:val="BodyText"/>
        <w:spacing w:before="2"/>
      </w:pPr>
    </w:p>
    <w:p>
      <w:pPr>
        <w:spacing w:line="242" w:lineRule="auto" w:before="0"/>
        <w:ind w:left="1033" w:right="704" w:hanging="721"/>
        <w:jc w:val="both"/>
        <w:rPr>
          <w:sz w:val="24"/>
        </w:rPr>
      </w:pPr>
      <w:r>
        <w:rPr>
          <w:sz w:val="24"/>
        </w:rPr>
        <w:t>Rosenthal, P. J. (2004). Cysteine proteases of malaria parasites. </w:t>
      </w:r>
      <w:r>
        <w:rPr>
          <w:i/>
          <w:sz w:val="24"/>
        </w:rPr>
        <w:t>International Journal 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Parasitology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34</w:t>
      </w:r>
      <w:r>
        <w:rPr>
          <w:sz w:val="24"/>
        </w:rPr>
        <w:t>(13-14),</w:t>
      </w:r>
      <w:r>
        <w:rPr>
          <w:spacing w:val="-1"/>
          <w:sz w:val="24"/>
        </w:rPr>
        <w:t> </w:t>
      </w:r>
      <w:r>
        <w:rPr>
          <w:sz w:val="24"/>
        </w:rPr>
        <w:t>1489-1499.</w:t>
      </w:r>
    </w:p>
    <w:p>
      <w:pPr>
        <w:spacing w:after="0" w:line="242" w:lineRule="auto"/>
        <w:jc w:val="both"/>
        <w:rPr>
          <w:sz w:val="24"/>
        </w:rPr>
        <w:sectPr>
          <w:headerReference w:type="default" r:id="rId456"/>
          <w:footerReference w:type="default" r:id="rId457"/>
          <w:pgSz w:w="11910" w:h="16840"/>
          <w:pgMar w:header="0" w:footer="2491" w:top="1480" w:bottom="2680" w:left="1560" w:right="600"/>
        </w:sectPr>
      </w:pPr>
    </w:p>
    <w:p>
      <w:pPr>
        <w:pStyle w:val="BodyText"/>
        <w:spacing w:line="275" w:lineRule="exact" w:before="74"/>
        <w:ind w:right="715"/>
        <w:jc w:val="right"/>
      </w:pPr>
      <w:r>
        <w:rPr/>
        <w:t>Rosenthal,</w:t>
      </w:r>
      <w:r>
        <w:rPr>
          <w:spacing w:val="62"/>
        </w:rPr>
        <w:t> </w:t>
      </w:r>
      <w:r>
        <w:rPr/>
        <w:t>P.</w:t>
      </w:r>
      <w:r>
        <w:rPr>
          <w:spacing w:val="58"/>
        </w:rPr>
        <w:t> </w:t>
      </w:r>
      <w:r>
        <w:rPr/>
        <w:t>J.</w:t>
      </w:r>
      <w:r>
        <w:rPr>
          <w:spacing w:val="59"/>
        </w:rPr>
        <w:t> </w:t>
      </w:r>
      <w:r>
        <w:rPr/>
        <w:t>(2011).</w:t>
      </w:r>
      <w:r>
        <w:rPr>
          <w:spacing w:val="62"/>
        </w:rPr>
        <w:t> </w:t>
      </w:r>
      <w:r>
        <w:rPr/>
        <w:t>Falcipains  and</w:t>
      </w:r>
      <w:r>
        <w:rPr>
          <w:spacing w:val="56"/>
        </w:rPr>
        <w:t> </w:t>
      </w:r>
      <w:r>
        <w:rPr/>
        <w:t>other</w:t>
      </w:r>
      <w:r>
        <w:rPr>
          <w:spacing w:val="58"/>
        </w:rPr>
        <w:t> </w:t>
      </w:r>
      <w:r>
        <w:rPr/>
        <w:t>cysteine</w:t>
      </w:r>
      <w:r>
        <w:rPr>
          <w:spacing w:val="55"/>
        </w:rPr>
        <w:t> </w:t>
      </w:r>
      <w:r>
        <w:rPr/>
        <w:t>proteases</w:t>
      </w:r>
      <w:r>
        <w:rPr>
          <w:spacing w:val="54"/>
        </w:rPr>
        <w:t> </w:t>
      </w:r>
      <w:r>
        <w:rPr/>
        <w:t>of</w:t>
      </w:r>
      <w:r>
        <w:rPr>
          <w:spacing w:val="53"/>
        </w:rPr>
        <w:t> </w:t>
      </w:r>
      <w:r>
        <w:rPr/>
        <w:t>malaria</w:t>
      </w:r>
      <w:r>
        <w:rPr>
          <w:spacing w:val="60"/>
        </w:rPr>
        <w:t> </w:t>
      </w:r>
      <w:r>
        <w:rPr/>
        <w:t>parasites.</w:t>
      </w:r>
    </w:p>
    <w:p>
      <w:pPr>
        <w:spacing w:line="275" w:lineRule="exact" w:before="0"/>
        <w:ind w:left="0" w:right="719" w:firstLine="0"/>
        <w:jc w:val="right"/>
        <w:rPr>
          <w:sz w:val="24"/>
        </w:rPr>
      </w:pPr>
      <w:r>
        <w:rPr>
          <w:i/>
          <w:sz w:val="24"/>
        </w:rPr>
        <w:t>InCysteine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Proteases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Pathogenic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Organisms</w:t>
      </w:r>
      <w:r>
        <w:rPr>
          <w:i/>
          <w:spacing w:val="-2"/>
          <w:sz w:val="24"/>
        </w:rPr>
        <w:t> </w:t>
      </w:r>
      <w:r>
        <w:rPr>
          <w:sz w:val="24"/>
        </w:rPr>
        <w:t>(pp.</w:t>
      </w:r>
      <w:r>
        <w:rPr>
          <w:spacing w:val="-1"/>
          <w:sz w:val="24"/>
        </w:rPr>
        <w:t> </w:t>
      </w:r>
      <w:r>
        <w:rPr>
          <w:sz w:val="24"/>
        </w:rPr>
        <w:t>30-48).</w:t>
      </w:r>
      <w:r>
        <w:rPr>
          <w:spacing w:val="-5"/>
          <w:sz w:val="24"/>
        </w:rPr>
        <w:t> </w:t>
      </w:r>
      <w:r>
        <w:rPr>
          <w:sz w:val="24"/>
        </w:rPr>
        <w:t>Springer,</w:t>
      </w:r>
      <w:r>
        <w:rPr>
          <w:spacing w:val="-1"/>
          <w:sz w:val="24"/>
        </w:rPr>
        <w:t> </w:t>
      </w:r>
      <w:r>
        <w:rPr>
          <w:sz w:val="24"/>
        </w:rPr>
        <w:t>Boston,</w:t>
      </w:r>
      <w:r>
        <w:rPr>
          <w:spacing w:val="-1"/>
          <w:sz w:val="24"/>
        </w:rPr>
        <w:t> </w:t>
      </w:r>
      <w:r>
        <w:rPr>
          <w:sz w:val="24"/>
        </w:rPr>
        <w:t>MA.</w:t>
      </w:r>
    </w:p>
    <w:p>
      <w:pPr>
        <w:pStyle w:val="BodyText"/>
        <w:spacing w:before="5"/>
      </w:pPr>
    </w:p>
    <w:p>
      <w:pPr>
        <w:pStyle w:val="BodyText"/>
        <w:ind w:left="1033" w:right="703" w:hanging="721"/>
        <w:jc w:val="both"/>
      </w:pPr>
      <w:r>
        <w:rPr/>
        <w:t>Rosenthal, P. J., Olson, J. E., Lee, G. K., Palmer, J. T., Klaus, J. L., and Rasnick, D.</w:t>
      </w:r>
      <w:r>
        <w:rPr>
          <w:spacing w:val="1"/>
        </w:rPr>
        <w:t> </w:t>
      </w:r>
      <w:r>
        <w:rPr/>
        <w:t>(1996).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vinyl</w:t>
      </w:r>
      <w:r>
        <w:rPr>
          <w:spacing w:val="1"/>
        </w:rPr>
        <w:t> </w:t>
      </w:r>
      <w:r>
        <w:rPr/>
        <w:t>sulfone</w:t>
      </w:r>
      <w:r>
        <w:rPr>
          <w:spacing w:val="1"/>
        </w:rPr>
        <w:t> </w:t>
      </w:r>
      <w:r>
        <w:rPr/>
        <w:t>cysteine</w:t>
      </w:r>
      <w:r>
        <w:rPr>
          <w:spacing w:val="1"/>
        </w:rPr>
        <w:t> </w:t>
      </w:r>
      <w:r>
        <w:rPr/>
        <w:t>proteinase</w:t>
      </w:r>
      <w:r>
        <w:rPr>
          <w:spacing w:val="1"/>
        </w:rPr>
        <w:t> </w:t>
      </w:r>
      <w:r>
        <w:rPr/>
        <w:t>inhibitors.</w:t>
      </w:r>
      <w:r>
        <w:rPr>
          <w:spacing w:val="1"/>
        </w:rPr>
        <w:t> </w:t>
      </w:r>
      <w:r>
        <w:rPr>
          <w:i/>
        </w:rPr>
        <w:t>Antimicrobial</w:t>
      </w:r>
      <w:r>
        <w:rPr>
          <w:i/>
          <w:spacing w:val="1"/>
        </w:rPr>
        <w:t> </w:t>
      </w:r>
      <w:r>
        <w:rPr>
          <w:i/>
        </w:rPr>
        <w:t>Agents and</w:t>
      </w:r>
      <w:r>
        <w:rPr>
          <w:i/>
          <w:spacing w:val="-3"/>
        </w:rPr>
        <w:t> </w:t>
      </w:r>
      <w:r>
        <w:rPr>
          <w:i/>
        </w:rPr>
        <w:t>Chemotherapy</w:t>
      </w:r>
      <w:r>
        <w:rPr/>
        <w:t>,</w:t>
      </w:r>
      <w:r>
        <w:rPr>
          <w:spacing w:val="3"/>
        </w:rPr>
        <w:t> </w:t>
      </w:r>
      <w:r>
        <w:rPr>
          <w:i/>
        </w:rPr>
        <w:t>40</w:t>
      </w:r>
      <w:r>
        <w:rPr/>
        <w:t>(7),1600-1603.</w:t>
      </w:r>
    </w:p>
    <w:p>
      <w:pPr>
        <w:pStyle w:val="BodyText"/>
        <w:spacing w:before="10"/>
      </w:pPr>
    </w:p>
    <w:p>
      <w:pPr>
        <w:pStyle w:val="BodyText"/>
        <w:spacing w:line="275" w:lineRule="exact" w:before="1"/>
        <w:ind w:left="312"/>
        <w:jc w:val="both"/>
      </w:pPr>
      <w:r>
        <w:rPr/>
        <w:t>Ryley,</w:t>
      </w:r>
      <w:r>
        <w:rPr>
          <w:spacing w:val="26"/>
        </w:rPr>
        <w:t> </w:t>
      </w:r>
      <w:r>
        <w:rPr/>
        <w:t>J.</w:t>
      </w:r>
      <w:r>
        <w:rPr>
          <w:spacing w:val="26"/>
        </w:rPr>
        <w:t> </w:t>
      </w:r>
      <w:r>
        <w:rPr/>
        <w:t>F.,</w:t>
      </w:r>
      <w:r>
        <w:rPr>
          <w:spacing w:val="26"/>
        </w:rPr>
        <w:t> </w:t>
      </w:r>
      <w:r>
        <w:rPr/>
        <w:t>and</w:t>
      </w:r>
      <w:r>
        <w:rPr>
          <w:spacing w:val="24"/>
        </w:rPr>
        <w:t> </w:t>
      </w:r>
      <w:r>
        <w:rPr/>
        <w:t>Peters,</w:t>
      </w:r>
      <w:r>
        <w:rPr>
          <w:spacing w:val="26"/>
        </w:rPr>
        <w:t> </w:t>
      </w:r>
      <w:r>
        <w:rPr/>
        <w:t>W.</w:t>
      </w:r>
      <w:r>
        <w:rPr>
          <w:spacing w:val="51"/>
        </w:rPr>
        <w:t> </w:t>
      </w:r>
      <w:r>
        <w:rPr/>
        <w:t>(1970).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antimalarial</w:t>
      </w:r>
      <w:r>
        <w:rPr>
          <w:spacing w:val="19"/>
        </w:rPr>
        <w:t> </w:t>
      </w:r>
      <w:r>
        <w:rPr/>
        <w:t>activity</w:t>
      </w:r>
      <w:r>
        <w:rPr>
          <w:spacing w:val="14"/>
        </w:rPr>
        <w:t> </w:t>
      </w:r>
      <w:r>
        <w:rPr/>
        <w:t>of</w:t>
      </w:r>
      <w:r>
        <w:rPr>
          <w:spacing w:val="16"/>
        </w:rPr>
        <w:t> </w:t>
      </w:r>
      <w:r>
        <w:rPr/>
        <w:t>some</w:t>
      </w:r>
      <w:r>
        <w:rPr>
          <w:spacing w:val="23"/>
        </w:rPr>
        <w:t> </w:t>
      </w:r>
      <w:r>
        <w:rPr/>
        <w:t>quinolone</w:t>
      </w:r>
      <w:r>
        <w:rPr>
          <w:spacing w:val="35"/>
        </w:rPr>
        <w:t> </w:t>
      </w:r>
      <w:r>
        <w:rPr/>
        <w:t>esters.</w:t>
      </w:r>
    </w:p>
    <w:p>
      <w:pPr>
        <w:spacing w:line="275" w:lineRule="exact" w:before="0"/>
        <w:ind w:left="1033" w:right="0" w:firstLine="0"/>
        <w:jc w:val="left"/>
        <w:rPr>
          <w:sz w:val="24"/>
        </w:rPr>
      </w:pPr>
      <w:r>
        <w:rPr>
          <w:i/>
          <w:sz w:val="24"/>
        </w:rPr>
        <w:t>Annals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5"/>
          <w:sz w:val="24"/>
        </w:rPr>
        <w:t> </w:t>
      </w:r>
      <w:r>
        <w:rPr>
          <w:i/>
          <w:sz w:val="24"/>
        </w:rPr>
        <w:t>Tropical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Medicine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Parasitology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64</w:t>
      </w:r>
      <w:r>
        <w:rPr>
          <w:sz w:val="24"/>
        </w:rPr>
        <w:t>(2),209-222.</w:t>
      </w:r>
    </w:p>
    <w:p>
      <w:pPr>
        <w:pStyle w:val="BodyText"/>
        <w:spacing w:before="9"/>
      </w:pPr>
    </w:p>
    <w:p>
      <w:pPr>
        <w:pStyle w:val="BodyText"/>
        <w:spacing w:before="1"/>
        <w:ind w:left="1033" w:right="706" w:hanging="721"/>
        <w:jc w:val="both"/>
      </w:pPr>
      <w:r>
        <w:rPr/>
        <w:t>Sahu,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Balbhadra,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S.,</w:t>
      </w:r>
      <w:r>
        <w:rPr>
          <w:spacing w:val="1"/>
        </w:rPr>
        <w:t> </w:t>
      </w:r>
      <w:r>
        <w:rPr/>
        <w:t>Choudhary,</w:t>
      </w:r>
      <w:r>
        <w:rPr>
          <w:spacing w:val="1"/>
        </w:rPr>
        <w:t> </w:t>
      </w:r>
      <w:r>
        <w:rPr/>
        <w:t>S.,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Kohli,</w:t>
      </w:r>
      <w:r>
        <w:rPr>
          <w:spacing w:val="1"/>
        </w:rPr>
        <w:t> </w:t>
      </w:r>
      <w:r>
        <w:rPr/>
        <w:t>V.,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Exploring</w:t>
      </w:r>
      <w:r>
        <w:rPr>
          <w:spacing w:val="1"/>
        </w:rPr>
        <w:t> </w:t>
      </w:r>
      <w:r>
        <w:rPr/>
        <w:t>pharmacological significance of chalcone scaffold: A review. </w:t>
      </w:r>
      <w:r>
        <w:rPr>
          <w:i/>
        </w:rPr>
        <w:t>Current Medicinal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3"/>
        </w:rPr>
        <w:t> </w:t>
      </w:r>
      <w:r>
        <w:rPr>
          <w:i/>
        </w:rPr>
        <w:t>19</w:t>
      </w:r>
      <w:r>
        <w:rPr/>
        <w:t>(2),209-225.</w:t>
      </w:r>
    </w:p>
    <w:p>
      <w:pPr>
        <w:pStyle w:val="BodyText"/>
        <w:spacing w:before="9"/>
      </w:pPr>
    </w:p>
    <w:p>
      <w:pPr>
        <w:pStyle w:val="BodyText"/>
        <w:ind w:left="1033" w:right="701" w:hanging="721"/>
        <w:jc w:val="both"/>
      </w:pPr>
      <w:r>
        <w:rPr/>
        <w:t>Saidu, K., Onah, J., Orisadipe, A., Olusola, A., Wambebe, C., and Gamaniel, K. (2000).</w:t>
      </w:r>
      <w:r>
        <w:rPr>
          <w:spacing w:val="1"/>
        </w:rPr>
        <w:t> </w:t>
      </w:r>
      <w:r>
        <w:rPr/>
        <w:t>Antiplasmodial, analgesic, and anti-inflammatory activities of the aqueous extract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bark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Erythrina</w:t>
      </w:r>
      <w:r>
        <w:rPr>
          <w:i/>
          <w:spacing w:val="1"/>
        </w:rPr>
        <w:t> </w:t>
      </w:r>
      <w:r>
        <w:rPr>
          <w:i/>
        </w:rPr>
        <w:t>senegalensis</w:t>
      </w:r>
      <w:r>
        <w:rPr/>
        <w:t>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60"/>
        </w:rPr>
        <w:t> </w:t>
      </w:r>
      <w:r>
        <w:rPr>
          <w:i/>
        </w:rPr>
        <w:t>Ethnopharmacology</w:t>
      </w:r>
      <w:r>
        <w:rPr/>
        <w:t>,</w:t>
      </w:r>
      <w:r>
        <w:rPr>
          <w:spacing w:val="1"/>
        </w:rPr>
        <w:t> </w:t>
      </w:r>
      <w:r>
        <w:rPr>
          <w:i/>
        </w:rPr>
        <w:t>71</w:t>
      </w:r>
      <w:r>
        <w:rPr/>
        <w:t>(12),</w:t>
      </w:r>
      <w:r>
        <w:rPr>
          <w:spacing w:val="-2"/>
        </w:rPr>
        <w:t> </w:t>
      </w:r>
      <w:r>
        <w:rPr/>
        <w:t>275-280.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75" w:lineRule="exact" w:before="1"/>
        <w:ind w:left="312"/>
        <w:jc w:val="both"/>
      </w:pPr>
      <w:r>
        <w:rPr/>
        <w:t>Sajid,</w:t>
      </w:r>
      <w:r>
        <w:rPr>
          <w:spacing w:val="15"/>
        </w:rPr>
        <w:t> </w:t>
      </w:r>
      <w:r>
        <w:rPr/>
        <w:t>M.,</w:t>
      </w:r>
      <w:r>
        <w:rPr>
          <w:spacing w:val="74"/>
        </w:rPr>
        <w:t> </w:t>
      </w:r>
      <w:r>
        <w:rPr/>
        <w:t>and</w:t>
      </w:r>
      <w:r>
        <w:rPr>
          <w:spacing w:val="79"/>
        </w:rPr>
        <w:t> </w:t>
      </w:r>
      <w:r>
        <w:rPr/>
        <w:t>McKerrow,</w:t>
      </w:r>
      <w:r>
        <w:rPr>
          <w:spacing w:val="73"/>
        </w:rPr>
        <w:t> </w:t>
      </w:r>
      <w:r>
        <w:rPr/>
        <w:t>J.</w:t>
      </w:r>
      <w:r>
        <w:rPr>
          <w:spacing w:val="75"/>
        </w:rPr>
        <w:t> </w:t>
      </w:r>
      <w:r>
        <w:rPr/>
        <w:t>H.</w:t>
      </w:r>
      <w:r>
        <w:rPr>
          <w:spacing w:val="73"/>
        </w:rPr>
        <w:t> </w:t>
      </w:r>
      <w:r>
        <w:rPr/>
        <w:t>(2002).</w:t>
      </w:r>
      <w:r>
        <w:rPr>
          <w:spacing w:val="74"/>
        </w:rPr>
        <w:t> </w:t>
      </w:r>
      <w:r>
        <w:rPr/>
        <w:t>Cysteine</w:t>
      </w:r>
      <w:r>
        <w:rPr>
          <w:spacing w:val="76"/>
        </w:rPr>
        <w:t> </w:t>
      </w:r>
      <w:r>
        <w:rPr/>
        <w:t>proteases</w:t>
      </w:r>
      <w:r>
        <w:rPr>
          <w:spacing w:val="70"/>
        </w:rPr>
        <w:t> </w:t>
      </w:r>
      <w:r>
        <w:rPr/>
        <w:t>of</w:t>
      </w:r>
      <w:r>
        <w:rPr>
          <w:spacing w:val="64"/>
        </w:rPr>
        <w:t> </w:t>
      </w:r>
      <w:r>
        <w:rPr/>
        <w:t>parasitic</w:t>
      </w:r>
      <w:r>
        <w:rPr>
          <w:spacing w:val="81"/>
        </w:rPr>
        <w:t> </w:t>
      </w:r>
      <w:r>
        <w:rPr/>
        <w:t>organisms.</w:t>
      </w:r>
    </w:p>
    <w:p>
      <w:pPr>
        <w:spacing w:line="275" w:lineRule="exact" w:before="0"/>
        <w:ind w:left="1033" w:right="0" w:firstLine="0"/>
        <w:jc w:val="left"/>
        <w:rPr>
          <w:sz w:val="24"/>
        </w:rPr>
      </w:pPr>
      <w:r>
        <w:rPr>
          <w:i/>
          <w:sz w:val="24"/>
        </w:rPr>
        <w:t>Molecular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Biochemical Parasitology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120</w:t>
      </w:r>
      <w:r>
        <w:rPr>
          <w:sz w:val="24"/>
        </w:rPr>
        <w:t>(1),1-21.</w:t>
      </w:r>
    </w:p>
    <w:p>
      <w:pPr>
        <w:pStyle w:val="BodyText"/>
        <w:spacing w:before="5"/>
      </w:pPr>
    </w:p>
    <w:p>
      <w:pPr>
        <w:pStyle w:val="BodyText"/>
        <w:spacing w:line="242" w:lineRule="auto"/>
        <w:ind w:left="1033" w:right="699" w:hanging="721"/>
        <w:jc w:val="both"/>
      </w:pPr>
      <w:r>
        <w:rPr/>
        <w:t>Sanner,</w:t>
      </w:r>
      <w:r>
        <w:rPr>
          <w:spacing w:val="11"/>
        </w:rPr>
        <w:t> </w:t>
      </w:r>
      <w:r>
        <w:rPr/>
        <w:t>M.</w:t>
      </w:r>
      <w:r>
        <w:rPr>
          <w:spacing w:val="16"/>
        </w:rPr>
        <w:t> </w:t>
      </w:r>
      <w:r>
        <w:rPr/>
        <w:t>F.,</w:t>
      </w:r>
      <w:r>
        <w:rPr>
          <w:spacing w:val="11"/>
        </w:rPr>
        <w:t> </w:t>
      </w:r>
      <w:r>
        <w:rPr/>
        <w:t>Olson,</w:t>
      </w:r>
      <w:r>
        <w:rPr>
          <w:spacing w:val="16"/>
        </w:rPr>
        <w:t> </w:t>
      </w:r>
      <w:r>
        <w:rPr/>
        <w:t>A.</w:t>
      </w:r>
      <w:r>
        <w:rPr>
          <w:spacing w:val="11"/>
        </w:rPr>
        <w:t> </w:t>
      </w:r>
      <w:r>
        <w:rPr/>
        <w:t>J.,</w:t>
      </w:r>
      <w:r>
        <w:rPr>
          <w:spacing w:val="11"/>
        </w:rPr>
        <w:t> </w:t>
      </w:r>
      <w:r>
        <w:rPr/>
        <w:t>and</w:t>
      </w:r>
      <w:r>
        <w:rPr>
          <w:spacing w:val="14"/>
        </w:rPr>
        <w:t> </w:t>
      </w:r>
      <w:r>
        <w:rPr/>
        <w:t>Spehner,</w:t>
      </w:r>
      <w:r>
        <w:rPr>
          <w:spacing w:val="12"/>
        </w:rPr>
        <w:t> </w:t>
      </w:r>
      <w:r>
        <w:rPr/>
        <w:t>J.</w:t>
      </w:r>
      <w:r>
        <w:rPr>
          <w:spacing w:val="11"/>
        </w:rPr>
        <w:t> </w:t>
      </w:r>
      <w:r>
        <w:rPr/>
        <w:t>C.</w:t>
      </w:r>
      <w:r>
        <w:rPr>
          <w:spacing w:val="11"/>
        </w:rPr>
        <w:t> </w:t>
      </w:r>
      <w:r>
        <w:rPr/>
        <w:t>(1996).</w:t>
      </w:r>
      <w:r>
        <w:rPr>
          <w:spacing w:val="11"/>
        </w:rPr>
        <w:t> </w:t>
      </w:r>
      <w:r>
        <w:rPr/>
        <w:t>Reduced</w:t>
      </w:r>
      <w:r>
        <w:rPr>
          <w:spacing w:val="9"/>
        </w:rPr>
        <w:t> </w:t>
      </w:r>
      <w:r>
        <w:rPr/>
        <w:t>surface:</w:t>
      </w:r>
      <w:r>
        <w:rPr>
          <w:spacing w:val="11"/>
        </w:rPr>
        <w:t> </w:t>
      </w:r>
      <w:r>
        <w:rPr/>
        <w:t>an</w:t>
      </w:r>
      <w:r>
        <w:rPr>
          <w:spacing w:val="9"/>
        </w:rPr>
        <w:t> </w:t>
      </w:r>
      <w:r>
        <w:rPr/>
        <w:t>efficient</w:t>
      </w:r>
      <w:r>
        <w:rPr>
          <w:spacing w:val="14"/>
        </w:rPr>
        <w:t> </w:t>
      </w:r>
      <w:r>
        <w:rPr/>
        <w:t>way</w:t>
      </w:r>
      <w:r>
        <w:rPr>
          <w:spacing w:val="-58"/>
        </w:rPr>
        <w:t> </w:t>
      </w:r>
      <w:r>
        <w:rPr/>
        <w:t>to</w:t>
      </w:r>
      <w:r>
        <w:rPr>
          <w:spacing w:val="1"/>
        </w:rPr>
        <w:t> </w:t>
      </w:r>
      <w:r>
        <w:rPr/>
        <w:t>compute molecular</w:t>
      </w:r>
      <w:r>
        <w:rPr>
          <w:spacing w:val="2"/>
        </w:rPr>
        <w:t> </w:t>
      </w:r>
      <w:r>
        <w:rPr/>
        <w:t>surfaces.</w:t>
      </w:r>
      <w:r>
        <w:rPr>
          <w:spacing w:val="7"/>
        </w:rPr>
        <w:t> </w:t>
      </w:r>
      <w:r>
        <w:rPr>
          <w:i/>
        </w:rPr>
        <w:t>Biopolymers</w:t>
      </w:r>
      <w:r>
        <w:rPr/>
        <w:t>,</w:t>
      </w:r>
      <w:r>
        <w:rPr>
          <w:spacing w:val="4"/>
        </w:rPr>
        <w:t> </w:t>
      </w:r>
      <w:r>
        <w:rPr>
          <w:i/>
        </w:rPr>
        <w:t>38</w:t>
      </w:r>
      <w:r>
        <w:rPr/>
        <w:t>(3),305-320.</w:t>
      </w:r>
    </w:p>
    <w:p>
      <w:pPr>
        <w:pStyle w:val="BodyText"/>
        <w:spacing w:before="1"/>
      </w:pPr>
    </w:p>
    <w:p>
      <w:pPr>
        <w:spacing w:line="242" w:lineRule="auto" w:before="1"/>
        <w:ind w:left="1033" w:right="702" w:hanging="721"/>
        <w:jc w:val="both"/>
        <w:rPr>
          <w:sz w:val="24"/>
        </w:rPr>
      </w:pPr>
      <w:r>
        <w:rPr>
          <w:sz w:val="24"/>
        </w:rPr>
        <w:t>Semenov, A., Olson, J. E., and Rosenthal, P. J. (1998). Antimalarial synergy of cysteine</w:t>
      </w:r>
      <w:r>
        <w:rPr>
          <w:spacing w:val="1"/>
          <w:sz w:val="24"/>
        </w:rPr>
        <w:t> </w:t>
      </w:r>
      <w:r>
        <w:rPr>
          <w:sz w:val="24"/>
        </w:rPr>
        <w:t>and aspartic protease inhibitors. </w:t>
      </w:r>
      <w:r>
        <w:rPr>
          <w:i/>
          <w:sz w:val="24"/>
        </w:rPr>
        <w:t>Antimicrobial Agents and Chemotherapy</w:t>
      </w:r>
      <w:r>
        <w:rPr>
          <w:sz w:val="24"/>
        </w:rPr>
        <w:t>, </w:t>
      </w:r>
      <w:r>
        <w:rPr>
          <w:i/>
          <w:sz w:val="24"/>
        </w:rPr>
        <w:t>42</w:t>
      </w:r>
      <w:r>
        <w:rPr>
          <w:sz w:val="24"/>
        </w:rPr>
        <w:t>(9),</w:t>
      </w:r>
      <w:r>
        <w:rPr>
          <w:spacing w:val="1"/>
          <w:sz w:val="24"/>
        </w:rPr>
        <w:t> </w:t>
      </w:r>
      <w:r>
        <w:rPr>
          <w:sz w:val="24"/>
        </w:rPr>
        <w:t>2254-2258.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ind w:left="312"/>
        <w:jc w:val="both"/>
      </w:pPr>
      <w:r>
        <w:rPr/>
        <w:t>Silva,</w:t>
      </w:r>
      <w:r>
        <w:rPr>
          <w:spacing w:val="-1"/>
        </w:rPr>
        <w:t> </w:t>
      </w:r>
      <w:r>
        <w:rPr/>
        <w:t>A.</w:t>
      </w:r>
      <w:r>
        <w:rPr>
          <w:spacing w:val="-1"/>
        </w:rPr>
        <w:t> </w:t>
      </w:r>
      <w:r>
        <w:rPr/>
        <w:t>M.,</w:t>
      </w:r>
      <w:r>
        <w:rPr>
          <w:spacing w:val="-1"/>
        </w:rPr>
        <w:t> </w:t>
      </w:r>
      <w:r>
        <w:rPr/>
        <w:t>Lee,</w:t>
      </w:r>
      <w:r>
        <w:rPr>
          <w:spacing w:val="-1"/>
        </w:rPr>
        <w:t> </w:t>
      </w:r>
      <w:r>
        <w:rPr/>
        <w:t>A. Y.,</w:t>
      </w:r>
      <w:r>
        <w:rPr>
          <w:spacing w:val="-6"/>
        </w:rPr>
        <w:t> </w:t>
      </w:r>
      <w:r>
        <w:rPr/>
        <w:t>Gulnik,</w:t>
      </w:r>
      <w:r>
        <w:rPr>
          <w:spacing w:val="-1"/>
        </w:rPr>
        <w:t> </w:t>
      </w:r>
      <w:r>
        <w:rPr/>
        <w:t>S.</w:t>
      </w:r>
      <w:r>
        <w:rPr>
          <w:spacing w:val="-1"/>
        </w:rPr>
        <w:t> </w:t>
      </w:r>
      <w:r>
        <w:rPr/>
        <w:t>V.,</w:t>
      </w:r>
      <w:r>
        <w:rPr>
          <w:spacing w:val="6"/>
        </w:rPr>
        <w:t> </w:t>
      </w:r>
      <w:r>
        <w:rPr/>
        <w:t>Maier,</w:t>
      </w:r>
      <w:r>
        <w:rPr>
          <w:spacing w:val="-1"/>
        </w:rPr>
        <w:t> </w:t>
      </w:r>
      <w:r>
        <w:rPr/>
        <w:t>P.,</w:t>
      </w:r>
      <w:r>
        <w:rPr>
          <w:spacing w:val="-9"/>
        </w:rPr>
        <w:t> </w:t>
      </w:r>
      <w:r>
        <w:rPr/>
        <w:t>Collins,</w:t>
      </w:r>
      <w:r>
        <w:rPr>
          <w:spacing w:val="-1"/>
        </w:rPr>
        <w:t> </w:t>
      </w:r>
      <w:r>
        <w:rPr/>
        <w:t>J., Bhat,</w:t>
      </w:r>
      <w:r>
        <w:rPr>
          <w:spacing w:val="-6"/>
        </w:rPr>
        <w:t> </w:t>
      </w:r>
      <w:r>
        <w:rPr/>
        <w:t>T.</w:t>
      </w:r>
      <w:r>
        <w:rPr>
          <w:spacing w:val="-5"/>
        </w:rPr>
        <w:t> </w:t>
      </w:r>
      <w:r>
        <w:rPr/>
        <w:t>N.,</w:t>
      </w:r>
      <w:r>
        <w:rPr>
          <w:spacing w:val="-6"/>
        </w:rPr>
        <w:t> </w:t>
      </w:r>
      <w:r>
        <w:rPr/>
        <w:t>... and</w:t>
      </w:r>
      <w:r>
        <w:rPr>
          <w:spacing w:val="-3"/>
        </w:rPr>
        <w:t> </w:t>
      </w:r>
      <w:r>
        <w:rPr/>
        <w:t>Francis,</w:t>
      </w:r>
    </w:p>
    <w:p>
      <w:pPr>
        <w:spacing w:line="240" w:lineRule="auto" w:before="3"/>
        <w:ind w:left="1033" w:right="705" w:firstLine="0"/>
        <w:jc w:val="both"/>
        <w:rPr>
          <w:sz w:val="24"/>
        </w:rPr>
      </w:pPr>
      <w:r>
        <w:rPr>
          <w:sz w:val="24"/>
        </w:rPr>
        <w:t>E.</w:t>
      </w:r>
      <w:r>
        <w:rPr>
          <w:spacing w:val="1"/>
          <w:sz w:val="24"/>
        </w:rPr>
        <w:t> </w:t>
      </w:r>
      <w:r>
        <w:rPr>
          <w:sz w:val="24"/>
        </w:rPr>
        <w:t>(1996).</w:t>
      </w:r>
      <w:r>
        <w:rPr>
          <w:spacing w:val="1"/>
          <w:sz w:val="24"/>
        </w:rPr>
        <w:t> </w:t>
      </w:r>
      <w:r>
        <w:rPr>
          <w:sz w:val="24"/>
        </w:rPr>
        <w:t>Structure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inhibition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plasmepsin</w:t>
      </w:r>
      <w:r>
        <w:rPr>
          <w:spacing w:val="1"/>
          <w:sz w:val="24"/>
        </w:rPr>
        <w:t> </w:t>
      </w:r>
      <w:r>
        <w:rPr>
          <w:sz w:val="24"/>
        </w:rPr>
        <w:t>II,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hemoglobin-degrading</w:t>
      </w:r>
      <w:r>
        <w:rPr>
          <w:spacing w:val="1"/>
          <w:sz w:val="24"/>
        </w:rPr>
        <w:t> </w:t>
      </w:r>
      <w:r>
        <w:rPr>
          <w:sz w:val="24"/>
        </w:rPr>
        <w:t>enzyme from </w:t>
      </w:r>
      <w:r>
        <w:rPr>
          <w:i/>
          <w:sz w:val="24"/>
        </w:rPr>
        <w:t>Plasmodium falciparum</w:t>
      </w:r>
      <w:r>
        <w:rPr>
          <w:sz w:val="24"/>
        </w:rPr>
        <w:t>. </w:t>
      </w:r>
      <w:r>
        <w:rPr>
          <w:i/>
          <w:sz w:val="24"/>
        </w:rPr>
        <w:t>Proceedings of the National Academy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93</w:t>
      </w:r>
      <w:r>
        <w:rPr>
          <w:sz w:val="24"/>
        </w:rPr>
        <w:t>(19),10034-10039.</w:t>
      </w:r>
    </w:p>
    <w:p>
      <w:pPr>
        <w:pStyle w:val="BodyText"/>
        <w:spacing w:before="10"/>
      </w:pPr>
    </w:p>
    <w:p>
      <w:pPr>
        <w:spacing w:line="240" w:lineRule="auto" w:before="0"/>
        <w:ind w:left="1033" w:right="703" w:hanging="721"/>
        <w:jc w:val="both"/>
        <w:rPr>
          <w:sz w:val="24"/>
        </w:rPr>
      </w:pPr>
      <w:r>
        <w:rPr>
          <w:sz w:val="24"/>
        </w:rPr>
        <w:t>Singh, A., and Rosenthal, P. J. (2001). Comparison of efficacies of cysteine protease</w:t>
      </w:r>
      <w:r>
        <w:rPr>
          <w:spacing w:val="1"/>
          <w:sz w:val="24"/>
        </w:rPr>
        <w:t> </w:t>
      </w:r>
      <w:r>
        <w:rPr>
          <w:sz w:val="24"/>
        </w:rPr>
        <w:t>inhibitors against five strains of </w:t>
      </w:r>
      <w:r>
        <w:rPr>
          <w:i/>
          <w:sz w:val="24"/>
        </w:rPr>
        <w:t>Plasmodium falciparum</w:t>
      </w:r>
      <w:r>
        <w:rPr>
          <w:sz w:val="24"/>
        </w:rPr>
        <w:t>. </w:t>
      </w:r>
      <w:r>
        <w:rPr>
          <w:i/>
          <w:sz w:val="24"/>
        </w:rPr>
        <w:t>Antimicrobial Agents 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Chemotherapy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45</w:t>
      </w:r>
      <w:r>
        <w:rPr>
          <w:sz w:val="24"/>
        </w:rPr>
        <w:t>(3),</w:t>
      </w:r>
      <w:r>
        <w:rPr>
          <w:spacing w:val="4"/>
          <w:sz w:val="24"/>
        </w:rPr>
        <w:t> </w:t>
      </w:r>
      <w:r>
        <w:rPr>
          <w:sz w:val="24"/>
        </w:rPr>
        <w:t>949-951.</w:t>
      </w:r>
    </w:p>
    <w:p>
      <w:pPr>
        <w:pStyle w:val="BodyText"/>
        <w:spacing w:before="5"/>
      </w:pPr>
    </w:p>
    <w:p>
      <w:pPr>
        <w:spacing w:line="242" w:lineRule="auto" w:before="0"/>
        <w:ind w:left="1033" w:right="696" w:hanging="721"/>
        <w:jc w:val="both"/>
        <w:rPr>
          <w:sz w:val="24"/>
        </w:rPr>
      </w:pPr>
      <w:r>
        <w:rPr>
          <w:sz w:val="24"/>
        </w:rPr>
        <w:t>Sinha, S., Medhi, B., and Sehgal, R. (2013). Chalcones as an emerging lead molecule for</w:t>
      </w:r>
      <w:r>
        <w:rPr>
          <w:spacing w:val="1"/>
          <w:sz w:val="24"/>
        </w:rPr>
        <w:t> </w:t>
      </w:r>
      <w:r>
        <w:rPr>
          <w:sz w:val="24"/>
        </w:rPr>
        <w:t>antimalarial therapy: a review. </w:t>
      </w:r>
      <w:r>
        <w:rPr>
          <w:i/>
          <w:sz w:val="24"/>
        </w:rPr>
        <w:t>Journal of Modern Medicinal Chemistry</w:t>
      </w:r>
      <w:r>
        <w:rPr>
          <w:sz w:val="24"/>
        </w:rPr>
        <w:t>, </w:t>
      </w:r>
      <w:r>
        <w:rPr>
          <w:i/>
          <w:sz w:val="24"/>
        </w:rPr>
        <w:t>1</w:t>
      </w:r>
      <w:r>
        <w:rPr>
          <w:sz w:val="24"/>
        </w:rPr>
        <w:t>(2), 64-</w:t>
      </w:r>
      <w:r>
        <w:rPr>
          <w:spacing w:val="1"/>
          <w:sz w:val="24"/>
        </w:rPr>
        <w:t> </w:t>
      </w:r>
      <w:r>
        <w:rPr>
          <w:sz w:val="24"/>
        </w:rPr>
        <w:t>77.</w:t>
      </w:r>
    </w:p>
    <w:p>
      <w:pPr>
        <w:pStyle w:val="BodyText"/>
        <w:spacing w:before="1"/>
      </w:pPr>
    </w:p>
    <w:p>
      <w:pPr>
        <w:spacing w:line="240" w:lineRule="auto" w:before="1"/>
        <w:ind w:left="1033" w:right="701" w:hanging="721"/>
        <w:jc w:val="both"/>
        <w:rPr>
          <w:sz w:val="24"/>
        </w:rPr>
      </w:pPr>
      <w:r>
        <w:rPr>
          <w:sz w:val="24"/>
        </w:rPr>
        <w:t>Sriwilaijaroen, N., Liu, M., Mei-Lin, G., and Wilairat, P. (2006). Plasmepsin II inhibitory</w:t>
      </w:r>
      <w:r>
        <w:rPr>
          <w:spacing w:val="1"/>
          <w:sz w:val="24"/>
        </w:rPr>
        <w:t> </w:t>
      </w:r>
      <w:r>
        <w:rPr>
          <w:sz w:val="24"/>
        </w:rPr>
        <w:t>activity of alkoxylated and hydroxylated chalcones. </w:t>
      </w:r>
      <w:r>
        <w:rPr>
          <w:i/>
          <w:sz w:val="24"/>
        </w:rPr>
        <w:t>Southeast Asian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Tropical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Public Health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37</w:t>
      </w:r>
      <w:r>
        <w:rPr>
          <w:sz w:val="24"/>
        </w:rPr>
        <w:t>(4),</w:t>
      </w:r>
      <w:r>
        <w:rPr>
          <w:spacing w:val="-1"/>
          <w:sz w:val="24"/>
        </w:rPr>
        <w:t> </w:t>
      </w:r>
      <w:r>
        <w:rPr>
          <w:sz w:val="24"/>
        </w:rPr>
        <w:t>607.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458"/>
          <w:footerReference w:type="default" r:id="rId459"/>
          <w:pgSz w:w="11910" w:h="16840"/>
          <w:pgMar w:header="0" w:footer="2491" w:top="1200" w:bottom="2680" w:left="1560" w:right="600"/>
        </w:sectPr>
      </w:pPr>
    </w:p>
    <w:p>
      <w:pPr>
        <w:pStyle w:val="BodyText"/>
        <w:spacing w:before="63"/>
        <w:ind w:left="1033" w:right="700" w:hanging="721"/>
        <w:jc w:val="both"/>
      </w:pPr>
      <w:r>
        <w:rPr/>
        <w:t>Syahri, J., Rullah, K., Armunanto, R., Yuanita, E., Nurohmah, B. A., Aluwi, M. F. F. M.,</w:t>
      </w:r>
      <w:r>
        <w:rPr>
          <w:spacing w:val="1"/>
        </w:rPr>
        <w:t> </w:t>
      </w:r>
      <w:r>
        <w:rPr/>
        <w:t>and Purwono, B. (2017). Synthesis, biological evaluation, QSAR analysis, and</w:t>
      </w:r>
      <w:r>
        <w:rPr>
          <w:spacing w:val="1"/>
        </w:rPr>
        <w:t> </w:t>
      </w:r>
      <w:r>
        <w:rPr/>
        <w:t>molecular docking of chalcone derivatives for antimalarial activity. </w:t>
      </w:r>
      <w:r>
        <w:rPr>
          <w:i/>
        </w:rPr>
        <w:t>Asian Pacific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2"/>
        </w:rPr>
        <w:t> </w:t>
      </w:r>
      <w:r>
        <w:rPr>
          <w:i/>
        </w:rPr>
        <w:t>of</w:t>
      </w:r>
      <w:r>
        <w:rPr>
          <w:i/>
          <w:spacing w:val="2"/>
        </w:rPr>
        <w:t> </w:t>
      </w:r>
      <w:r>
        <w:rPr>
          <w:i/>
        </w:rPr>
        <w:t>Tropical</w:t>
      </w:r>
      <w:r>
        <w:rPr>
          <w:i/>
          <w:spacing w:val="2"/>
        </w:rPr>
        <w:t> </w:t>
      </w:r>
      <w:r>
        <w:rPr>
          <w:i/>
        </w:rPr>
        <w:t>Disease</w:t>
      </w:r>
      <w:r>
        <w:rPr/>
        <w:t>,</w:t>
      </w:r>
      <w:r>
        <w:rPr>
          <w:spacing w:val="4"/>
        </w:rPr>
        <w:t> </w:t>
      </w:r>
      <w:r>
        <w:rPr>
          <w:i/>
        </w:rPr>
        <w:t>7</w:t>
      </w:r>
      <w:r>
        <w:rPr/>
        <w:t>(1),</w:t>
      </w:r>
      <w:r>
        <w:rPr>
          <w:spacing w:val="4"/>
        </w:rPr>
        <w:t> </w:t>
      </w:r>
      <w:r>
        <w:rPr/>
        <w:t>8-13.</w:t>
      </w:r>
    </w:p>
    <w:p>
      <w:pPr>
        <w:pStyle w:val="BodyText"/>
        <w:spacing w:before="1"/>
        <w:rPr>
          <w:sz w:val="25"/>
        </w:rPr>
      </w:pPr>
    </w:p>
    <w:p>
      <w:pPr>
        <w:spacing w:line="240" w:lineRule="auto" w:before="0"/>
        <w:ind w:left="1033" w:right="705" w:hanging="721"/>
        <w:jc w:val="both"/>
        <w:rPr>
          <w:sz w:val="24"/>
        </w:rPr>
      </w:pPr>
      <w:r>
        <w:rPr>
          <w:sz w:val="24"/>
        </w:rPr>
        <w:t>Teixeira, C., RB Gomes, J., and Gomes, P. (2011). Falcipains, </w:t>
      </w:r>
      <w:r>
        <w:rPr>
          <w:i/>
          <w:sz w:val="24"/>
        </w:rPr>
        <w:t>Plasmodium falciparum</w:t>
      </w:r>
      <w:r>
        <w:rPr>
          <w:i/>
          <w:spacing w:val="1"/>
          <w:sz w:val="24"/>
        </w:rPr>
        <w:t> </w:t>
      </w:r>
      <w:r>
        <w:rPr>
          <w:sz w:val="24"/>
        </w:rPr>
        <w:t>cysteine</w:t>
      </w:r>
      <w:r>
        <w:rPr>
          <w:spacing w:val="1"/>
          <w:sz w:val="24"/>
        </w:rPr>
        <w:t> </w:t>
      </w:r>
      <w:r>
        <w:rPr>
          <w:sz w:val="24"/>
        </w:rPr>
        <w:t>proteases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key</w:t>
      </w:r>
      <w:r>
        <w:rPr>
          <w:spacing w:val="1"/>
          <w:sz w:val="24"/>
        </w:rPr>
        <w:t> </w:t>
      </w:r>
      <w:r>
        <w:rPr>
          <w:sz w:val="24"/>
        </w:rPr>
        <w:t>drug</w:t>
      </w:r>
      <w:r>
        <w:rPr>
          <w:spacing w:val="1"/>
          <w:sz w:val="24"/>
        </w:rPr>
        <w:t> </w:t>
      </w:r>
      <w:r>
        <w:rPr>
          <w:sz w:val="24"/>
        </w:rPr>
        <w:t>targets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malaria.</w:t>
      </w:r>
      <w:r>
        <w:rPr>
          <w:spacing w:val="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18</w:t>
      </w:r>
      <w:r>
        <w:rPr>
          <w:sz w:val="24"/>
        </w:rPr>
        <w:t>(10),1555-1572.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42" w:lineRule="auto"/>
        <w:ind w:left="1033" w:right="703" w:hanging="721"/>
        <w:jc w:val="both"/>
      </w:pPr>
      <w:r>
        <w:rPr/>
        <w:t>Trott, O., and Olson, A. J. (2010). AutoDock Vina: improving the speed and accuracy of</w:t>
      </w:r>
      <w:r>
        <w:rPr>
          <w:spacing w:val="1"/>
        </w:rPr>
        <w:t> </w:t>
      </w:r>
      <w:r>
        <w:rPr/>
        <w:t>docking with a new scoring function, efficient optimization, and multithreading.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2"/>
        </w:rPr>
        <w:t> </w:t>
      </w:r>
      <w:r>
        <w:rPr>
          <w:i/>
        </w:rPr>
        <w:t>Computational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31</w:t>
      </w:r>
      <w:r>
        <w:rPr/>
        <w:t>(2),</w:t>
      </w:r>
      <w:r>
        <w:rPr>
          <w:spacing w:val="3"/>
        </w:rPr>
        <w:t> </w:t>
      </w:r>
      <w:r>
        <w:rPr/>
        <w:t>455-461.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ind w:left="1033" w:right="700" w:hanging="721"/>
        <w:jc w:val="both"/>
      </w:pPr>
      <w:r>
        <w:rPr/>
        <w:t>Ugwu, D. I., Ezema, B. E., Okoro, U. C., Eze, F. U., Ekoh, O. C., Egbujor, M. C., and</w:t>
      </w:r>
      <w:r>
        <w:rPr>
          <w:spacing w:val="1"/>
        </w:rPr>
        <w:t> </w:t>
      </w:r>
      <w:r>
        <w:rPr/>
        <w:t>Ugwuja, D. I. (2016). Syntheses and pharmacological applications of chalcones: A</w:t>
      </w:r>
      <w:r>
        <w:rPr>
          <w:spacing w:val="1"/>
        </w:rPr>
        <w:t> </w:t>
      </w:r>
      <w:r>
        <w:rPr/>
        <w:t>review.</w:t>
      </w:r>
      <w:r>
        <w:rPr>
          <w:spacing w:val="3"/>
        </w:rPr>
        <w:t> </w:t>
      </w:r>
      <w:r>
        <w:rPr>
          <w:i/>
        </w:rPr>
        <w:t>ChemoInformatics</w:t>
      </w:r>
      <w:r>
        <w:rPr/>
        <w:t>,</w:t>
      </w:r>
      <w:r>
        <w:rPr>
          <w:spacing w:val="4"/>
        </w:rPr>
        <w:t> </w:t>
      </w:r>
      <w:r>
        <w:rPr>
          <w:i/>
        </w:rPr>
        <w:t>47</w:t>
      </w:r>
      <w:r>
        <w:rPr/>
        <w:t>(17).</w:t>
      </w:r>
    </w:p>
    <w:p>
      <w:pPr>
        <w:pStyle w:val="BodyText"/>
        <w:spacing w:before="9"/>
        <w:rPr>
          <w:sz w:val="29"/>
        </w:rPr>
      </w:pPr>
    </w:p>
    <w:p>
      <w:pPr>
        <w:pStyle w:val="BodyText"/>
        <w:spacing w:before="1"/>
        <w:ind w:left="1033" w:right="697" w:hanging="721"/>
        <w:jc w:val="both"/>
      </w:pPr>
      <w:r>
        <w:rPr/>
        <w:t>Valero, M. V., Amador, L. R., Galindo, C., Figueroa, J., Bello, M. S., Murillo,</w:t>
      </w:r>
      <w:r>
        <w:rPr>
          <w:spacing w:val="1"/>
        </w:rPr>
        <w:t> </w:t>
      </w:r>
      <w:r>
        <w:rPr/>
        <w:t>L. A., ...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Aponte,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(1993).</w:t>
      </w:r>
      <w:r>
        <w:rPr>
          <w:spacing w:val="1"/>
        </w:rPr>
        <w:t> </w:t>
      </w:r>
      <w:r>
        <w:rPr/>
        <w:t>Vaccination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SPf66,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chemically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vaccine,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>
          <w:i/>
        </w:rPr>
        <w:t>Plasmodium</w:t>
      </w:r>
      <w:r>
        <w:rPr>
          <w:i/>
          <w:spacing w:val="1"/>
        </w:rPr>
        <w:t> </w:t>
      </w:r>
      <w:r>
        <w:rPr>
          <w:i/>
        </w:rPr>
        <w:t>falciparum</w:t>
      </w:r>
      <w:r>
        <w:rPr>
          <w:i/>
          <w:spacing w:val="1"/>
        </w:rPr>
        <w:t> </w:t>
      </w:r>
      <w:r>
        <w:rPr/>
        <w:t>malaria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Colombia.</w:t>
      </w:r>
      <w:r>
        <w:rPr>
          <w:spacing w:val="1"/>
        </w:rPr>
        <w:t>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Lancet</w:t>
      </w:r>
      <w:r>
        <w:rPr/>
        <w:t>,</w:t>
      </w:r>
      <w:r>
        <w:rPr>
          <w:spacing w:val="1"/>
        </w:rPr>
        <w:t> </w:t>
      </w:r>
      <w:r>
        <w:rPr>
          <w:i/>
        </w:rPr>
        <w:t>341</w:t>
      </w:r>
      <w:r>
        <w:rPr/>
        <w:t>(8847),705-710.</w:t>
      </w:r>
    </w:p>
    <w:p>
      <w:pPr>
        <w:pStyle w:val="BodyText"/>
        <w:rPr>
          <w:sz w:val="25"/>
        </w:rPr>
      </w:pPr>
    </w:p>
    <w:p>
      <w:pPr>
        <w:pStyle w:val="BodyText"/>
        <w:spacing w:before="1"/>
        <w:ind w:left="1033" w:right="705" w:hanging="721"/>
        <w:jc w:val="both"/>
      </w:pPr>
      <w:r>
        <w:rPr/>
        <w:t>Vuorinen,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Schuster,</w:t>
      </w:r>
      <w:r>
        <w:rPr>
          <w:spacing w:val="1"/>
        </w:rPr>
        <w:t> </w:t>
      </w:r>
      <w:r>
        <w:rPr/>
        <w:t>D.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generating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applying</w:t>
      </w:r>
      <w:r>
        <w:rPr>
          <w:spacing w:val="1"/>
        </w:rPr>
        <w:t> </w:t>
      </w:r>
      <w:r>
        <w:rPr/>
        <w:t>pharmacophore models as virtual screening filters and for bioactivity profiling.</w:t>
      </w:r>
      <w:r>
        <w:rPr>
          <w:spacing w:val="1"/>
        </w:rPr>
        <w:t> </w:t>
      </w:r>
      <w:r>
        <w:rPr>
          <w:i/>
        </w:rPr>
        <w:t>Methods</w:t>
      </w:r>
      <w:r>
        <w:rPr/>
        <w:t>,</w:t>
      </w:r>
      <w:r>
        <w:rPr>
          <w:spacing w:val="3"/>
        </w:rPr>
        <w:t> </w:t>
      </w:r>
      <w:r>
        <w:rPr>
          <w:i/>
        </w:rPr>
        <w:t>71</w:t>
      </w:r>
      <w:r>
        <w:rPr/>
        <w:t>,113-134.</w:t>
      </w:r>
    </w:p>
    <w:p>
      <w:pPr>
        <w:pStyle w:val="BodyText"/>
        <w:spacing w:before="10"/>
      </w:pPr>
    </w:p>
    <w:p>
      <w:pPr>
        <w:spacing w:line="242" w:lineRule="auto" w:before="0"/>
        <w:ind w:left="1033" w:right="704" w:hanging="721"/>
        <w:jc w:val="both"/>
        <w:rPr>
          <w:sz w:val="24"/>
        </w:rPr>
      </w:pPr>
      <w:r>
        <w:rPr>
          <w:sz w:val="24"/>
        </w:rPr>
        <w:t>Wang, J., Wang, W., Kollman, P. A., and Case, D. A. (2006). Automatic atom type and</w:t>
      </w:r>
      <w:r>
        <w:rPr>
          <w:spacing w:val="1"/>
          <w:sz w:val="24"/>
        </w:rPr>
        <w:t> </w:t>
      </w:r>
      <w:r>
        <w:rPr>
          <w:sz w:val="24"/>
        </w:rPr>
        <w:t>bond type perception in molecular mechanical calculations. </w:t>
      </w:r>
      <w:r>
        <w:rPr>
          <w:i/>
          <w:sz w:val="24"/>
        </w:rPr>
        <w:t>Journal of Molecular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Graphics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Modelling</w:t>
      </w:r>
      <w:r>
        <w:rPr>
          <w:sz w:val="24"/>
        </w:rPr>
        <w:t>,</w:t>
      </w:r>
      <w:r>
        <w:rPr>
          <w:spacing w:val="4"/>
          <w:sz w:val="24"/>
        </w:rPr>
        <w:t> </w:t>
      </w:r>
      <w:r>
        <w:rPr>
          <w:i/>
          <w:sz w:val="24"/>
        </w:rPr>
        <w:t>25</w:t>
      </w:r>
      <w:r>
        <w:rPr>
          <w:sz w:val="24"/>
        </w:rPr>
        <w:t>(2),247-260.</w:t>
      </w:r>
    </w:p>
    <w:p>
      <w:pPr>
        <w:pStyle w:val="BodyText"/>
        <w:spacing w:before="1"/>
      </w:pPr>
    </w:p>
    <w:p>
      <w:pPr>
        <w:pStyle w:val="BodyText"/>
        <w:ind w:left="1033" w:right="697" w:hanging="721"/>
        <w:jc w:val="both"/>
      </w:pPr>
      <w:r>
        <w:rPr/>
        <w:t>Wang, S. X., Pandey, K. C., Somoza, J. R., Sijwali, P. S., Kortemme, T., Brinen, L. S., ...</w:t>
      </w:r>
      <w:r>
        <w:rPr>
          <w:spacing w:val="1"/>
        </w:rPr>
        <w:t> </w:t>
      </w:r>
      <w:r>
        <w:rPr/>
        <w:t>and McKerrow, J. H. (2006).</w:t>
      </w:r>
      <w:r>
        <w:rPr>
          <w:spacing w:val="1"/>
        </w:rPr>
        <w:t> </w:t>
      </w:r>
      <w:r>
        <w:rPr/>
        <w:t>Structural basis for unique</w:t>
      </w:r>
      <w:r>
        <w:rPr>
          <w:spacing w:val="60"/>
        </w:rPr>
        <w:t> </w:t>
      </w:r>
      <w:r>
        <w:rPr/>
        <w:t>mechanisms of folding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hemoglobin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malarial</w:t>
      </w:r>
      <w:r>
        <w:rPr>
          <w:spacing w:val="1"/>
        </w:rPr>
        <w:t> </w:t>
      </w:r>
      <w:r>
        <w:rPr/>
        <w:t>protease.</w:t>
      </w:r>
      <w:r>
        <w:rPr>
          <w:spacing w:val="1"/>
        </w:rPr>
        <w:t> </w:t>
      </w:r>
      <w:r>
        <w:rPr>
          <w:i/>
        </w:rPr>
        <w:t>Proceedings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the</w:t>
      </w:r>
      <w:r>
        <w:rPr>
          <w:i/>
          <w:spacing w:val="1"/>
        </w:rPr>
        <w:t> </w:t>
      </w:r>
      <w:r>
        <w:rPr>
          <w:i/>
        </w:rPr>
        <w:t>National</w:t>
      </w:r>
      <w:r>
        <w:rPr>
          <w:i/>
          <w:spacing w:val="1"/>
        </w:rPr>
        <w:t> </w:t>
      </w:r>
      <w:r>
        <w:rPr>
          <w:i/>
        </w:rPr>
        <w:t>Academy</w:t>
      </w:r>
      <w:r>
        <w:rPr>
          <w:i/>
          <w:spacing w:val="-1"/>
        </w:rPr>
        <w:t> </w:t>
      </w:r>
      <w:r>
        <w:rPr>
          <w:i/>
        </w:rPr>
        <w:t>of</w:t>
      </w:r>
      <w:r>
        <w:rPr>
          <w:i/>
          <w:spacing w:val="2"/>
        </w:rPr>
        <w:t> </w:t>
      </w:r>
      <w:r>
        <w:rPr>
          <w:i/>
        </w:rPr>
        <w:t>Sciences</w:t>
      </w:r>
      <w:r>
        <w:rPr/>
        <w:t>,</w:t>
      </w:r>
      <w:r>
        <w:rPr>
          <w:spacing w:val="4"/>
        </w:rPr>
        <w:t> </w:t>
      </w:r>
      <w:r>
        <w:rPr>
          <w:i/>
        </w:rPr>
        <w:t>103</w:t>
      </w:r>
      <w:r>
        <w:rPr/>
        <w:t>(31),11503-11508.</w:t>
      </w:r>
    </w:p>
    <w:p>
      <w:pPr>
        <w:pStyle w:val="BodyText"/>
        <w:spacing w:before="8"/>
      </w:pPr>
    </w:p>
    <w:p>
      <w:pPr>
        <w:pStyle w:val="BodyText"/>
        <w:ind w:left="1033" w:right="697" w:hanging="721"/>
        <w:jc w:val="both"/>
      </w:pPr>
      <w:r>
        <w:rPr/>
        <w:t>Wang,</w:t>
      </w:r>
      <w:r>
        <w:rPr>
          <w:spacing w:val="1"/>
        </w:rPr>
        <w:t> </w:t>
      </w:r>
      <w:r>
        <w:rPr/>
        <w:t>T.Y.,</w:t>
      </w:r>
      <w:r>
        <w:rPr>
          <w:spacing w:val="1"/>
        </w:rPr>
        <w:t> </w:t>
      </w:r>
      <w:r>
        <w:rPr/>
        <w:t>and Xu,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(1985).</w:t>
      </w:r>
      <w:r>
        <w:rPr>
          <w:spacing w:val="60"/>
        </w:rPr>
        <w:t> </w:t>
      </w:r>
      <w:r>
        <w:rPr/>
        <w:t>Clinical studies of treatment</w:t>
      </w:r>
      <w:r>
        <w:rPr>
          <w:spacing w:val="60"/>
        </w:rPr>
        <w:t> </w:t>
      </w:r>
      <w:r>
        <w:rPr/>
        <w:t>of falciparum malaria</w:t>
      </w:r>
      <w:r>
        <w:rPr>
          <w:spacing w:val="1"/>
        </w:rPr>
        <w:t> </w:t>
      </w:r>
      <w:r>
        <w:rPr/>
        <w:t>with artemether, a derivative of qinghaosu. </w:t>
      </w:r>
      <w:r>
        <w:rPr>
          <w:i/>
        </w:rPr>
        <w:t>Journal of Traditional Chinese</w:t>
      </w:r>
      <w:r>
        <w:rPr/>
        <w:t>, </w:t>
      </w:r>
      <w:r>
        <w:rPr>
          <w:i/>
        </w:rPr>
        <w:t>5</w:t>
      </w:r>
      <w:r>
        <w:rPr/>
        <w:t>(4),</w:t>
      </w:r>
      <w:r>
        <w:rPr>
          <w:spacing w:val="1"/>
        </w:rPr>
        <w:t> </w:t>
      </w:r>
      <w:r>
        <w:rPr/>
        <w:t>240-242.</w:t>
      </w:r>
    </w:p>
    <w:p>
      <w:pPr>
        <w:pStyle w:val="BodyText"/>
        <w:spacing w:before="10"/>
      </w:pPr>
    </w:p>
    <w:p>
      <w:pPr>
        <w:pStyle w:val="BodyText"/>
        <w:spacing w:line="242" w:lineRule="auto"/>
        <w:ind w:left="1033" w:right="705" w:hanging="721"/>
        <w:jc w:val="both"/>
      </w:pPr>
      <w:r>
        <w:rPr/>
        <w:t>Wermuth, C. G., Ganellin, C. R., Lindberg, P., and Mitscher, L. A. (1998). Glossary of</w:t>
      </w:r>
      <w:r>
        <w:rPr>
          <w:spacing w:val="1"/>
        </w:rPr>
        <w:t> </w:t>
      </w:r>
      <w:r>
        <w:rPr/>
        <w:t>terms used in medicinal chemistry (IUPAC Recommendations 1998). </w:t>
      </w:r>
      <w:r>
        <w:rPr>
          <w:i/>
        </w:rPr>
        <w:t>Pure and</w:t>
      </w:r>
      <w:r>
        <w:rPr>
          <w:i/>
          <w:spacing w:val="1"/>
        </w:rPr>
        <w:t> </w:t>
      </w:r>
      <w:r>
        <w:rPr>
          <w:i/>
        </w:rPr>
        <w:t>Applied</w:t>
      </w:r>
      <w:r>
        <w:rPr>
          <w:i/>
          <w:spacing w:val="1"/>
        </w:rPr>
        <w:t> </w:t>
      </w:r>
      <w:r>
        <w:rPr>
          <w:i/>
        </w:rPr>
        <w:t>Chemistry</w:t>
      </w:r>
      <w:r>
        <w:rPr/>
        <w:t>,</w:t>
      </w:r>
      <w:r>
        <w:rPr>
          <w:spacing w:val="4"/>
        </w:rPr>
        <w:t> </w:t>
      </w:r>
      <w:r>
        <w:rPr>
          <w:i/>
        </w:rPr>
        <w:t>70</w:t>
      </w:r>
      <w:r>
        <w:rPr/>
        <w:t>(5),</w:t>
      </w:r>
      <w:r>
        <w:rPr>
          <w:spacing w:val="4"/>
        </w:rPr>
        <w:t> </w:t>
      </w:r>
      <w:r>
        <w:rPr/>
        <w:t>1129-1143.</w:t>
      </w:r>
    </w:p>
    <w:p>
      <w:pPr>
        <w:spacing w:after="0" w:line="242" w:lineRule="auto"/>
        <w:jc w:val="both"/>
        <w:sectPr>
          <w:headerReference w:type="default" r:id="rId460"/>
          <w:footerReference w:type="default" r:id="rId461"/>
          <w:pgSz w:w="11910" w:h="16840"/>
          <w:pgMar w:header="0" w:footer="2491" w:top="1480" w:bottom="2680" w:left="1560" w:right="600"/>
        </w:sectPr>
      </w:pPr>
    </w:p>
    <w:p>
      <w:pPr>
        <w:pStyle w:val="BodyText"/>
        <w:spacing w:before="63"/>
        <w:ind w:left="312"/>
      </w:pPr>
      <w:r>
        <w:rPr/>
        <w:t>Wiesner,</w:t>
      </w:r>
      <w:r>
        <w:rPr>
          <w:spacing w:val="20"/>
        </w:rPr>
        <w:t> </w:t>
      </w:r>
      <w:r>
        <w:rPr/>
        <w:t>J.,</w:t>
      </w:r>
      <w:r>
        <w:rPr>
          <w:spacing w:val="21"/>
        </w:rPr>
        <w:t> </w:t>
      </w:r>
      <w:r>
        <w:rPr/>
        <w:t>Ortmann,</w:t>
      </w:r>
      <w:r>
        <w:rPr>
          <w:spacing w:val="21"/>
        </w:rPr>
        <w:t> </w:t>
      </w:r>
      <w:r>
        <w:rPr/>
        <w:t>R.,</w:t>
      </w:r>
      <w:r>
        <w:rPr>
          <w:spacing w:val="20"/>
        </w:rPr>
        <w:t> </w:t>
      </w:r>
      <w:r>
        <w:rPr/>
        <w:t>Jomaa,</w:t>
      </w:r>
      <w:r>
        <w:rPr>
          <w:spacing w:val="21"/>
        </w:rPr>
        <w:t> </w:t>
      </w:r>
      <w:r>
        <w:rPr/>
        <w:t>H.,</w:t>
      </w:r>
      <w:r>
        <w:rPr>
          <w:spacing w:val="22"/>
        </w:rPr>
        <w:t> </w:t>
      </w:r>
      <w:r>
        <w:rPr/>
        <w:t>and</w:t>
      </w:r>
      <w:r>
        <w:rPr>
          <w:spacing w:val="18"/>
        </w:rPr>
        <w:t> </w:t>
      </w:r>
      <w:r>
        <w:rPr/>
        <w:t>Schlitzer,</w:t>
      </w:r>
      <w:r>
        <w:rPr>
          <w:spacing w:val="21"/>
        </w:rPr>
        <w:t> </w:t>
      </w:r>
      <w:r>
        <w:rPr/>
        <w:t>M.</w:t>
      </w:r>
      <w:r>
        <w:rPr>
          <w:spacing w:val="44"/>
        </w:rPr>
        <w:t> </w:t>
      </w:r>
      <w:r>
        <w:rPr/>
        <w:t>(2003).</w:t>
      </w:r>
      <w:r>
        <w:rPr>
          <w:spacing w:val="21"/>
        </w:rPr>
        <w:t> </w:t>
      </w:r>
      <w:r>
        <w:rPr/>
        <w:t>New</w:t>
      </w:r>
      <w:r>
        <w:rPr>
          <w:spacing w:val="17"/>
        </w:rPr>
        <w:t> </w:t>
      </w:r>
      <w:r>
        <w:rPr/>
        <w:t>antimalarial</w:t>
      </w:r>
      <w:r>
        <w:rPr>
          <w:spacing w:val="18"/>
        </w:rPr>
        <w:t> </w:t>
      </w:r>
      <w:r>
        <w:rPr/>
        <w:t>drugs.</w:t>
      </w:r>
    </w:p>
    <w:p>
      <w:pPr>
        <w:spacing w:before="3"/>
        <w:ind w:left="1033" w:right="0" w:firstLine="0"/>
        <w:jc w:val="left"/>
        <w:rPr>
          <w:sz w:val="24"/>
        </w:rPr>
      </w:pPr>
      <w:r>
        <w:rPr>
          <w:i/>
          <w:sz w:val="24"/>
        </w:rPr>
        <w:t>Angewandte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Chemie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Edition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i/>
          <w:sz w:val="24"/>
        </w:rPr>
        <w:t>42</w:t>
      </w:r>
      <w:r>
        <w:rPr>
          <w:sz w:val="24"/>
        </w:rPr>
        <w:t>(43),5274-5293.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before="1"/>
        <w:ind w:left="312"/>
      </w:pPr>
      <w:r>
        <w:rPr/>
        <w:t>World</w:t>
      </w:r>
      <w:r>
        <w:rPr>
          <w:spacing w:val="9"/>
        </w:rPr>
        <w:t> </w:t>
      </w:r>
      <w:r>
        <w:rPr/>
        <w:t>Health</w:t>
      </w:r>
      <w:r>
        <w:rPr>
          <w:spacing w:val="4"/>
        </w:rPr>
        <w:t> </w:t>
      </w:r>
      <w:r>
        <w:rPr/>
        <w:t>Organization.</w:t>
      </w:r>
      <w:r>
        <w:rPr>
          <w:spacing w:val="21"/>
        </w:rPr>
        <w:t> </w:t>
      </w:r>
      <w:r>
        <w:rPr/>
        <w:t>(2011).</w:t>
      </w:r>
      <w:r>
        <w:rPr>
          <w:spacing w:val="15"/>
        </w:rPr>
        <w:t> </w:t>
      </w:r>
      <w:r>
        <w:rPr/>
        <w:t>World</w:t>
      </w:r>
      <w:r>
        <w:rPr>
          <w:spacing w:val="9"/>
        </w:rPr>
        <w:t> </w:t>
      </w:r>
      <w:r>
        <w:rPr/>
        <w:t>Malaria</w:t>
      </w:r>
      <w:r>
        <w:rPr>
          <w:spacing w:val="7"/>
        </w:rPr>
        <w:t> </w:t>
      </w:r>
      <w:r>
        <w:rPr/>
        <w:t>Report</w:t>
      </w:r>
      <w:r>
        <w:rPr>
          <w:spacing w:val="13"/>
        </w:rPr>
        <w:t> </w:t>
      </w:r>
      <w:r>
        <w:rPr/>
        <w:t>2011.</w:t>
      </w:r>
      <w:r>
        <w:rPr>
          <w:spacing w:val="77"/>
        </w:rPr>
        <w:t> </w:t>
      </w:r>
      <w:r>
        <w:rPr/>
        <w:t>Geneva:</w:t>
      </w:r>
      <w:r>
        <w:rPr>
          <w:spacing w:val="82"/>
        </w:rPr>
        <w:t> </w:t>
      </w:r>
      <w:r>
        <w:rPr/>
        <w:t>WHO;</w:t>
      </w:r>
      <w:r>
        <w:rPr>
          <w:spacing w:val="5"/>
        </w:rPr>
        <w:t> </w:t>
      </w:r>
      <w:r>
        <w:rPr/>
        <w:t>2011.</w:t>
      </w:r>
    </w:p>
    <w:p>
      <w:pPr>
        <w:spacing w:before="2"/>
        <w:ind w:left="1033" w:right="0" w:firstLine="0"/>
        <w:jc w:val="left"/>
        <w:rPr>
          <w:sz w:val="24"/>
        </w:rPr>
      </w:pPr>
      <w:hyperlink r:id="rId247">
        <w:r>
          <w:rPr>
            <w:i/>
            <w:sz w:val="24"/>
          </w:rPr>
          <w:t>www.</w:t>
        </w:r>
        <w:r>
          <w:rPr>
            <w:i/>
            <w:spacing w:val="2"/>
            <w:sz w:val="24"/>
          </w:rPr>
          <w:t> </w:t>
        </w:r>
      </w:hyperlink>
      <w:r>
        <w:rPr>
          <w:i/>
          <w:sz w:val="24"/>
        </w:rPr>
        <w:t>who.int/malaria/world_malaria_report_2011/en</w:t>
      </w:r>
      <w:r>
        <w:rPr>
          <w:sz w:val="24"/>
        </w:rPr>
        <w:t>.</w:t>
      </w:r>
    </w:p>
    <w:p>
      <w:pPr>
        <w:pStyle w:val="BodyText"/>
        <w:spacing w:before="5"/>
      </w:pPr>
    </w:p>
    <w:p>
      <w:pPr>
        <w:spacing w:line="242" w:lineRule="auto" w:before="0"/>
        <w:ind w:left="1033" w:right="699" w:hanging="721"/>
        <w:jc w:val="left"/>
        <w:rPr>
          <w:sz w:val="24"/>
        </w:rPr>
      </w:pPr>
      <w:r>
        <w:rPr>
          <w:sz w:val="24"/>
        </w:rPr>
        <w:t>World</w:t>
      </w:r>
      <w:r>
        <w:rPr>
          <w:spacing w:val="42"/>
          <w:sz w:val="24"/>
        </w:rPr>
        <w:t> </w:t>
      </w:r>
      <w:r>
        <w:rPr>
          <w:sz w:val="24"/>
        </w:rPr>
        <w:t>Health</w:t>
      </w:r>
      <w:r>
        <w:rPr>
          <w:spacing w:val="-5"/>
          <w:sz w:val="24"/>
        </w:rPr>
        <w:t> </w:t>
      </w:r>
      <w:r>
        <w:rPr>
          <w:sz w:val="24"/>
        </w:rPr>
        <w:t>Organization.</w:t>
      </w:r>
      <w:r>
        <w:rPr>
          <w:spacing w:val="1"/>
          <w:sz w:val="24"/>
        </w:rPr>
        <w:t> </w:t>
      </w:r>
      <w:r>
        <w:rPr>
          <w:sz w:val="24"/>
        </w:rPr>
        <w:t>(2016).</w:t>
      </w:r>
      <w:r>
        <w:rPr>
          <w:i/>
          <w:sz w:val="24"/>
        </w:rPr>
        <w:t>World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Malaria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Report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2015</w:t>
      </w:r>
      <w:r>
        <w:rPr>
          <w:sz w:val="24"/>
        </w:rPr>
        <w:t>.</w:t>
      </w:r>
      <w:r>
        <w:rPr>
          <w:spacing w:val="-5"/>
          <w:sz w:val="24"/>
        </w:rPr>
        <w:t> </w:t>
      </w:r>
      <w:r>
        <w:rPr>
          <w:sz w:val="24"/>
        </w:rPr>
        <w:t>World</w:t>
      </w:r>
      <w:r>
        <w:rPr>
          <w:spacing w:val="53"/>
          <w:sz w:val="24"/>
        </w:rPr>
        <w:t> </w:t>
      </w:r>
      <w:r>
        <w:rPr>
          <w:sz w:val="24"/>
        </w:rPr>
        <w:t>Health</w:t>
      </w:r>
      <w:r>
        <w:rPr>
          <w:spacing w:val="-57"/>
          <w:sz w:val="24"/>
        </w:rPr>
        <w:t> </w:t>
      </w:r>
      <w:r>
        <w:rPr>
          <w:sz w:val="24"/>
        </w:rPr>
        <w:t>Organization</w:t>
      </w:r>
    </w:p>
    <w:p>
      <w:pPr>
        <w:pStyle w:val="BodyText"/>
        <w:spacing w:line="566" w:lineRule="exact" w:before="49"/>
        <w:ind w:left="312" w:right="697"/>
      </w:pPr>
      <w:r>
        <w:rPr/>
        <w:t>World Health Organization. (2017). World Malaria Report 2015. Geneva, Switzerland.</w:t>
      </w:r>
      <w:r>
        <w:rPr>
          <w:spacing w:val="1"/>
        </w:rPr>
        <w:t> </w:t>
      </w:r>
      <w:r>
        <w:rPr/>
        <w:t>Wu,</w:t>
      </w:r>
      <w:r>
        <w:rPr>
          <w:spacing w:val="10"/>
        </w:rPr>
        <w:t> </w:t>
      </w:r>
      <w:r>
        <w:rPr/>
        <w:t>X.,</w:t>
      </w:r>
      <w:r>
        <w:rPr>
          <w:spacing w:val="11"/>
        </w:rPr>
        <w:t> </w:t>
      </w:r>
      <w:r>
        <w:rPr/>
        <w:t>Wilairat,</w:t>
      </w:r>
      <w:r>
        <w:rPr>
          <w:spacing w:val="11"/>
        </w:rPr>
        <w:t> </w:t>
      </w:r>
      <w:r>
        <w:rPr/>
        <w:t>P.,</w:t>
      </w:r>
      <w:r>
        <w:rPr>
          <w:spacing w:val="11"/>
        </w:rPr>
        <w:t> </w:t>
      </w:r>
      <w:r>
        <w:rPr/>
        <w:t>and</w:t>
      </w:r>
      <w:r>
        <w:rPr>
          <w:spacing w:val="8"/>
        </w:rPr>
        <w:t> </w:t>
      </w:r>
      <w:r>
        <w:rPr/>
        <w:t>Go,</w:t>
      </w:r>
      <w:r>
        <w:rPr>
          <w:spacing w:val="11"/>
        </w:rPr>
        <w:t> </w:t>
      </w:r>
      <w:r>
        <w:rPr/>
        <w:t>M.</w:t>
      </w:r>
      <w:r>
        <w:rPr>
          <w:spacing w:val="7"/>
        </w:rPr>
        <w:t> </w:t>
      </w:r>
      <w:r>
        <w:rPr/>
        <w:t>L.</w:t>
      </w:r>
      <w:r>
        <w:rPr>
          <w:spacing w:val="11"/>
        </w:rPr>
        <w:t> </w:t>
      </w:r>
      <w:r>
        <w:rPr/>
        <w:t>(2002).</w:t>
      </w:r>
      <w:r>
        <w:rPr>
          <w:spacing w:val="11"/>
        </w:rPr>
        <w:t> </w:t>
      </w:r>
      <w:r>
        <w:rPr/>
        <w:t>Antimalarial</w:t>
      </w:r>
      <w:r>
        <w:rPr>
          <w:spacing w:val="5"/>
        </w:rPr>
        <w:t> </w:t>
      </w:r>
      <w:r>
        <w:rPr/>
        <w:t>activity of</w:t>
      </w:r>
      <w:r>
        <w:rPr>
          <w:spacing w:val="6"/>
        </w:rPr>
        <w:t> </w:t>
      </w:r>
      <w:r>
        <w:rPr/>
        <w:t>ferrocenyl</w:t>
      </w:r>
      <w:r>
        <w:rPr>
          <w:spacing w:val="8"/>
        </w:rPr>
        <w:t> </w:t>
      </w:r>
      <w:r>
        <w:rPr/>
        <w:t>chalcones.</w:t>
      </w:r>
    </w:p>
    <w:p>
      <w:pPr>
        <w:spacing w:line="213" w:lineRule="exact" w:before="0"/>
        <w:ind w:left="1033" w:right="0" w:firstLine="0"/>
        <w:jc w:val="left"/>
        <w:rPr>
          <w:sz w:val="24"/>
        </w:rPr>
      </w:pPr>
      <w:r>
        <w:rPr>
          <w:i/>
          <w:sz w:val="24"/>
        </w:rPr>
        <w:t>Bioorganic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Medicinal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Chemistry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Letters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12</w:t>
      </w:r>
      <w:r>
        <w:rPr>
          <w:sz w:val="24"/>
        </w:rPr>
        <w:t>(17),2299-2302.</w:t>
      </w:r>
    </w:p>
    <w:p>
      <w:pPr>
        <w:pStyle w:val="BodyText"/>
        <w:spacing w:before="10"/>
      </w:pPr>
    </w:p>
    <w:p>
      <w:pPr>
        <w:pStyle w:val="BodyText"/>
        <w:ind w:left="312"/>
      </w:pPr>
      <w:hyperlink r:id="rId464">
        <w:r>
          <w:rPr>
            <w:color w:val="0000FF"/>
            <w:u w:val="single" w:color="0000FF"/>
          </w:rPr>
          <w:t>www.nlcbio.com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1033" w:right="704" w:hanging="721"/>
        <w:jc w:val="both"/>
      </w:pPr>
      <w:r>
        <w:rPr/>
        <w:t>Yadav, N., Dixit, S. K., Bhattacharya, A., Mishra, L. C., Sharma, M., Awasthi, S. K., and</w:t>
      </w:r>
      <w:r>
        <w:rPr>
          <w:spacing w:val="1"/>
        </w:rPr>
        <w:t> </w:t>
      </w:r>
      <w:r>
        <w:rPr/>
        <w:t>Bhasin,</w:t>
      </w:r>
      <w:r>
        <w:rPr>
          <w:spacing w:val="1"/>
        </w:rPr>
        <w:t> </w:t>
      </w:r>
      <w:r>
        <w:rPr/>
        <w:t>V.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Antimalarial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newly</w:t>
      </w:r>
      <w:r>
        <w:rPr>
          <w:spacing w:val="1"/>
        </w:rPr>
        <w:t> </w:t>
      </w:r>
      <w:r>
        <w:rPr/>
        <w:t>synthesized</w:t>
      </w:r>
      <w:r>
        <w:rPr>
          <w:spacing w:val="1"/>
        </w:rPr>
        <w:t> </w:t>
      </w:r>
      <w:r>
        <w:rPr/>
        <w:t>chalcone</w:t>
      </w:r>
      <w:r>
        <w:rPr>
          <w:spacing w:val="1"/>
        </w:rPr>
        <w:t> </w:t>
      </w:r>
      <w:r>
        <w:rPr/>
        <w:t>derivatives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vitro.</w:t>
      </w:r>
      <w:r>
        <w:rPr>
          <w:spacing w:val="6"/>
        </w:rPr>
        <w:t> </w:t>
      </w:r>
      <w:r>
        <w:rPr>
          <w:i/>
        </w:rPr>
        <w:t>Chemical</w:t>
      </w:r>
      <w:r>
        <w:rPr>
          <w:i/>
          <w:spacing w:val="-4"/>
        </w:rPr>
        <w:t> </w:t>
      </w:r>
      <w:r>
        <w:rPr>
          <w:i/>
        </w:rPr>
        <w:t>Biology and</w:t>
      </w:r>
      <w:r>
        <w:rPr>
          <w:i/>
          <w:spacing w:val="-4"/>
        </w:rPr>
        <w:t> </w:t>
      </w:r>
      <w:r>
        <w:rPr>
          <w:i/>
        </w:rPr>
        <w:t>Drug</w:t>
      </w:r>
      <w:r>
        <w:rPr>
          <w:i/>
          <w:spacing w:val="1"/>
        </w:rPr>
        <w:t> </w:t>
      </w:r>
      <w:r>
        <w:rPr>
          <w:i/>
        </w:rPr>
        <w:t>Design</w:t>
      </w:r>
      <w:r>
        <w:rPr/>
        <w:t>,</w:t>
      </w:r>
      <w:r>
        <w:rPr>
          <w:spacing w:val="2"/>
        </w:rPr>
        <w:t> </w:t>
      </w:r>
      <w:r>
        <w:rPr>
          <w:i/>
        </w:rPr>
        <w:t>80</w:t>
      </w:r>
      <w:r>
        <w:rPr/>
        <w:t>(2),</w:t>
      </w:r>
      <w:r>
        <w:rPr>
          <w:spacing w:val="3"/>
        </w:rPr>
        <w:t> </w:t>
      </w:r>
      <w:r>
        <w:rPr/>
        <w:t>340-347.</w:t>
      </w:r>
    </w:p>
    <w:p>
      <w:pPr>
        <w:pStyle w:val="BodyText"/>
        <w:rPr>
          <w:sz w:val="26"/>
        </w:rPr>
      </w:pPr>
    </w:p>
    <w:p>
      <w:pPr>
        <w:spacing w:line="240" w:lineRule="auto" w:before="188"/>
        <w:ind w:left="1033" w:right="706" w:hanging="721"/>
        <w:jc w:val="both"/>
        <w:rPr>
          <w:sz w:val="24"/>
        </w:rPr>
      </w:pPr>
      <w:r>
        <w:rPr>
          <w:sz w:val="24"/>
        </w:rPr>
        <w:t>Yanow, S. K., Purcell, L. A., and Spithill, T. W. (2006). The A/T-specific DNA alkylating</w:t>
      </w:r>
      <w:r>
        <w:rPr>
          <w:spacing w:val="-57"/>
          <w:sz w:val="24"/>
        </w:rPr>
        <w:t> </w:t>
      </w:r>
      <w:r>
        <w:rPr>
          <w:sz w:val="24"/>
        </w:rPr>
        <w:t>agent adozelesin inhibits </w:t>
      </w:r>
      <w:r>
        <w:rPr>
          <w:i/>
          <w:sz w:val="24"/>
        </w:rPr>
        <w:t>Plasmodium falciparum </w:t>
      </w:r>
      <w:r>
        <w:rPr>
          <w:sz w:val="24"/>
        </w:rPr>
        <w:t>growth in vitro and protects mice</w:t>
      </w:r>
      <w:r>
        <w:rPr>
          <w:spacing w:val="-57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i/>
          <w:sz w:val="24"/>
        </w:rPr>
        <w:t>Plasmodium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chabaudi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adami</w:t>
      </w:r>
      <w:r>
        <w:rPr>
          <w:i/>
          <w:spacing w:val="1"/>
          <w:sz w:val="24"/>
        </w:rPr>
        <w:t> </w:t>
      </w:r>
      <w:r>
        <w:rPr>
          <w:sz w:val="24"/>
        </w:rPr>
        <w:t>infection.</w:t>
      </w:r>
      <w:r>
        <w:rPr>
          <w:spacing w:val="1"/>
          <w:sz w:val="24"/>
        </w:rPr>
        <w:t> </w:t>
      </w:r>
      <w:r>
        <w:rPr>
          <w:i/>
          <w:sz w:val="24"/>
        </w:rPr>
        <w:t>Molecular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biochemical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parasitology</w:t>
      </w:r>
      <w:r>
        <w:rPr>
          <w:sz w:val="24"/>
        </w:rPr>
        <w:t>,</w:t>
      </w:r>
      <w:r>
        <w:rPr>
          <w:spacing w:val="3"/>
          <w:sz w:val="24"/>
        </w:rPr>
        <w:t> </w:t>
      </w:r>
      <w:r>
        <w:rPr>
          <w:i/>
          <w:sz w:val="24"/>
        </w:rPr>
        <w:t>148</w:t>
      </w:r>
      <w:r>
        <w:rPr>
          <w:sz w:val="24"/>
        </w:rPr>
        <w:t>(1),52-58</w:t>
      </w:r>
    </w:p>
    <w:p>
      <w:pPr>
        <w:spacing w:after="0" w:line="240" w:lineRule="auto"/>
        <w:jc w:val="both"/>
        <w:rPr>
          <w:sz w:val="24"/>
        </w:rPr>
        <w:sectPr>
          <w:headerReference w:type="default" r:id="rId462"/>
          <w:footerReference w:type="default" r:id="rId463"/>
          <w:pgSz w:w="11910" w:h="16840"/>
          <w:pgMar w:header="0" w:footer="2491" w:top="1480" w:bottom="268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Heading1"/>
        <w:spacing w:line="275" w:lineRule="exact" w:before="0"/>
        <w:ind w:left="4092"/>
      </w:pPr>
      <w:r>
        <w:rPr/>
        <w:t>Appendix</w:t>
      </w:r>
      <w:r>
        <w:rPr>
          <w:spacing w:val="-2"/>
        </w:rPr>
        <w:t> </w:t>
      </w:r>
      <w:r>
        <w:rPr/>
        <w:t>1</w:t>
      </w:r>
    </w:p>
    <w:p>
      <w:pPr>
        <w:spacing w:line="242" w:lineRule="auto" w:before="0"/>
        <w:ind w:left="312" w:right="699" w:firstLine="0"/>
        <w:jc w:val="both"/>
        <w:rPr>
          <w:b/>
          <w:sz w:val="24"/>
        </w:rPr>
      </w:pPr>
      <w:r>
        <w:rPr>
          <w:b/>
          <w:sz w:val="24"/>
        </w:rPr>
        <w:t>Effect of compound P1, P2, P3, P4, P8, and P23-P25 on the parasitaemia level of P.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berghei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infected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mice.</w:t>
      </w:r>
    </w:p>
    <w:tbl>
      <w:tblPr>
        <w:tblW w:w="0" w:type="auto"/>
        <w:jc w:val="left"/>
        <w:tblInd w:w="3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49"/>
        <w:gridCol w:w="1579"/>
        <w:gridCol w:w="2442"/>
        <w:gridCol w:w="2784"/>
      </w:tblGrid>
      <w:tr>
        <w:trPr>
          <w:trHeight w:val="551" w:hRule="atLeast"/>
        </w:trPr>
        <w:tc>
          <w:tcPr>
            <w:tcW w:w="19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9"/>
              <w:rPr>
                <w:b/>
                <w:sz w:val="24"/>
              </w:rPr>
            </w:pPr>
            <w:r>
              <w:rPr>
                <w:b/>
                <w:sz w:val="24"/>
              </w:rPr>
              <w:t>Treatment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groups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86"/>
              <w:rPr>
                <w:b/>
                <w:sz w:val="24"/>
              </w:rPr>
            </w:pPr>
            <w:r>
              <w:rPr>
                <w:b/>
                <w:sz w:val="24"/>
              </w:rPr>
              <w:t>Dose(mg/kg)</w:t>
            </w:r>
          </w:p>
        </w:tc>
        <w:tc>
          <w:tcPr>
            <w:tcW w:w="244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202"/>
              <w:rPr>
                <w:b/>
                <w:sz w:val="24"/>
              </w:rPr>
            </w:pPr>
            <w:r>
              <w:rPr>
                <w:b/>
                <w:sz w:val="24"/>
              </w:rPr>
              <w:t>Average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parasitemia</w:t>
            </w:r>
          </w:p>
        </w:tc>
        <w:tc>
          <w:tcPr>
            <w:tcW w:w="278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exact"/>
              <w:ind w:left="118"/>
              <w:rPr>
                <w:b/>
                <w:sz w:val="24"/>
              </w:rPr>
            </w:pPr>
            <w:r>
              <w:rPr>
                <w:b/>
                <w:sz w:val="24"/>
              </w:rPr>
              <w:t>Percentage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suppression</w:t>
            </w:r>
          </w:p>
          <w:p>
            <w:pPr>
              <w:pStyle w:val="TableParagraph"/>
              <w:spacing w:line="260" w:lineRule="exact" w:before="2"/>
              <w:ind w:left="118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</w:tr>
      <w:tr>
        <w:trPr>
          <w:trHeight w:val="255" w:hRule="atLeast"/>
        </w:trPr>
        <w:tc>
          <w:tcPr>
            <w:tcW w:w="19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9"/>
              <w:rPr>
                <w:sz w:val="24"/>
              </w:rPr>
            </w:pPr>
            <w:r>
              <w:rPr>
                <w:sz w:val="24"/>
              </w:rPr>
              <w:t>Acacia</w:t>
            </w:r>
          </w:p>
        </w:tc>
        <w:tc>
          <w:tcPr>
            <w:tcW w:w="15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86"/>
              <w:rPr>
                <w:sz w:val="24"/>
              </w:rPr>
            </w:pPr>
            <w:r>
              <w:rPr>
                <w:sz w:val="24"/>
              </w:rPr>
              <w:t>5ml/kg</w:t>
            </w:r>
          </w:p>
        </w:tc>
        <w:tc>
          <w:tcPr>
            <w:tcW w:w="244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202"/>
              <w:rPr>
                <w:sz w:val="24"/>
              </w:rPr>
            </w:pPr>
            <w:r>
              <w:rPr>
                <w:sz w:val="24"/>
              </w:rPr>
              <w:t>22.00±1.50</w:t>
            </w:r>
          </w:p>
        </w:tc>
        <w:tc>
          <w:tcPr>
            <w:tcW w:w="27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5" w:lineRule="exact"/>
              <w:ind w:left="11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CQ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9.34±1.01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57.54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10"/>
              <w:ind w:left="9"/>
              <w:rPr>
                <w:sz w:val="24"/>
              </w:rPr>
            </w:pPr>
            <w:r>
              <w:rPr>
                <w:sz w:val="24"/>
              </w:rPr>
              <w:t>CQ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10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10"/>
              <w:ind w:left="202"/>
              <w:rPr>
                <w:sz w:val="24"/>
              </w:rPr>
            </w:pPr>
            <w:r>
              <w:rPr>
                <w:sz w:val="24"/>
              </w:rPr>
              <w:t>3.20±1.01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10"/>
              <w:ind w:left="118"/>
              <w:rPr>
                <w:sz w:val="24"/>
              </w:rPr>
            </w:pPr>
            <w:r>
              <w:rPr>
                <w:sz w:val="24"/>
              </w:rPr>
              <w:t>85.45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Quinine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2.52±0.41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88.54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ART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7.14±0.85</w:t>
            </w:r>
            <w:r>
              <w:rPr>
                <w:sz w:val="24"/>
                <w:vertAlign w:val="superscript"/>
              </w:rPr>
              <w:t>b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67.54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ART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5.84±0.68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73.45</w:t>
            </w:r>
          </w:p>
        </w:tc>
      </w:tr>
      <w:tr>
        <w:trPr>
          <w:trHeight w:val="304" w:hRule="atLeast"/>
        </w:trPr>
        <w:tc>
          <w:tcPr>
            <w:tcW w:w="1949" w:type="dxa"/>
          </w:tcPr>
          <w:p>
            <w:pPr>
              <w:pStyle w:val="TableParagraph"/>
              <w:spacing w:line="275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ART</w:t>
            </w:r>
          </w:p>
        </w:tc>
        <w:tc>
          <w:tcPr>
            <w:tcW w:w="1579" w:type="dxa"/>
          </w:tcPr>
          <w:p>
            <w:pPr>
              <w:pStyle w:val="TableParagraph"/>
              <w:spacing w:line="275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442" w:type="dxa"/>
          </w:tcPr>
          <w:p>
            <w:pPr>
              <w:pStyle w:val="TableParagraph"/>
              <w:spacing w:line="275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5.06±1.17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75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77.00</w:t>
            </w:r>
          </w:p>
        </w:tc>
      </w:tr>
      <w:tr>
        <w:trPr>
          <w:trHeight w:val="285" w:hRule="atLeast"/>
        </w:trPr>
        <w:tc>
          <w:tcPr>
            <w:tcW w:w="1949" w:type="dxa"/>
          </w:tcPr>
          <w:p>
            <w:pPr>
              <w:pStyle w:val="TableParagraph"/>
              <w:spacing w:line="263" w:lineRule="exact" w:before="2"/>
              <w:ind w:left="9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1579" w:type="dxa"/>
          </w:tcPr>
          <w:p>
            <w:pPr>
              <w:pStyle w:val="TableParagraph"/>
              <w:spacing w:line="263" w:lineRule="exact" w:before="2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63" w:lineRule="exact" w:before="2"/>
              <w:ind w:left="202"/>
              <w:rPr>
                <w:sz w:val="24"/>
              </w:rPr>
            </w:pPr>
            <w:r>
              <w:rPr>
                <w:sz w:val="24"/>
              </w:rPr>
              <w:t>13.05±4.40</w:t>
            </w:r>
          </w:p>
        </w:tc>
        <w:tc>
          <w:tcPr>
            <w:tcW w:w="2784" w:type="dxa"/>
          </w:tcPr>
          <w:p>
            <w:pPr>
              <w:pStyle w:val="TableParagraph"/>
              <w:spacing w:line="263" w:lineRule="exact" w:before="2"/>
              <w:ind w:left="118"/>
              <w:rPr>
                <w:sz w:val="24"/>
              </w:rPr>
            </w:pPr>
            <w:r>
              <w:rPr>
                <w:sz w:val="24"/>
              </w:rPr>
              <w:t>40.68</w:t>
            </w:r>
          </w:p>
        </w:tc>
      </w:tr>
      <w:tr>
        <w:trPr>
          <w:trHeight w:val="257" w:hRule="atLeast"/>
        </w:trPr>
        <w:tc>
          <w:tcPr>
            <w:tcW w:w="1949" w:type="dxa"/>
          </w:tcPr>
          <w:p>
            <w:pPr>
              <w:pStyle w:val="TableParagraph"/>
              <w:spacing w:line="237" w:lineRule="exact"/>
              <w:ind w:left="9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1579" w:type="dxa"/>
          </w:tcPr>
          <w:p>
            <w:pPr>
              <w:pStyle w:val="TableParagraph"/>
              <w:spacing w:line="237" w:lineRule="exact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37" w:lineRule="exact"/>
              <w:ind w:left="202"/>
              <w:rPr>
                <w:sz w:val="24"/>
              </w:rPr>
            </w:pPr>
            <w:r>
              <w:rPr>
                <w:sz w:val="24"/>
              </w:rPr>
              <w:t>14.92±2.29</w:t>
            </w:r>
          </w:p>
        </w:tc>
        <w:tc>
          <w:tcPr>
            <w:tcW w:w="2784" w:type="dxa"/>
          </w:tcPr>
          <w:p>
            <w:pPr>
              <w:pStyle w:val="TableParagraph"/>
              <w:spacing w:line="237" w:lineRule="exact"/>
              <w:ind w:left="118"/>
              <w:rPr>
                <w:sz w:val="24"/>
              </w:rPr>
            </w:pPr>
            <w:r>
              <w:rPr>
                <w:sz w:val="24"/>
              </w:rPr>
              <w:t>32.18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12.34±1.15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43.90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8.28±1.88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62.36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4.60±0.68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79.09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2.00±0.39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90.90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5.74±1.37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73.90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10"/>
              <w:ind w:left="9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10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10"/>
              <w:ind w:left="202"/>
              <w:rPr>
                <w:sz w:val="24"/>
              </w:rPr>
            </w:pPr>
            <w:r>
              <w:rPr>
                <w:sz w:val="24"/>
              </w:rPr>
              <w:t>7.80±1.31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10"/>
              <w:ind w:left="118"/>
              <w:rPr>
                <w:sz w:val="24"/>
              </w:rPr>
            </w:pPr>
            <w:r>
              <w:rPr>
                <w:sz w:val="24"/>
              </w:rPr>
              <w:t>64.54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P3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6.57±3.52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70.15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8.34±2.26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62.09</w:t>
            </w:r>
          </w:p>
        </w:tc>
      </w:tr>
      <w:tr>
        <w:trPr>
          <w:trHeight w:val="304" w:hRule="atLeast"/>
        </w:trPr>
        <w:tc>
          <w:tcPr>
            <w:tcW w:w="1949" w:type="dxa"/>
          </w:tcPr>
          <w:p>
            <w:pPr>
              <w:pStyle w:val="TableParagraph"/>
              <w:spacing w:line="272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579" w:type="dxa"/>
          </w:tcPr>
          <w:p>
            <w:pPr>
              <w:pStyle w:val="TableParagraph"/>
              <w:spacing w:line="272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72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7.22±1.24</w:t>
            </w:r>
            <w:r>
              <w:rPr>
                <w:sz w:val="24"/>
                <w:vertAlign w:val="superscript"/>
              </w:rPr>
              <w:t>b</w:t>
            </w:r>
          </w:p>
        </w:tc>
        <w:tc>
          <w:tcPr>
            <w:tcW w:w="2784" w:type="dxa"/>
          </w:tcPr>
          <w:p>
            <w:pPr>
              <w:pStyle w:val="TableParagraph"/>
              <w:spacing w:line="272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67.18</w:t>
            </w:r>
          </w:p>
        </w:tc>
      </w:tr>
      <w:tr>
        <w:trPr>
          <w:trHeight w:val="285" w:hRule="atLeast"/>
        </w:trPr>
        <w:tc>
          <w:tcPr>
            <w:tcW w:w="1949" w:type="dxa"/>
          </w:tcPr>
          <w:p>
            <w:pPr>
              <w:pStyle w:val="TableParagraph"/>
              <w:spacing w:line="265" w:lineRule="exact"/>
              <w:ind w:left="9"/>
              <w:rPr>
                <w:sz w:val="24"/>
              </w:rPr>
            </w:pPr>
            <w:r>
              <w:rPr>
                <w:sz w:val="24"/>
              </w:rPr>
              <w:t>P4</w:t>
            </w:r>
          </w:p>
        </w:tc>
        <w:tc>
          <w:tcPr>
            <w:tcW w:w="1579" w:type="dxa"/>
          </w:tcPr>
          <w:p>
            <w:pPr>
              <w:pStyle w:val="TableParagraph"/>
              <w:spacing w:line="265" w:lineRule="exact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65" w:lineRule="exact"/>
              <w:ind w:left="202"/>
              <w:rPr>
                <w:sz w:val="24"/>
              </w:rPr>
            </w:pPr>
            <w:r>
              <w:rPr>
                <w:sz w:val="24"/>
              </w:rPr>
              <w:t>10.28±1.00</w:t>
            </w:r>
          </w:p>
        </w:tc>
        <w:tc>
          <w:tcPr>
            <w:tcW w:w="2784" w:type="dxa"/>
          </w:tcPr>
          <w:p>
            <w:pPr>
              <w:pStyle w:val="TableParagraph"/>
              <w:spacing w:line="265" w:lineRule="exact"/>
              <w:ind w:left="118"/>
              <w:rPr>
                <w:sz w:val="24"/>
              </w:rPr>
            </w:pPr>
            <w:r>
              <w:rPr>
                <w:sz w:val="24"/>
              </w:rPr>
              <w:t>53.27</w:t>
            </w:r>
          </w:p>
        </w:tc>
      </w:tr>
      <w:tr>
        <w:trPr>
          <w:trHeight w:val="257" w:hRule="atLeast"/>
        </w:trPr>
        <w:tc>
          <w:tcPr>
            <w:tcW w:w="1949" w:type="dxa"/>
          </w:tcPr>
          <w:p>
            <w:pPr>
              <w:pStyle w:val="TableParagraph"/>
              <w:spacing w:line="237" w:lineRule="exact"/>
              <w:ind w:left="9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579" w:type="dxa"/>
          </w:tcPr>
          <w:p>
            <w:pPr>
              <w:pStyle w:val="TableParagraph"/>
              <w:spacing w:line="237" w:lineRule="exact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37" w:lineRule="exact"/>
              <w:ind w:left="202"/>
              <w:rPr>
                <w:sz w:val="24"/>
              </w:rPr>
            </w:pPr>
            <w:r>
              <w:rPr>
                <w:sz w:val="24"/>
              </w:rPr>
              <w:t>10.76±3.12</w:t>
            </w:r>
          </w:p>
        </w:tc>
        <w:tc>
          <w:tcPr>
            <w:tcW w:w="2784" w:type="dxa"/>
          </w:tcPr>
          <w:p>
            <w:pPr>
              <w:pStyle w:val="TableParagraph"/>
              <w:spacing w:line="237" w:lineRule="exact"/>
              <w:ind w:left="118"/>
              <w:rPr>
                <w:sz w:val="24"/>
              </w:rPr>
            </w:pPr>
            <w:r>
              <w:rPr>
                <w:sz w:val="24"/>
              </w:rPr>
              <w:t>51.09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10"/>
              <w:ind w:left="9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10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10"/>
              <w:ind w:left="202"/>
              <w:rPr>
                <w:sz w:val="24"/>
              </w:rPr>
            </w:pPr>
            <w:r>
              <w:rPr>
                <w:sz w:val="24"/>
              </w:rPr>
              <w:t>6.52±2.25</w:t>
            </w:r>
            <w:r>
              <w:rPr>
                <w:sz w:val="24"/>
                <w:vertAlign w:val="superscript"/>
              </w:rPr>
              <w:t>b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10"/>
              <w:ind w:left="118"/>
              <w:rPr>
                <w:sz w:val="24"/>
              </w:rPr>
            </w:pPr>
            <w:r>
              <w:rPr>
                <w:sz w:val="24"/>
              </w:rPr>
              <w:t>70.36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44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579" w:type="dxa"/>
          </w:tcPr>
          <w:p>
            <w:pPr>
              <w:pStyle w:val="TableParagraph"/>
              <w:spacing w:line="244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44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4.93±0.83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4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77.61</w:t>
            </w:r>
          </w:p>
        </w:tc>
      </w:tr>
      <w:tr>
        <w:trPr>
          <w:trHeight w:val="304" w:hRule="atLeast"/>
        </w:trPr>
        <w:tc>
          <w:tcPr>
            <w:tcW w:w="1949" w:type="dxa"/>
          </w:tcPr>
          <w:p>
            <w:pPr>
              <w:pStyle w:val="TableParagraph"/>
              <w:spacing w:line="275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1579" w:type="dxa"/>
          </w:tcPr>
          <w:p>
            <w:pPr>
              <w:pStyle w:val="TableParagraph"/>
              <w:spacing w:line="275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75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9.70±1.98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2784" w:type="dxa"/>
          </w:tcPr>
          <w:p>
            <w:pPr>
              <w:pStyle w:val="TableParagraph"/>
              <w:spacing w:line="275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55.90</w:t>
            </w:r>
          </w:p>
        </w:tc>
      </w:tr>
      <w:tr>
        <w:trPr>
          <w:trHeight w:val="285" w:hRule="atLeast"/>
        </w:trPr>
        <w:tc>
          <w:tcPr>
            <w:tcW w:w="1949" w:type="dxa"/>
          </w:tcPr>
          <w:p>
            <w:pPr>
              <w:pStyle w:val="TableParagraph"/>
              <w:spacing w:line="263" w:lineRule="exact" w:before="2"/>
              <w:ind w:left="9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1579" w:type="dxa"/>
          </w:tcPr>
          <w:p>
            <w:pPr>
              <w:pStyle w:val="TableParagraph"/>
              <w:spacing w:line="263" w:lineRule="exact" w:before="2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63" w:lineRule="exact" w:before="2"/>
              <w:ind w:left="202"/>
              <w:rPr>
                <w:sz w:val="24"/>
              </w:rPr>
            </w:pPr>
            <w:r>
              <w:rPr>
                <w:sz w:val="24"/>
              </w:rPr>
              <w:t>12.84±2.73</w:t>
            </w:r>
          </w:p>
        </w:tc>
        <w:tc>
          <w:tcPr>
            <w:tcW w:w="2784" w:type="dxa"/>
          </w:tcPr>
          <w:p>
            <w:pPr>
              <w:pStyle w:val="TableParagraph"/>
              <w:spacing w:line="263" w:lineRule="exact" w:before="2"/>
              <w:ind w:left="118"/>
              <w:rPr>
                <w:sz w:val="24"/>
              </w:rPr>
            </w:pPr>
            <w:r>
              <w:rPr>
                <w:sz w:val="24"/>
              </w:rPr>
              <w:t>41.63</w:t>
            </w:r>
          </w:p>
        </w:tc>
      </w:tr>
      <w:tr>
        <w:trPr>
          <w:trHeight w:val="275" w:hRule="atLeast"/>
        </w:trPr>
        <w:tc>
          <w:tcPr>
            <w:tcW w:w="1949" w:type="dxa"/>
          </w:tcPr>
          <w:p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1579" w:type="dxa"/>
          </w:tcPr>
          <w:p>
            <w:pPr>
              <w:pStyle w:val="TableParagraph"/>
              <w:spacing w:line="256" w:lineRule="exact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56" w:lineRule="exact"/>
              <w:ind w:left="202"/>
              <w:rPr>
                <w:sz w:val="24"/>
              </w:rPr>
            </w:pPr>
            <w:r>
              <w:rPr>
                <w:sz w:val="24"/>
              </w:rPr>
              <w:t>29.44±5.13</w:t>
            </w:r>
          </w:p>
        </w:tc>
        <w:tc>
          <w:tcPr>
            <w:tcW w:w="2784" w:type="dxa"/>
          </w:tcPr>
          <w:p>
            <w:pPr>
              <w:pStyle w:val="TableParagraph"/>
              <w:spacing w:line="256" w:lineRule="exact"/>
              <w:ind w:left="118"/>
              <w:rPr>
                <w:sz w:val="24"/>
              </w:rPr>
            </w:pPr>
            <w:r>
              <w:rPr>
                <w:sz w:val="24"/>
              </w:rPr>
              <w:t>-33.81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1579" w:type="dxa"/>
          </w:tcPr>
          <w:p>
            <w:pPr>
              <w:pStyle w:val="TableParagraph"/>
              <w:spacing w:line="256" w:lineRule="exact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56" w:lineRule="exact"/>
              <w:ind w:left="202"/>
              <w:rPr>
                <w:sz w:val="24"/>
              </w:rPr>
            </w:pPr>
            <w:r>
              <w:rPr>
                <w:sz w:val="24"/>
              </w:rPr>
              <w:t>14.32±4.92</w:t>
            </w:r>
          </w:p>
        </w:tc>
        <w:tc>
          <w:tcPr>
            <w:tcW w:w="2784" w:type="dxa"/>
          </w:tcPr>
          <w:p>
            <w:pPr>
              <w:pStyle w:val="TableParagraph"/>
              <w:spacing w:line="256" w:lineRule="exact"/>
              <w:ind w:left="118"/>
              <w:rPr>
                <w:sz w:val="24"/>
              </w:rPr>
            </w:pPr>
            <w:r>
              <w:rPr>
                <w:sz w:val="24"/>
              </w:rPr>
              <w:t>34.90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56" w:lineRule="exact"/>
              <w:ind w:left="9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1579" w:type="dxa"/>
          </w:tcPr>
          <w:p>
            <w:pPr>
              <w:pStyle w:val="TableParagraph"/>
              <w:spacing w:line="256" w:lineRule="exact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56" w:lineRule="exact"/>
              <w:ind w:left="202"/>
              <w:rPr>
                <w:sz w:val="24"/>
              </w:rPr>
            </w:pPr>
            <w:r>
              <w:rPr>
                <w:sz w:val="24"/>
              </w:rPr>
              <w:t>15.04±2.11</w:t>
            </w:r>
          </w:p>
        </w:tc>
        <w:tc>
          <w:tcPr>
            <w:tcW w:w="2784" w:type="dxa"/>
          </w:tcPr>
          <w:p>
            <w:pPr>
              <w:pStyle w:val="TableParagraph"/>
              <w:spacing w:line="256" w:lineRule="exact"/>
              <w:ind w:left="118"/>
              <w:rPr>
                <w:sz w:val="24"/>
              </w:rPr>
            </w:pPr>
            <w:r>
              <w:rPr>
                <w:sz w:val="24"/>
              </w:rPr>
              <w:t>31.63</w:t>
            </w:r>
          </w:p>
        </w:tc>
      </w:tr>
      <w:tr>
        <w:trPr>
          <w:trHeight w:val="257" w:hRule="atLeast"/>
        </w:trPr>
        <w:tc>
          <w:tcPr>
            <w:tcW w:w="1949" w:type="dxa"/>
          </w:tcPr>
          <w:p>
            <w:pPr>
              <w:pStyle w:val="TableParagraph"/>
              <w:spacing w:line="237" w:lineRule="exact"/>
              <w:ind w:left="9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1579" w:type="dxa"/>
          </w:tcPr>
          <w:p>
            <w:pPr>
              <w:pStyle w:val="TableParagraph"/>
              <w:spacing w:line="237" w:lineRule="exact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</w:tcPr>
          <w:p>
            <w:pPr>
              <w:pStyle w:val="TableParagraph"/>
              <w:spacing w:line="237" w:lineRule="exact"/>
              <w:ind w:left="202"/>
              <w:rPr>
                <w:sz w:val="24"/>
              </w:rPr>
            </w:pPr>
            <w:r>
              <w:rPr>
                <w:sz w:val="24"/>
              </w:rPr>
              <w:t>29.12±3.42</w:t>
            </w:r>
          </w:p>
        </w:tc>
        <w:tc>
          <w:tcPr>
            <w:tcW w:w="2784" w:type="dxa"/>
          </w:tcPr>
          <w:p>
            <w:pPr>
              <w:pStyle w:val="TableParagraph"/>
              <w:spacing w:line="237" w:lineRule="exact"/>
              <w:ind w:left="118"/>
              <w:rPr>
                <w:sz w:val="24"/>
              </w:rPr>
            </w:pPr>
            <w:r>
              <w:rPr>
                <w:sz w:val="24"/>
              </w:rPr>
              <w:t>-32.36</w:t>
            </w:r>
          </w:p>
        </w:tc>
      </w:tr>
      <w:tr>
        <w:trPr>
          <w:trHeight w:val="276" w:hRule="atLeast"/>
        </w:trPr>
        <w:tc>
          <w:tcPr>
            <w:tcW w:w="1949" w:type="dxa"/>
          </w:tcPr>
          <w:p>
            <w:pPr>
              <w:pStyle w:val="TableParagraph"/>
              <w:spacing w:line="246" w:lineRule="exact" w:before="9"/>
              <w:ind w:left="9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579" w:type="dxa"/>
          </w:tcPr>
          <w:p>
            <w:pPr>
              <w:pStyle w:val="TableParagraph"/>
              <w:spacing w:line="246" w:lineRule="exact" w:before="9"/>
              <w:ind w:left="86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2" w:type="dxa"/>
          </w:tcPr>
          <w:p>
            <w:pPr>
              <w:pStyle w:val="TableParagraph"/>
              <w:spacing w:line="246" w:lineRule="exact" w:before="9"/>
              <w:ind w:left="202"/>
              <w:rPr>
                <w:sz w:val="24"/>
              </w:rPr>
            </w:pPr>
            <w:r>
              <w:rPr>
                <w:sz w:val="24"/>
              </w:rPr>
              <w:t>6.08±2.10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46" w:lineRule="exact" w:before="9"/>
              <w:ind w:left="118"/>
              <w:rPr>
                <w:sz w:val="24"/>
              </w:rPr>
            </w:pPr>
            <w:r>
              <w:rPr>
                <w:sz w:val="24"/>
              </w:rPr>
              <w:t>72.36</w:t>
            </w:r>
          </w:p>
        </w:tc>
      </w:tr>
      <w:tr>
        <w:trPr>
          <w:trHeight w:val="304" w:hRule="atLeast"/>
        </w:trPr>
        <w:tc>
          <w:tcPr>
            <w:tcW w:w="1949" w:type="dxa"/>
          </w:tcPr>
          <w:p>
            <w:pPr>
              <w:pStyle w:val="TableParagraph"/>
              <w:spacing w:line="272" w:lineRule="exact" w:before="12"/>
              <w:ind w:left="9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579" w:type="dxa"/>
          </w:tcPr>
          <w:p>
            <w:pPr>
              <w:pStyle w:val="TableParagraph"/>
              <w:spacing w:line="272" w:lineRule="exact" w:before="12"/>
              <w:ind w:left="86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442" w:type="dxa"/>
          </w:tcPr>
          <w:p>
            <w:pPr>
              <w:pStyle w:val="TableParagraph"/>
              <w:spacing w:line="272" w:lineRule="exact" w:before="12"/>
              <w:ind w:left="202"/>
              <w:rPr>
                <w:sz w:val="24"/>
              </w:rPr>
            </w:pPr>
            <w:r>
              <w:rPr>
                <w:sz w:val="24"/>
              </w:rPr>
              <w:t>6.80±1.07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2784" w:type="dxa"/>
          </w:tcPr>
          <w:p>
            <w:pPr>
              <w:pStyle w:val="TableParagraph"/>
              <w:spacing w:line="272" w:lineRule="exact" w:before="12"/>
              <w:ind w:left="118"/>
              <w:rPr>
                <w:sz w:val="24"/>
              </w:rPr>
            </w:pPr>
            <w:r>
              <w:rPr>
                <w:sz w:val="24"/>
              </w:rPr>
              <w:t>69.09</w:t>
            </w:r>
          </w:p>
        </w:tc>
      </w:tr>
      <w:tr>
        <w:trPr>
          <w:trHeight w:val="294" w:hRule="atLeast"/>
        </w:trPr>
        <w:tc>
          <w:tcPr>
            <w:tcW w:w="19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4" w:lineRule="exact"/>
              <w:ind w:left="9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5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4" w:lineRule="exact"/>
              <w:ind w:left="86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44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4" w:lineRule="exact"/>
              <w:ind w:left="202"/>
              <w:rPr>
                <w:sz w:val="24"/>
              </w:rPr>
            </w:pPr>
            <w:r>
              <w:rPr>
                <w:sz w:val="24"/>
              </w:rPr>
              <w:t>11.05±2.39</w:t>
            </w:r>
          </w:p>
        </w:tc>
        <w:tc>
          <w:tcPr>
            <w:tcW w:w="278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4" w:lineRule="exact"/>
              <w:ind w:left="118"/>
              <w:rPr>
                <w:sz w:val="24"/>
              </w:rPr>
            </w:pPr>
            <w:r>
              <w:rPr>
                <w:sz w:val="24"/>
              </w:rPr>
              <w:t>49.77</w:t>
            </w:r>
          </w:p>
        </w:tc>
      </w:tr>
    </w:tbl>
    <w:p>
      <w:pPr>
        <w:pStyle w:val="BodyText"/>
        <w:spacing w:line="480" w:lineRule="auto"/>
        <w:ind w:left="312" w:right="702"/>
        <w:jc w:val="both"/>
      </w:pPr>
      <w:r>
        <w:rPr/>
        <w:t>Values are presented as Mean ± SEM; Data analyzed by one way ANOVA followed by</w:t>
      </w:r>
      <w:r>
        <w:rPr>
          <w:spacing w:val="1"/>
        </w:rPr>
        <w:t> </w:t>
      </w:r>
      <w:r>
        <w:rPr/>
        <w:t>Bonferroni</w:t>
      </w:r>
      <w:r>
        <w:rPr>
          <w:spacing w:val="1"/>
        </w:rPr>
        <w:t> </w:t>
      </w:r>
      <w:r>
        <w:rPr/>
        <w:t>‗s</w:t>
      </w:r>
      <w:r>
        <w:rPr>
          <w:spacing w:val="1"/>
        </w:rPr>
        <w:t> </w:t>
      </w:r>
      <w:r>
        <w:rPr/>
        <w:t>post-hoc</w:t>
      </w:r>
      <w:r>
        <w:rPr>
          <w:spacing w:val="1"/>
        </w:rPr>
        <w:t> </w:t>
      </w:r>
      <w:r>
        <w:rPr/>
        <w:t>test;</w:t>
      </w:r>
      <w:r>
        <w:rPr>
          <w:spacing w:val="1"/>
        </w:rPr>
        <w:t> </w:t>
      </w:r>
      <w:r>
        <w:rPr/>
        <w:t>n=5</w:t>
      </w:r>
      <w:r>
        <w:rPr>
          <w:spacing w:val="1"/>
        </w:rPr>
        <w:t> </w:t>
      </w:r>
      <w:r>
        <w:rPr/>
        <w:t>a=</w:t>
      </w:r>
      <w:r>
        <w:rPr>
          <w:i/>
        </w:rPr>
        <w:t>p˂</w:t>
      </w:r>
      <w:r>
        <w:rPr/>
        <w:t>0.05,</w:t>
      </w:r>
      <w:r>
        <w:rPr>
          <w:spacing w:val="1"/>
        </w:rPr>
        <w:t> </w:t>
      </w:r>
      <w:r>
        <w:rPr/>
        <w:t>b=</w:t>
      </w:r>
      <w:r>
        <w:rPr>
          <w:i/>
        </w:rPr>
        <w:t>p˂</w:t>
      </w:r>
      <w:r>
        <w:rPr/>
        <w:t>0.01,</w:t>
      </w:r>
      <w:r>
        <w:rPr>
          <w:spacing w:val="1"/>
        </w:rPr>
        <w:t> </w:t>
      </w:r>
      <w:r>
        <w:rPr/>
        <w:t>c=</w:t>
      </w:r>
      <w:r>
        <w:rPr>
          <w:i/>
        </w:rPr>
        <w:t>p˂</w:t>
      </w:r>
      <w:r>
        <w:rPr/>
        <w:t>0.001</w:t>
      </w:r>
      <w:r>
        <w:rPr>
          <w:spacing w:val="1"/>
        </w:rPr>
        <w:t> </w:t>
      </w:r>
      <w:r>
        <w:rPr/>
        <w:t>versus</w:t>
      </w:r>
      <w:r>
        <w:rPr>
          <w:spacing w:val="1"/>
        </w:rPr>
        <w:t> </w:t>
      </w:r>
      <w:r>
        <w:rPr/>
        <w:t>control;</w:t>
      </w:r>
      <w:r>
        <w:rPr>
          <w:spacing w:val="1"/>
        </w:rPr>
        <w:t> </w:t>
      </w:r>
      <w:r>
        <w:rPr/>
        <w:t>CLQ=chloroquine,</w:t>
      </w:r>
      <w:r>
        <w:rPr>
          <w:spacing w:val="2"/>
        </w:rPr>
        <w:t> </w:t>
      </w:r>
      <w:r>
        <w:rPr/>
        <w:t>ART= arthemeter,</w:t>
      </w:r>
      <w:r>
        <w:rPr>
          <w:spacing w:val="-3"/>
        </w:rPr>
        <w:t> </w:t>
      </w:r>
      <w:r>
        <w:rPr/>
        <w:t>QUIN=</w:t>
      </w:r>
      <w:r>
        <w:rPr>
          <w:spacing w:val="-1"/>
        </w:rPr>
        <w:t> </w:t>
      </w:r>
      <w:r>
        <w:rPr/>
        <w:t>quinine;</w:t>
      </w:r>
      <w:r>
        <w:rPr>
          <w:spacing w:val="-4"/>
        </w:rPr>
        <w:t> </w:t>
      </w:r>
      <w:r>
        <w:rPr/>
        <w:t>Route</w:t>
      </w:r>
      <w:r>
        <w:rPr>
          <w:spacing w:val="-10"/>
        </w:rPr>
        <w:t> </w:t>
      </w:r>
      <w:r>
        <w:rPr/>
        <w:t>of</w:t>
      </w:r>
      <w:r>
        <w:rPr>
          <w:spacing w:val="-7"/>
        </w:rPr>
        <w:t> </w:t>
      </w:r>
      <w:r>
        <w:rPr/>
        <w:t>administration=ip</w:t>
      </w:r>
    </w:p>
    <w:p>
      <w:pPr>
        <w:spacing w:after="0" w:line="480" w:lineRule="auto"/>
        <w:jc w:val="both"/>
        <w:sectPr>
          <w:headerReference w:type="default" r:id="rId465"/>
          <w:footerReference w:type="default" r:id="rId466"/>
          <w:pgSz w:w="11910" w:h="16840"/>
          <w:pgMar w:header="1303" w:footer="2491" w:top="1560" w:bottom="2680" w:left="1560" w:right="600"/>
        </w:sectPr>
      </w:pPr>
    </w:p>
    <w:p>
      <w:pPr>
        <w:pStyle w:val="Heading1"/>
        <w:spacing w:line="242" w:lineRule="auto" w:before="0"/>
        <w:ind w:right="700"/>
        <w:jc w:val="both"/>
      </w:pP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compound</w:t>
      </w:r>
      <w:r>
        <w:rPr>
          <w:spacing w:val="1"/>
        </w:rPr>
        <w:t> </w:t>
      </w:r>
      <w:r>
        <w:rPr/>
        <w:t>P11,</w:t>
      </w:r>
      <w:r>
        <w:rPr>
          <w:spacing w:val="1"/>
        </w:rPr>
        <w:t> </w:t>
      </w:r>
      <w:r>
        <w:rPr/>
        <w:t>P12,</w:t>
      </w:r>
      <w:r>
        <w:rPr>
          <w:spacing w:val="1"/>
        </w:rPr>
        <w:t> </w:t>
      </w:r>
      <w:r>
        <w:rPr/>
        <w:t>P13,</w:t>
      </w:r>
      <w:r>
        <w:rPr>
          <w:spacing w:val="1"/>
        </w:rPr>
        <w:t> </w:t>
      </w:r>
      <w:r>
        <w:rPr/>
        <w:t>P15,</w:t>
      </w:r>
      <w:r>
        <w:rPr>
          <w:spacing w:val="1"/>
        </w:rPr>
        <w:t> </w:t>
      </w:r>
      <w:r>
        <w:rPr/>
        <w:t>P16,</w:t>
      </w:r>
      <w:r>
        <w:rPr>
          <w:spacing w:val="1"/>
        </w:rPr>
        <w:t> </w:t>
      </w:r>
      <w:r>
        <w:rPr/>
        <w:t>P17,</w:t>
      </w:r>
      <w:r>
        <w:rPr>
          <w:spacing w:val="1"/>
        </w:rPr>
        <w:t> </w:t>
      </w:r>
      <w:r>
        <w:rPr/>
        <w:t>P19,</w:t>
      </w:r>
      <w:r>
        <w:rPr>
          <w:spacing w:val="1"/>
        </w:rPr>
        <w:t> </w:t>
      </w:r>
      <w:r>
        <w:rPr/>
        <w:t>P21and,</w:t>
      </w:r>
      <w:r>
        <w:rPr>
          <w:spacing w:val="1"/>
        </w:rPr>
        <w:t> </w:t>
      </w:r>
      <w:r>
        <w:rPr/>
        <w:t>P22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parasitaemia</w:t>
      </w:r>
      <w:r>
        <w:rPr>
          <w:spacing w:val="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>
          <w:i/>
        </w:rPr>
        <w:t>P.</w:t>
      </w:r>
      <w:r>
        <w:rPr>
          <w:i/>
          <w:spacing w:val="4"/>
        </w:rPr>
        <w:t> </w:t>
      </w:r>
      <w:r>
        <w:rPr>
          <w:i/>
        </w:rPr>
        <w:t>berghei</w:t>
      </w:r>
      <w:r>
        <w:rPr>
          <w:i/>
          <w:spacing w:val="4"/>
        </w:rPr>
        <w:t> </w:t>
      </w:r>
      <w:r>
        <w:rPr/>
        <w:t>infected</w:t>
      </w:r>
      <w:r>
        <w:rPr>
          <w:spacing w:val="1"/>
        </w:rPr>
        <w:t> </w:t>
      </w:r>
      <w:r>
        <w:rPr/>
        <w:t>mice.</w:t>
      </w: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1"/>
        <w:gridCol w:w="1637"/>
        <w:gridCol w:w="1728"/>
        <w:gridCol w:w="3462"/>
      </w:tblGrid>
      <w:tr>
        <w:trPr>
          <w:trHeight w:val="557" w:hRule="atLeast"/>
        </w:trPr>
        <w:tc>
          <w:tcPr>
            <w:tcW w:w="215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spacing w:line="266" w:lineRule="exact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Treatment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groups</w:t>
            </w:r>
          </w:p>
        </w:tc>
        <w:tc>
          <w:tcPr>
            <w:tcW w:w="163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spacing w:line="266" w:lineRule="exact"/>
              <w:ind w:left="177"/>
              <w:rPr>
                <w:b/>
                <w:sz w:val="24"/>
              </w:rPr>
            </w:pPr>
            <w:r>
              <w:rPr>
                <w:b/>
                <w:sz w:val="24"/>
              </w:rPr>
              <w:t>Dose(mg/kg)</w:t>
            </w:r>
          </w:p>
        </w:tc>
        <w:tc>
          <w:tcPr>
            <w:tcW w:w="172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4" w:lineRule="exact"/>
              <w:ind w:left="168" w:right="337" w:firstLine="177"/>
              <w:rPr>
                <w:b/>
                <w:sz w:val="24"/>
              </w:rPr>
            </w:pPr>
            <w:r>
              <w:rPr>
                <w:b/>
                <w:sz w:val="24"/>
              </w:rPr>
              <w:t>Average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parasitemia</w:t>
            </w:r>
          </w:p>
        </w:tc>
        <w:tc>
          <w:tcPr>
            <w:tcW w:w="346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spacing w:line="266" w:lineRule="exact"/>
              <w:ind w:left="471"/>
              <w:rPr>
                <w:b/>
                <w:sz w:val="24"/>
              </w:rPr>
            </w:pPr>
            <w:r>
              <w:rPr>
                <w:b/>
                <w:sz w:val="24"/>
              </w:rPr>
              <w:t>Percentage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suppression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(%)</w:t>
            </w:r>
          </w:p>
        </w:tc>
      </w:tr>
      <w:tr>
        <w:trPr>
          <w:trHeight w:val="294" w:hRule="atLeast"/>
        </w:trPr>
        <w:tc>
          <w:tcPr>
            <w:tcW w:w="215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 w:before="25"/>
              <w:ind w:left="119"/>
              <w:rPr>
                <w:sz w:val="24"/>
              </w:rPr>
            </w:pPr>
            <w:r>
              <w:rPr>
                <w:sz w:val="24"/>
              </w:rPr>
              <w:t>Acacia</w:t>
            </w:r>
          </w:p>
        </w:tc>
        <w:tc>
          <w:tcPr>
            <w:tcW w:w="163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 w:before="25"/>
              <w:ind w:left="177"/>
              <w:rPr>
                <w:sz w:val="24"/>
              </w:rPr>
            </w:pPr>
            <w:r>
              <w:rPr>
                <w:sz w:val="24"/>
              </w:rPr>
              <w:t>10ml/kg</w:t>
            </w:r>
          </w:p>
        </w:tc>
        <w:tc>
          <w:tcPr>
            <w:tcW w:w="172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8" w:lineRule="exact" w:before="6"/>
              <w:ind w:left="168"/>
              <w:rPr>
                <w:sz w:val="24"/>
              </w:rPr>
            </w:pPr>
            <w:r>
              <w:rPr>
                <w:sz w:val="24"/>
              </w:rPr>
              <w:t>28.65±0.95</w:t>
            </w:r>
          </w:p>
        </w:tc>
        <w:tc>
          <w:tcPr>
            <w:tcW w:w="34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9" w:lineRule="exact" w:before="25"/>
              <w:ind w:left="34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99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Chloroquine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9"/>
              <w:ind w:left="168"/>
              <w:rPr>
                <w:sz w:val="24"/>
              </w:rPr>
            </w:pPr>
            <w:r>
              <w:rPr>
                <w:sz w:val="24"/>
              </w:rPr>
              <w:t>2.33±0.88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91.85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8.98±1.42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68.65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5.00±0.95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72.54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4.93±0.57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72.78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9"/>
              <w:ind w:left="168"/>
              <w:rPr>
                <w:sz w:val="24"/>
              </w:rPr>
            </w:pPr>
            <w:r>
              <w:rPr>
                <w:sz w:val="24"/>
              </w:rPr>
              <w:t>9.58±2.93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66.56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4.10±1.95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85.68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3.03±1.23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89.44</w:t>
            </w:r>
          </w:p>
        </w:tc>
      </w:tr>
      <w:tr>
        <w:trPr>
          <w:trHeight w:val="323" w:hRule="atLeast"/>
        </w:trPr>
        <w:tc>
          <w:tcPr>
            <w:tcW w:w="2151" w:type="dxa"/>
          </w:tcPr>
          <w:p>
            <w:pPr>
              <w:pStyle w:val="TableParagraph"/>
              <w:spacing w:line="272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1637" w:type="dxa"/>
          </w:tcPr>
          <w:p>
            <w:pPr>
              <w:pStyle w:val="TableParagraph"/>
              <w:spacing w:line="272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28" w:type="dxa"/>
          </w:tcPr>
          <w:p>
            <w:pPr>
              <w:pStyle w:val="TableParagraph"/>
              <w:spacing w:before="17"/>
              <w:ind w:left="168"/>
              <w:rPr>
                <w:sz w:val="24"/>
              </w:rPr>
            </w:pPr>
            <w:r>
              <w:rPr>
                <w:sz w:val="24"/>
              </w:rPr>
              <w:t>16.40±0.40</w:t>
            </w:r>
            <w:r>
              <w:rPr>
                <w:sz w:val="24"/>
                <w:vertAlign w:val="superscript"/>
              </w:rPr>
              <w:t>a</w:t>
            </w:r>
          </w:p>
        </w:tc>
        <w:tc>
          <w:tcPr>
            <w:tcW w:w="3462" w:type="dxa"/>
          </w:tcPr>
          <w:p>
            <w:pPr>
              <w:pStyle w:val="TableParagraph"/>
              <w:spacing w:line="272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42.75</w:t>
            </w:r>
          </w:p>
        </w:tc>
      </w:tr>
      <w:tr>
        <w:trPr>
          <w:trHeight w:val="297" w:hRule="atLeast"/>
        </w:trPr>
        <w:tc>
          <w:tcPr>
            <w:tcW w:w="2151" w:type="dxa"/>
          </w:tcPr>
          <w:p>
            <w:pPr>
              <w:pStyle w:val="TableParagraph"/>
              <w:spacing w:line="272" w:lineRule="exact" w:before="6"/>
              <w:ind w:left="119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1637" w:type="dxa"/>
          </w:tcPr>
          <w:p>
            <w:pPr>
              <w:pStyle w:val="TableParagraph"/>
              <w:spacing w:line="272" w:lineRule="exact" w:before="6"/>
              <w:ind w:left="17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728" w:type="dxa"/>
          </w:tcPr>
          <w:p>
            <w:pPr>
              <w:pStyle w:val="TableParagraph"/>
              <w:spacing w:line="272" w:lineRule="exact"/>
              <w:ind w:left="168"/>
              <w:rPr>
                <w:sz w:val="24"/>
              </w:rPr>
            </w:pPr>
            <w:r>
              <w:rPr>
                <w:sz w:val="24"/>
              </w:rPr>
              <w:t>17.40±0.40</w:t>
            </w:r>
          </w:p>
        </w:tc>
        <w:tc>
          <w:tcPr>
            <w:tcW w:w="3462" w:type="dxa"/>
          </w:tcPr>
          <w:p>
            <w:pPr>
              <w:pStyle w:val="TableParagraph"/>
              <w:spacing w:line="272" w:lineRule="exact" w:before="6"/>
              <w:ind w:left="346"/>
              <w:rPr>
                <w:sz w:val="24"/>
              </w:rPr>
            </w:pPr>
            <w:r>
              <w:rPr>
                <w:sz w:val="24"/>
              </w:rPr>
              <w:t>39.26</w:t>
            </w:r>
          </w:p>
        </w:tc>
      </w:tr>
      <w:tr>
        <w:trPr>
          <w:trHeight w:val="280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11"/>
              <w:ind w:left="119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11"/>
              <w:ind w:left="17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/>
              <w:ind w:left="168"/>
              <w:rPr>
                <w:sz w:val="24"/>
              </w:rPr>
            </w:pPr>
            <w:r>
              <w:rPr>
                <w:sz w:val="24"/>
              </w:rPr>
              <w:t>17.74±1.13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11"/>
              <w:ind w:left="346"/>
              <w:rPr>
                <w:sz w:val="24"/>
              </w:rPr>
            </w:pPr>
            <w:r>
              <w:rPr>
                <w:sz w:val="24"/>
              </w:rPr>
              <w:t>38.08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11.20±1.24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60.90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12.50±2.01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56.36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4.93±0.95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82.78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9.58±2.53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66.56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1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1637" w:type="dxa"/>
          </w:tcPr>
          <w:p>
            <w:pPr>
              <w:pStyle w:val="TableParagraph"/>
              <w:spacing w:line="251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12.50±2.01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1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56.36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14.50±2.01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46.26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5.65±1.75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80.29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6.20±1.28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78.35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10.80±2.89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62.30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9.20±0.58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67.88</w:t>
            </w:r>
          </w:p>
        </w:tc>
      </w:tr>
      <w:tr>
        <w:trPr>
          <w:trHeight w:val="299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9"/>
              <w:ind w:left="168"/>
              <w:rPr>
                <w:sz w:val="24"/>
              </w:rPr>
            </w:pPr>
            <w:r>
              <w:rPr>
                <w:sz w:val="24"/>
              </w:rPr>
              <w:t>11.20±1.83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60.90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13.80±2.40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51.83</w:t>
            </w:r>
          </w:p>
        </w:tc>
      </w:tr>
      <w:tr>
        <w:trPr>
          <w:trHeight w:val="298" w:hRule="atLeast"/>
        </w:trPr>
        <w:tc>
          <w:tcPr>
            <w:tcW w:w="2151" w:type="dxa"/>
          </w:tcPr>
          <w:p>
            <w:pPr>
              <w:pStyle w:val="TableParagraph"/>
              <w:spacing w:line="250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1637" w:type="dxa"/>
          </w:tcPr>
          <w:p>
            <w:pPr>
              <w:pStyle w:val="TableParagraph"/>
              <w:spacing w:line="250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728" w:type="dxa"/>
          </w:tcPr>
          <w:p>
            <w:pPr>
              <w:pStyle w:val="TableParagraph"/>
              <w:spacing w:line="260" w:lineRule="exact" w:before="18"/>
              <w:ind w:left="168"/>
              <w:rPr>
                <w:sz w:val="24"/>
              </w:rPr>
            </w:pPr>
            <w:r>
              <w:rPr>
                <w:sz w:val="24"/>
              </w:rPr>
              <w:t>11.20±1.24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50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60.90</w:t>
            </w:r>
          </w:p>
        </w:tc>
      </w:tr>
      <w:tr>
        <w:trPr>
          <w:trHeight w:val="301" w:hRule="atLeast"/>
        </w:trPr>
        <w:tc>
          <w:tcPr>
            <w:tcW w:w="2151" w:type="dxa"/>
          </w:tcPr>
          <w:p>
            <w:pPr>
              <w:pStyle w:val="TableParagraph"/>
              <w:spacing w:line="249" w:lineRule="exact" w:before="32"/>
              <w:ind w:left="119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1637" w:type="dxa"/>
          </w:tcPr>
          <w:p>
            <w:pPr>
              <w:pStyle w:val="TableParagraph"/>
              <w:spacing w:line="249" w:lineRule="exact" w:before="32"/>
              <w:ind w:left="177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728" w:type="dxa"/>
          </w:tcPr>
          <w:p>
            <w:pPr>
              <w:pStyle w:val="TableParagraph"/>
              <w:spacing w:line="264" w:lineRule="exact" w:before="17"/>
              <w:ind w:left="168"/>
              <w:rPr>
                <w:sz w:val="24"/>
              </w:rPr>
            </w:pPr>
            <w:r>
              <w:rPr>
                <w:sz w:val="24"/>
              </w:rPr>
              <w:t>12.50±2.01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</w:tcPr>
          <w:p>
            <w:pPr>
              <w:pStyle w:val="TableParagraph"/>
              <w:spacing w:line="249" w:lineRule="exact" w:before="32"/>
              <w:ind w:left="346"/>
              <w:rPr>
                <w:sz w:val="24"/>
              </w:rPr>
            </w:pPr>
            <w:r>
              <w:rPr>
                <w:sz w:val="24"/>
              </w:rPr>
              <w:t>56.36</w:t>
            </w:r>
          </w:p>
        </w:tc>
      </w:tr>
      <w:tr>
        <w:trPr>
          <w:trHeight w:val="319" w:hRule="atLeast"/>
        </w:trPr>
        <w:tc>
          <w:tcPr>
            <w:tcW w:w="215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 w:before="28"/>
              <w:ind w:left="119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163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 w:before="28"/>
              <w:ind w:left="177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  <w:tc>
          <w:tcPr>
            <w:tcW w:w="17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8"/>
              <w:ind w:left="168"/>
              <w:rPr>
                <w:sz w:val="24"/>
              </w:rPr>
            </w:pPr>
            <w:r>
              <w:rPr>
                <w:sz w:val="24"/>
              </w:rPr>
              <w:t>12.20±2.44</w:t>
            </w:r>
            <w:r>
              <w:rPr>
                <w:sz w:val="24"/>
                <w:vertAlign w:val="superscript"/>
              </w:rPr>
              <w:t>c</w:t>
            </w:r>
          </w:p>
        </w:tc>
        <w:tc>
          <w:tcPr>
            <w:tcW w:w="34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exact" w:before="28"/>
              <w:ind w:left="346"/>
              <w:rPr>
                <w:sz w:val="24"/>
              </w:rPr>
            </w:pPr>
            <w:r>
              <w:rPr>
                <w:sz w:val="24"/>
              </w:rPr>
              <w:t>57.41</w:t>
            </w:r>
          </w:p>
        </w:tc>
      </w:tr>
    </w:tbl>
    <w:p>
      <w:pPr>
        <w:pStyle w:val="BodyText"/>
        <w:spacing w:line="480" w:lineRule="auto"/>
        <w:ind w:left="312" w:right="691"/>
        <w:jc w:val="both"/>
      </w:pPr>
      <w:r>
        <w:rPr/>
        <w:t>Values are presented as Mean ± SEM; Data analyzed by one-way ANOVA followed by</w:t>
      </w:r>
      <w:r>
        <w:rPr>
          <w:spacing w:val="1"/>
        </w:rPr>
        <w:t> </w:t>
      </w:r>
      <w:r>
        <w:rPr/>
        <w:t>Bonferroni ‗s post-hoc test; n=5 a=</w:t>
      </w:r>
      <w:r>
        <w:rPr>
          <w:i/>
        </w:rPr>
        <w:t>p˂</w:t>
      </w:r>
      <w:r>
        <w:rPr/>
        <w:t>0.05, c=</w:t>
      </w:r>
      <w:r>
        <w:rPr>
          <w:i/>
        </w:rPr>
        <w:t>p˂</w:t>
      </w:r>
      <w:r>
        <w:rPr/>
        <w:t>0.001 versus control; CLQ=chloroquine</w:t>
      </w:r>
      <w:r>
        <w:rPr>
          <w:spacing w:val="1"/>
        </w:rPr>
        <w:t> </w:t>
      </w:r>
      <w:r>
        <w:rPr/>
        <w:t>Route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administration=ip</w:t>
      </w:r>
    </w:p>
    <w:p>
      <w:pPr>
        <w:spacing w:after="0" w:line="480" w:lineRule="auto"/>
        <w:jc w:val="both"/>
        <w:sectPr>
          <w:headerReference w:type="default" r:id="rId467"/>
          <w:footerReference w:type="default" r:id="rId468"/>
          <w:pgSz w:w="11910" w:h="16840"/>
          <w:pgMar w:header="1303" w:footer="2491" w:top="1560" w:bottom="2680" w:left="1560" w:right="600"/>
        </w:sectPr>
      </w:pPr>
    </w:p>
    <w:p>
      <w:pPr>
        <w:pStyle w:val="Heading1"/>
        <w:spacing w:line="242" w:lineRule="auto" w:before="0"/>
        <w:ind w:right="696"/>
      </w:pPr>
      <w:r>
        <w:rPr/>
        <w:t>The</w:t>
      </w:r>
      <w:r>
        <w:rPr>
          <w:spacing w:val="7"/>
        </w:rPr>
        <w:t> </w:t>
      </w:r>
      <w:r>
        <w:rPr/>
        <w:t>binding</w:t>
      </w:r>
      <w:r>
        <w:rPr>
          <w:spacing w:val="9"/>
        </w:rPr>
        <w:t> </w:t>
      </w:r>
      <w:r>
        <w:rPr/>
        <w:t>energy</w:t>
      </w:r>
      <w:r>
        <w:rPr>
          <w:spacing w:val="12"/>
        </w:rPr>
        <w:t> </w:t>
      </w:r>
      <w:r>
        <w:rPr/>
        <w:t>of</w:t>
      </w:r>
      <w:r>
        <w:rPr>
          <w:spacing w:val="7"/>
        </w:rPr>
        <w:t> </w:t>
      </w:r>
      <w:r>
        <w:rPr/>
        <w:t>co-crystallized</w:t>
      </w:r>
      <w:r>
        <w:rPr>
          <w:spacing w:val="15"/>
        </w:rPr>
        <w:t> </w:t>
      </w:r>
      <w:r>
        <w:rPr/>
        <w:t>ligands</w:t>
      </w:r>
      <w:r>
        <w:rPr>
          <w:spacing w:val="7"/>
        </w:rPr>
        <w:t> </w:t>
      </w:r>
      <w:r>
        <w:rPr/>
        <w:t>and</w:t>
      </w:r>
      <w:r>
        <w:rPr>
          <w:spacing w:val="14"/>
        </w:rPr>
        <w:t> </w:t>
      </w:r>
      <w:r>
        <w:rPr/>
        <w:t>17</w:t>
      </w:r>
      <w:r>
        <w:rPr>
          <w:spacing w:val="10"/>
        </w:rPr>
        <w:t> </w:t>
      </w:r>
      <w:r>
        <w:rPr/>
        <w:t>chalcones</w:t>
      </w:r>
      <w:r>
        <w:rPr>
          <w:spacing w:val="7"/>
        </w:rPr>
        <w:t> </w:t>
      </w:r>
      <w:r>
        <w:rPr/>
        <w:t>against</w:t>
      </w:r>
      <w:r>
        <w:rPr>
          <w:spacing w:val="15"/>
        </w:rPr>
        <w:t> </w:t>
      </w:r>
      <w:r>
        <w:rPr/>
        <w:t>four</w:t>
      </w:r>
      <w:r>
        <w:rPr>
          <w:spacing w:val="5"/>
        </w:rPr>
        <w:t> </w:t>
      </w:r>
      <w:r>
        <w:rPr/>
        <w:t>enzymes</w:t>
      </w:r>
      <w:r>
        <w:rPr>
          <w:spacing w:val="-57"/>
        </w:rPr>
        <w:t> </w:t>
      </w:r>
      <w:r>
        <w:rPr/>
        <w:t>(FP-2,</w:t>
      </w:r>
      <w:r>
        <w:rPr>
          <w:spacing w:val="3"/>
        </w:rPr>
        <w:t> </w:t>
      </w:r>
      <w:r>
        <w:rPr/>
        <w:t>FP-3,</w:t>
      </w:r>
      <w:r>
        <w:rPr>
          <w:spacing w:val="4"/>
        </w:rPr>
        <w:t> </w:t>
      </w:r>
      <w:r>
        <w:rPr/>
        <w:t>Plm-II,</w:t>
      </w:r>
      <w:r>
        <w:rPr>
          <w:spacing w:val="4"/>
        </w:rPr>
        <w:t> </w:t>
      </w:r>
      <w:r>
        <w:rPr/>
        <w:t>and,</w:t>
      </w:r>
      <w:r>
        <w:rPr>
          <w:spacing w:val="-2"/>
        </w:rPr>
        <w:t> </w:t>
      </w:r>
      <w:r>
        <w:rPr/>
        <w:t>Plm-IV).</w:t>
      </w: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8"/>
        <w:gridCol w:w="1579"/>
        <w:gridCol w:w="1776"/>
        <w:gridCol w:w="2059"/>
        <w:gridCol w:w="2309"/>
      </w:tblGrid>
      <w:tr>
        <w:trPr>
          <w:trHeight w:val="419" w:hRule="atLeast"/>
        </w:trPr>
        <w:tc>
          <w:tcPr>
            <w:tcW w:w="8971" w:type="dxa"/>
            <w:gridSpan w:val="5"/>
            <w:tcBorders>
              <w:top w:val="single" w:sz="4" w:space="0" w:color="000000"/>
            </w:tcBorders>
          </w:tcPr>
          <w:p>
            <w:pPr>
              <w:pStyle w:val="TableParagraph"/>
              <w:spacing w:line="273" w:lineRule="exact"/>
              <w:ind w:left="1358"/>
              <w:rPr>
                <w:b/>
                <w:sz w:val="24"/>
              </w:rPr>
            </w:pPr>
            <w:r>
              <w:rPr>
                <w:b/>
                <w:sz w:val="24"/>
              </w:rPr>
              <w:t>Docking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score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(Kcal/mol)</w:t>
            </w:r>
          </w:p>
        </w:tc>
      </w:tr>
      <w:tr>
        <w:trPr>
          <w:trHeight w:val="832" w:hRule="atLeast"/>
        </w:trPr>
        <w:tc>
          <w:tcPr>
            <w:tcW w:w="124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56" w:lineRule="exact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Ligands</w:t>
            </w:r>
          </w:p>
        </w:tc>
        <w:tc>
          <w:tcPr>
            <w:tcW w:w="157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Falcipain-2</w:t>
            </w:r>
          </w:p>
          <w:p>
            <w:pPr>
              <w:pStyle w:val="TableParagraph"/>
              <w:spacing w:before="137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(FP-2)</w:t>
            </w:r>
          </w:p>
        </w:tc>
        <w:tc>
          <w:tcPr>
            <w:tcW w:w="177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08"/>
              <w:rPr>
                <w:b/>
                <w:sz w:val="24"/>
              </w:rPr>
            </w:pPr>
            <w:r>
              <w:rPr>
                <w:b/>
                <w:sz w:val="24"/>
              </w:rPr>
              <w:t>Falcipain-3</w:t>
            </w:r>
          </w:p>
          <w:p>
            <w:pPr>
              <w:pStyle w:val="TableParagraph"/>
              <w:spacing w:before="137"/>
              <w:ind w:left="308"/>
              <w:rPr>
                <w:b/>
                <w:sz w:val="24"/>
              </w:rPr>
            </w:pPr>
            <w:r>
              <w:rPr>
                <w:b/>
                <w:sz w:val="24"/>
              </w:rPr>
              <w:t>(FP-3)</w:t>
            </w:r>
          </w:p>
        </w:tc>
        <w:tc>
          <w:tcPr>
            <w:tcW w:w="20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09"/>
              <w:rPr>
                <w:b/>
                <w:sz w:val="24"/>
              </w:rPr>
            </w:pPr>
            <w:r>
              <w:rPr>
                <w:b/>
                <w:sz w:val="24"/>
              </w:rPr>
              <w:t>Plasmepsin-II</w:t>
            </w:r>
          </w:p>
          <w:p>
            <w:pPr>
              <w:pStyle w:val="TableParagraph"/>
              <w:spacing w:before="137"/>
              <w:ind w:left="309"/>
              <w:rPr>
                <w:b/>
                <w:sz w:val="24"/>
              </w:rPr>
            </w:pPr>
            <w:r>
              <w:rPr>
                <w:b/>
                <w:sz w:val="24"/>
              </w:rPr>
              <w:t>(Plm-II)</w:t>
            </w:r>
          </w:p>
        </w:tc>
        <w:tc>
          <w:tcPr>
            <w:tcW w:w="230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3" w:lineRule="exact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Plasmepsin-IV</w:t>
            </w:r>
          </w:p>
          <w:p>
            <w:pPr>
              <w:pStyle w:val="TableParagraph"/>
              <w:spacing w:before="137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(Plm-IV)</w:t>
            </w:r>
          </w:p>
        </w:tc>
      </w:tr>
      <w:tr>
        <w:trPr>
          <w:trHeight w:val="341" w:hRule="atLeast"/>
        </w:trPr>
        <w:tc>
          <w:tcPr>
            <w:tcW w:w="124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119"/>
              <w:rPr>
                <w:sz w:val="24"/>
              </w:rPr>
            </w:pPr>
            <w:r>
              <w:rPr>
                <w:sz w:val="24"/>
              </w:rPr>
              <w:t>P1</w:t>
            </w:r>
          </w:p>
        </w:tc>
        <w:tc>
          <w:tcPr>
            <w:tcW w:w="157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-5.7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(7)</w:t>
            </w:r>
          </w:p>
        </w:tc>
        <w:tc>
          <w:tcPr>
            <w:tcW w:w="177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308"/>
              <w:rPr>
                <w:sz w:val="24"/>
              </w:rPr>
            </w:pPr>
            <w:r>
              <w:rPr>
                <w:sz w:val="24"/>
              </w:rPr>
              <w:t>-6.0(7)</w:t>
            </w:r>
          </w:p>
        </w:tc>
        <w:tc>
          <w:tcPr>
            <w:tcW w:w="20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309"/>
              <w:rPr>
                <w:sz w:val="24"/>
              </w:rPr>
            </w:pPr>
            <w:r>
              <w:rPr>
                <w:sz w:val="24"/>
              </w:rPr>
              <w:t>-6.7(10)</w:t>
            </w:r>
          </w:p>
        </w:tc>
        <w:tc>
          <w:tcPr>
            <w:tcW w:w="230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3" w:lineRule="exact"/>
              <w:ind w:left="333"/>
              <w:rPr>
                <w:sz w:val="24"/>
              </w:rPr>
            </w:pPr>
            <w:r>
              <w:rPr>
                <w:sz w:val="24"/>
              </w:rPr>
              <w:t>-7.1(12)</w:t>
            </w:r>
          </w:p>
        </w:tc>
      </w:tr>
      <w:tr>
        <w:trPr>
          <w:trHeight w:val="398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P2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-5.7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(7)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-5.7(9)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-7.1(7)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-7.5(10)</w:t>
            </w:r>
          </w:p>
        </w:tc>
      </w:tr>
      <w:tr>
        <w:trPr>
          <w:trHeight w:val="436" w:hRule="atLeast"/>
        </w:trPr>
        <w:tc>
          <w:tcPr>
            <w:tcW w:w="1248" w:type="dxa"/>
          </w:tcPr>
          <w:p>
            <w:pPr>
              <w:pStyle w:val="TableParagraph"/>
              <w:spacing w:before="82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P3</w:t>
            </w:r>
            <w:r>
              <w:rPr>
                <w:b/>
                <w:sz w:val="24"/>
                <w:vertAlign w:val="superscript"/>
              </w:rPr>
              <w:t>*</w:t>
            </w:r>
          </w:p>
        </w:tc>
        <w:tc>
          <w:tcPr>
            <w:tcW w:w="1579" w:type="dxa"/>
          </w:tcPr>
          <w:p>
            <w:pPr>
              <w:pStyle w:val="TableParagraph"/>
              <w:spacing w:before="82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-6.0(5)</w:t>
            </w:r>
          </w:p>
        </w:tc>
        <w:tc>
          <w:tcPr>
            <w:tcW w:w="1776" w:type="dxa"/>
          </w:tcPr>
          <w:p>
            <w:pPr>
              <w:pStyle w:val="TableParagraph"/>
              <w:spacing w:before="82"/>
              <w:ind w:left="308"/>
              <w:rPr>
                <w:b/>
                <w:sz w:val="24"/>
              </w:rPr>
            </w:pPr>
            <w:r>
              <w:rPr>
                <w:b/>
                <w:sz w:val="24"/>
              </w:rPr>
              <w:t>-6.8(2)</w:t>
            </w:r>
          </w:p>
        </w:tc>
        <w:tc>
          <w:tcPr>
            <w:tcW w:w="2059" w:type="dxa"/>
          </w:tcPr>
          <w:p>
            <w:pPr>
              <w:pStyle w:val="TableParagraph"/>
              <w:spacing w:before="82"/>
              <w:ind w:left="309"/>
              <w:rPr>
                <w:b/>
                <w:sz w:val="24"/>
              </w:rPr>
            </w:pPr>
            <w:r>
              <w:rPr>
                <w:b/>
                <w:sz w:val="24"/>
              </w:rPr>
              <w:t>-8.0(1)</w:t>
            </w:r>
          </w:p>
        </w:tc>
        <w:tc>
          <w:tcPr>
            <w:tcW w:w="2309" w:type="dxa"/>
          </w:tcPr>
          <w:p>
            <w:pPr>
              <w:pStyle w:val="TableParagraph"/>
              <w:spacing w:before="82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-9.3(1)</w:t>
            </w:r>
          </w:p>
        </w:tc>
      </w:tr>
      <w:tr>
        <w:trPr>
          <w:trHeight w:val="410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P4*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-6.7(1)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b/>
                <w:sz w:val="24"/>
              </w:rPr>
            </w:pPr>
            <w:r>
              <w:rPr>
                <w:b/>
                <w:sz w:val="24"/>
              </w:rPr>
              <w:t>-6.6(3)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b/>
                <w:sz w:val="24"/>
              </w:rPr>
            </w:pPr>
            <w:r>
              <w:rPr>
                <w:b/>
                <w:sz w:val="24"/>
              </w:rPr>
              <w:t>-7.7(3)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b/>
                <w:sz w:val="24"/>
              </w:rPr>
            </w:pPr>
            <w:r>
              <w:rPr>
                <w:b/>
                <w:sz w:val="24"/>
              </w:rPr>
              <w:t>-9.1(2)</w:t>
            </w:r>
          </w:p>
        </w:tc>
      </w:tr>
      <w:tr>
        <w:trPr>
          <w:trHeight w:val="410" w:hRule="atLeast"/>
        </w:trPr>
        <w:tc>
          <w:tcPr>
            <w:tcW w:w="1248" w:type="dxa"/>
          </w:tcPr>
          <w:p>
            <w:pPr>
              <w:pStyle w:val="TableParagraph"/>
              <w:spacing w:before="56"/>
              <w:ind w:left="119"/>
              <w:rPr>
                <w:sz w:val="24"/>
              </w:rPr>
            </w:pPr>
            <w:r>
              <w:rPr>
                <w:sz w:val="24"/>
              </w:rPr>
              <w:t>P8</w:t>
            </w:r>
          </w:p>
        </w:tc>
        <w:tc>
          <w:tcPr>
            <w:tcW w:w="1579" w:type="dxa"/>
          </w:tcPr>
          <w:p>
            <w:pPr>
              <w:pStyle w:val="TableParagraph"/>
              <w:spacing w:before="56"/>
              <w:ind w:left="110"/>
              <w:rPr>
                <w:sz w:val="24"/>
              </w:rPr>
            </w:pPr>
            <w:r>
              <w:rPr>
                <w:sz w:val="24"/>
              </w:rPr>
              <w:t>-6.0(5)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6"/>
              <w:ind w:left="308"/>
              <w:rPr>
                <w:sz w:val="24"/>
              </w:rPr>
            </w:pPr>
            <w:r>
              <w:rPr>
                <w:sz w:val="24"/>
              </w:rPr>
              <w:t>-7.0(1)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6"/>
              <w:ind w:left="309"/>
              <w:rPr>
                <w:sz w:val="24"/>
              </w:rPr>
            </w:pPr>
            <w:r>
              <w:rPr>
                <w:sz w:val="24"/>
              </w:rPr>
              <w:t>-7.7(3)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6"/>
              <w:ind w:left="333"/>
              <w:rPr>
                <w:sz w:val="24"/>
              </w:rPr>
            </w:pPr>
            <w:r>
              <w:rPr>
                <w:sz w:val="24"/>
              </w:rPr>
              <w:t>-8.9(3)</w:t>
            </w:r>
          </w:p>
        </w:tc>
      </w:tr>
      <w:tr>
        <w:trPr>
          <w:trHeight w:val="415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P11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-5.8(6)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-5.9(8)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-7.1(7)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-7.7(8)</w:t>
            </w:r>
          </w:p>
        </w:tc>
      </w:tr>
      <w:tr>
        <w:trPr>
          <w:trHeight w:val="415" w:hRule="atLeast"/>
        </w:trPr>
        <w:tc>
          <w:tcPr>
            <w:tcW w:w="1248" w:type="dxa"/>
          </w:tcPr>
          <w:p>
            <w:pPr>
              <w:pStyle w:val="TableParagraph"/>
              <w:spacing w:before="61"/>
              <w:ind w:left="119"/>
              <w:rPr>
                <w:sz w:val="24"/>
              </w:rPr>
            </w:pPr>
            <w:r>
              <w:rPr>
                <w:sz w:val="24"/>
              </w:rPr>
              <w:t>P12</w:t>
            </w:r>
          </w:p>
        </w:tc>
        <w:tc>
          <w:tcPr>
            <w:tcW w:w="1579" w:type="dxa"/>
          </w:tcPr>
          <w:p>
            <w:pPr>
              <w:pStyle w:val="TableParagraph"/>
              <w:spacing w:before="61"/>
              <w:ind w:left="110"/>
              <w:rPr>
                <w:sz w:val="24"/>
              </w:rPr>
            </w:pPr>
            <w:r>
              <w:rPr>
                <w:sz w:val="24"/>
              </w:rPr>
              <w:t>-5.7(7)</w:t>
            </w:r>
          </w:p>
        </w:tc>
        <w:tc>
          <w:tcPr>
            <w:tcW w:w="1776" w:type="dxa"/>
          </w:tcPr>
          <w:p>
            <w:pPr>
              <w:pStyle w:val="TableParagraph"/>
              <w:spacing w:before="61"/>
              <w:ind w:left="308"/>
              <w:rPr>
                <w:sz w:val="24"/>
              </w:rPr>
            </w:pPr>
            <w:r>
              <w:rPr>
                <w:sz w:val="24"/>
              </w:rPr>
              <w:t>-5.6(10)</w:t>
            </w:r>
          </w:p>
        </w:tc>
        <w:tc>
          <w:tcPr>
            <w:tcW w:w="2059" w:type="dxa"/>
          </w:tcPr>
          <w:p>
            <w:pPr>
              <w:pStyle w:val="TableParagraph"/>
              <w:spacing w:before="61"/>
              <w:ind w:left="309"/>
              <w:rPr>
                <w:sz w:val="24"/>
              </w:rPr>
            </w:pPr>
            <w:r>
              <w:rPr>
                <w:sz w:val="24"/>
              </w:rPr>
              <w:t>-7.0(8)</w:t>
            </w:r>
          </w:p>
        </w:tc>
        <w:tc>
          <w:tcPr>
            <w:tcW w:w="2309" w:type="dxa"/>
          </w:tcPr>
          <w:p>
            <w:pPr>
              <w:pStyle w:val="TableParagraph"/>
              <w:spacing w:before="61"/>
              <w:ind w:left="333"/>
              <w:rPr>
                <w:sz w:val="24"/>
              </w:rPr>
            </w:pPr>
            <w:r>
              <w:rPr>
                <w:sz w:val="24"/>
              </w:rPr>
              <w:t>-7.6(9)</w:t>
            </w:r>
          </w:p>
        </w:tc>
      </w:tr>
      <w:tr>
        <w:trPr>
          <w:trHeight w:val="412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P13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-5.8(6)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-5.7(9)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-7.4(5)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-8.1(5)</w:t>
            </w:r>
          </w:p>
        </w:tc>
      </w:tr>
      <w:tr>
        <w:trPr>
          <w:trHeight w:val="412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P15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-5.4(10)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-5.7(9)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-7.0(8)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-7.2(11)</w:t>
            </w:r>
          </w:p>
        </w:tc>
      </w:tr>
      <w:tr>
        <w:trPr>
          <w:trHeight w:val="415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P16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-5.5(9)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-5.5(11)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-6.8(9)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-7.2(11)</w:t>
            </w:r>
          </w:p>
        </w:tc>
      </w:tr>
      <w:tr>
        <w:trPr>
          <w:trHeight w:val="415" w:hRule="atLeast"/>
        </w:trPr>
        <w:tc>
          <w:tcPr>
            <w:tcW w:w="1248" w:type="dxa"/>
          </w:tcPr>
          <w:p>
            <w:pPr>
              <w:pStyle w:val="TableParagraph"/>
              <w:spacing w:before="61"/>
              <w:ind w:left="119"/>
              <w:rPr>
                <w:sz w:val="24"/>
              </w:rPr>
            </w:pPr>
            <w:r>
              <w:rPr>
                <w:sz w:val="24"/>
              </w:rPr>
              <w:t>P17</w:t>
            </w:r>
          </w:p>
        </w:tc>
        <w:tc>
          <w:tcPr>
            <w:tcW w:w="1579" w:type="dxa"/>
          </w:tcPr>
          <w:p>
            <w:pPr>
              <w:pStyle w:val="TableParagraph"/>
              <w:spacing w:before="61"/>
              <w:ind w:left="110"/>
              <w:rPr>
                <w:sz w:val="24"/>
              </w:rPr>
            </w:pPr>
            <w:r>
              <w:rPr>
                <w:sz w:val="24"/>
              </w:rPr>
              <w:t>-5.5(9)</w:t>
            </w:r>
          </w:p>
        </w:tc>
        <w:tc>
          <w:tcPr>
            <w:tcW w:w="1776" w:type="dxa"/>
          </w:tcPr>
          <w:p>
            <w:pPr>
              <w:pStyle w:val="TableParagraph"/>
              <w:spacing w:before="61"/>
              <w:ind w:left="308"/>
              <w:rPr>
                <w:sz w:val="24"/>
              </w:rPr>
            </w:pPr>
            <w:r>
              <w:rPr>
                <w:sz w:val="24"/>
              </w:rPr>
              <w:t>-6.0(7)</w:t>
            </w:r>
          </w:p>
        </w:tc>
        <w:tc>
          <w:tcPr>
            <w:tcW w:w="2059" w:type="dxa"/>
          </w:tcPr>
          <w:p>
            <w:pPr>
              <w:pStyle w:val="TableParagraph"/>
              <w:spacing w:before="61"/>
              <w:ind w:left="309"/>
              <w:rPr>
                <w:sz w:val="24"/>
              </w:rPr>
            </w:pPr>
            <w:r>
              <w:rPr>
                <w:sz w:val="24"/>
              </w:rPr>
              <w:t>-6.8(9)</w:t>
            </w:r>
          </w:p>
        </w:tc>
        <w:tc>
          <w:tcPr>
            <w:tcW w:w="2309" w:type="dxa"/>
          </w:tcPr>
          <w:p>
            <w:pPr>
              <w:pStyle w:val="TableParagraph"/>
              <w:spacing w:before="61"/>
              <w:ind w:left="333"/>
              <w:rPr>
                <w:sz w:val="24"/>
              </w:rPr>
            </w:pPr>
            <w:r>
              <w:rPr>
                <w:sz w:val="24"/>
              </w:rPr>
              <w:t>-7.0(13)</w:t>
            </w:r>
          </w:p>
        </w:tc>
      </w:tr>
      <w:tr>
        <w:trPr>
          <w:trHeight w:val="412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P19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-6.0(5)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-5.5(11)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-6.8(9)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-7.6(9)</w:t>
            </w:r>
          </w:p>
        </w:tc>
      </w:tr>
      <w:tr>
        <w:trPr>
          <w:trHeight w:val="412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P21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-6.3(3)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-6.1(6)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-7.5(4)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-8.0(6)</w:t>
            </w:r>
          </w:p>
        </w:tc>
      </w:tr>
      <w:tr>
        <w:trPr>
          <w:trHeight w:val="415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P22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-6.2(4)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-6.2(7)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-7.7(3)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-7.9(7)</w:t>
            </w:r>
          </w:p>
        </w:tc>
      </w:tr>
      <w:tr>
        <w:trPr>
          <w:trHeight w:val="415" w:hRule="atLeast"/>
        </w:trPr>
        <w:tc>
          <w:tcPr>
            <w:tcW w:w="1248" w:type="dxa"/>
          </w:tcPr>
          <w:p>
            <w:pPr>
              <w:pStyle w:val="TableParagraph"/>
              <w:spacing w:before="61"/>
              <w:ind w:left="119"/>
              <w:rPr>
                <w:sz w:val="24"/>
              </w:rPr>
            </w:pPr>
            <w:r>
              <w:rPr>
                <w:sz w:val="24"/>
              </w:rPr>
              <w:t>P23</w:t>
            </w:r>
          </w:p>
        </w:tc>
        <w:tc>
          <w:tcPr>
            <w:tcW w:w="1579" w:type="dxa"/>
          </w:tcPr>
          <w:p>
            <w:pPr>
              <w:pStyle w:val="TableParagraph"/>
              <w:spacing w:before="61"/>
              <w:ind w:left="110"/>
              <w:rPr>
                <w:sz w:val="24"/>
              </w:rPr>
            </w:pPr>
            <w:r>
              <w:rPr>
                <w:sz w:val="24"/>
              </w:rPr>
              <w:t>-5.4(10)</w:t>
            </w:r>
          </w:p>
        </w:tc>
        <w:tc>
          <w:tcPr>
            <w:tcW w:w="1776" w:type="dxa"/>
          </w:tcPr>
          <w:p>
            <w:pPr>
              <w:pStyle w:val="TableParagraph"/>
              <w:spacing w:before="61"/>
              <w:ind w:left="308"/>
              <w:rPr>
                <w:sz w:val="24"/>
              </w:rPr>
            </w:pPr>
            <w:r>
              <w:rPr>
                <w:sz w:val="24"/>
              </w:rPr>
              <w:t>-5.9(8)</w:t>
            </w:r>
          </w:p>
        </w:tc>
        <w:tc>
          <w:tcPr>
            <w:tcW w:w="2059" w:type="dxa"/>
          </w:tcPr>
          <w:p>
            <w:pPr>
              <w:pStyle w:val="TableParagraph"/>
              <w:spacing w:before="61"/>
              <w:ind w:left="309"/>
              <w:rPr>
                <w:sz w:val="24"/>
              </w:rPr>
            </w:pPr>
            <w:r>
              <w:rPr>
                <w:sz w:val="24"/>
              </w:rPr>
              <w:t>-6.8(9)</w:t>
            </w:r>
          </w:p>
        </w:tc>
        <w:tc>
          <w:tcPr>
            <w:tcW w:w="2309" w:type="dxa"/>
          </w:tcPr>
          <w:p>
            <w:pPr>
              <w:pStyle w:val="TableParagraph"/>
              <w:spacing w:before="61"/>
              <w:ind w:left="333"/>
              <w:rPr>
                <w:sz w:val="24"/>
              </w:rPr>
            </w:pPr>
            <w:r>
              <w:rPr>
                <w:sz w:val="24"/>
              </w:rPr>
              <w:t>-7.0(13)</w:t>
            </w:r>
          </w:p>
        </w:tc>
      </w:tr>
      <w:tr>
        <w:trPr>
          <w:trHeight w:val="412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P24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-6.4(2)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-5.9(8)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-6.8(9)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-7.5(10)</w:t>
            </w:r>
          </w:p>
        </w:tc>
      </w:tr>
      <w:tr>
        <w:trPr>
          <w:trHeight w:val="412" w:hRule="atLeast"/>
        </w:trPr>
        <w:tc>
          <w:tcPr>
            <w:tcW w:w="1248" w:type="dxa"/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sz w:val="24"/>
              </w:rPr>
              <w:t>P25</w:t>
            </w:r>
          </w:p>
        </w:tc>
        <w:tc>
          <w:tcPr>
            <w:tcW w:w="1579" w:type="dxa"/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-5.5(9)</w:t>
            </w:r>
          </w:p>
        </w:tc>
        <w:tc>
          <w:tcPr>
            <w:tcW w:w="1776" w:type="dxa"/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-5.7(9)</w:t>
            </w:r>
          </w:p>
        </w:tc>
        <w:tc>
          <w:tcPr>
            <w:tcW w:w="2059" w:type="dxa"/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-7.2(6)</w:t>
            </w:r>
          </w:p>
        </w:tc>
        <w:tc>
          <w:tcPr>
            <w:tcW w:w="2309" w:type="dxa"/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-7.2(11)</w:t>
            </w:r>
          </w:p>
        </w:tc>
      </w:tr>
      <w:tr>
        <w:trPr>
          <w:trHeight w:val="489" w:hRule="atLeast"/>
        </w:trPr>
        <w:tc>
          <w:tcPr>
            <w:tcW w:w="124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119"/>
              <w:rPr>
                <w:sz w:val="24"/>
              </w:rPr>
            </w:pPr>
            <w:r>
              <w:rPr>
                <w:w w:val="99"/>
                <w:sz w:val="24"/>
              </w:rPr>
              <w:t>P</w:t>
            </w:r>
          </w:p>
        </w:tc>
        <w:tc>
          <w:tcPr>
            <w:tcW w:w="157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110"/>
              <w:rPr>
                <w:sz w:val="24"/>
              </w:rPr>
            </w:pPr>
            <w:r>
              <w:rPr>
                <w:sz w:val="24"/>
              </w:rPr>
              <w:t>-5.1</w:t>
            </w:r>
          </w:p>
        </w:tc>
        <w:tc>
          <w:tcPr>
            <w:tcW w:w="177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308"/>
              <w:rPr>
                <w:sz w:val="24"/>
              </w:rPr>
            </w:pPr>
            <w:r>
              <w:rPr>
                <w:sz w:val="24"/>
              </w:rPr>
              <w:t>-6.9</w:t>
            </w:r>
          </w:p>
        </w:tc>
        <w:tc>
          <w:tcPr>
            <w:tcW w:w="20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309"/>
              <w:rPr>
                <w:sz w:val="24"/>
              </w:rPr>
            </w:pPr>
            <w:r>
              <w:rPr>
                <w:sz w:val="24"/>
              </w:rPr>
              <w:t>-10.1</w:t>
            </w:r>
          </w:p>
        </w:tc>
        <w:tc>
          <w:tcPr>
            <w:tcW w:w="230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58"/>
              <w:ind w:left="333"/>
              <w:rPr>
                <w:sz w:val="24"/>
              </w:rPr>
            </w:pPr>
            <w:r>
              <w:rPr>
                <w:sz w:val="24"/>
              </w:rPr>
              <w:t>-7.7</w:t>
            </w:r>
          </w:p>
        </w:tc>
      </w:tr>
    </w:tbl>
    <w:p>
      <w:pPr>
        <w:pStyle w:val="BodyText"/>
        <w:ind w:left="312"/>
      </w:pPr>
      <w:r>
        <w:rPr/>
        <w:t>Number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bracket=</w:t>
      </w:r>
      <w:r>
        <w:rPr>
          <w:spacing w:val="7"/>
        </w:rPr>
        <w:t> </w:t>
      </w:r>
      <w:r>
        <w:rPr/>
        <w:t>Ranking,</w:t>
      </w:r>
      <w:r>
        <w:rPr>
          <w:spacing w:val="10"/>
        </w:rPr>
        <w:t> </w:t>
      </w:r>
      <w:r>
        <w:rPr/>
        <w:t>P=</w:t>
      </w:r>
      <w:r>
        <w:rPr>
          <w:spacing w:val="7"/>
        </w:rPr>
        <w:t> </w:t>
      </w:r>
      <w:r>
        <w:rPr/>
        <w:t>Respective</w:t>
      </w:r>
      <w:r>
        <w:rPr>
          <w:spacing w:val="12"/>
        </w:rPr>
        <w:t> </w:t>
      </w:r>
      <w:r>
        <w:rPr/>
        <w:t>ligand</w:t>
      </w:r>
      <w:r>
        <w:rPr>
          <w:spacing w:val="9"/>
        </w:rPr>
        <w:t> </w:t>
      </w:r>
      <w:r>
        <w:rPr/>
        <w:t>co-crytallised</w:t>
      </w:r>
      <w:r>
        <w:rPr>
          <w:spacing w:val="8"/>
        </w:rPr>
        <w:t> </w:t>
      </w:r>
      <w:r>
        <w:rPr/>
        <w:t>with</w:t>
      </w:r>
      <w:r>
        <w:rPr>
          <w:spacing w:val="6"/>
        </w:rPr>
        <w:t> </w:t>
      </w:r>
      <w:r>
        <w:rPr/>
        <w:t>the</w:t>
      </w:r>
      <w:r>
        <w:rPr>
          <w:spacing w:val="12"/>
        </w:rPr>
        <w:t> </w:t>
      </w:r>
      <w:r>
        <w:rPr/>
        <w:t>enzymes</w:t>
      </w:r>
      <w:r>
        <w:rPr>
          <w:spacing w:val="11"/>
        </w:rPr>
        <w:t> </w:t>
      </w:r>
      <w:r>
        <w:rPr/>
        <w:t>(FP2</w: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ind w:left="312"/>
      </w:pPr>
      <w:r>
        <w:rPr/>
        <w:t>–</w:t>
      </w:r>
      <w:r>
        <w:rPr>
          <w:spacing w:val="-3"/>
        </w:rPr>
        <w:t> </w:t>
      </w:r>
      <w:r>
        <w:rPr/>
        <w:t>E64,</w:t>
      </w:r>
      <w:r>
        <w:rPr>
          <w:spacing w:val="-5"/>
        </w:rPr>
        <w:t> </w:t>
      </w:r>
      <w:r>
        <w:rPr/>
        <w:t>FP3- CIP.</w:t>
      </w:r>
      <w:r>
        <w:rPr>
          <w:spacing w:val="-5"/>
        </w:rPr>
        <w:t> </w:t>
      </w:r>
      <w:r>
        <w:rPr/>
        <w:t>PlmII-</w:t>
      </w:r>
      <w:r>
        <w:rPr>
          <w:spacing w:val="-1"/>
        </w:rPr>
        <w:t> </w:t>
      </w:r>
      <w:r>
        <w:rPr/>
        <w:t>EH5</w:t>
      </w:r>
      <w:r>
        <w:rPr>
          <w:spacing w:val="-3"/>
        </w:rPr>
        <w:t> </w:t>
      </w:r>
      <w:r>
        <w:rPr/>
        <w:t>and,</w:t>
      </w:r>
      <w:r>
        <w:rPr>
          <w:spacing w:val="-1"/>
        </w:rPr>
        <w:t> </w:t>
      </w:r>
      <w:r>
        <w:rPr/>
        <w:t>PlmIV- Pepstatin), *</w:t>
      </w:r>
      <w:r>
        <w:rPr>
          <w:spacing w:val="-3"/>
        </w:rPr>
        <w:t> </w:t>
      </w:r>
      <w:r>
        <w:rPr/>
        <w:t>Best</w:t>
      </w:r>
      <w:r>
        <w:rPr>
          <w:spacing w:val="3"/>
        </w:rPr>
        <w:t> </w:t>
      </w:r>
      <w:r>
        <w:rPr/>
        <w:t>hits</w:t>
      </w:r>
    </w:p>
    <w:p>
      <w:pPr>
        <w:spacing w:after="0"/>
        <w:sectPr>
          <w:headerReference w:type="default" r:id="rId469"/>
          <w:footerReference w:type="default" r:id="rId470"/>
          <w:pgSz w:w="11910" w:h="16840"/>
          <w:pgMar w:header="1303" w:footer="2491" w:top="1560" w:bottom="2680" w:left="156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28"/>
        </w:rPr>
      </w:pPr>
    </w:p>
    <w:p>
      <w:pPr>
        <w:pStyle w:val="BodyText"/>
        <w:ind w:left="630"/>
        <w:rPr>
          <w:sz w:val="20"/>
        </w:rPr>
      </w:pPr>
      <w:r>
        <w:rPr>
          <w:sz w:val="20"/>
        </w:rPr>
        <w:pict>
          <v:group style="width:403.45pt;height:452.75pt;mso-position-horizontal-relative:char;mso-position-vertical-relative:line" coordorigin="0,0" coordsize="8069,9055">
            <v:shape style="position:absolute;left:20;top:20;width:3689;height:2399" type="#_x0000_t75" stroked="false">
              <v:imagedata r:id="rId473" o:title=""/>
            </v:shape>
            <v:shape style="position:absolute;left:20;top:20;width:3688;height:2399" coordorigin="20,20" coordsize="3688,2399" path="m20,420l27,348,45,280,75,217,115,162,163,113,219,74,281,45,349,26,421,20,3307,20,3379,26,3447,45,3510,74,3566,113,3614,162,3654,217,3683,280,3702,348,3708,420,3708,2018,3702,2091,3683,2159,3654,2221,3614,2277,3566,2325,3510,2364,3447,2393,3379,2412,3307,2419,421,2419,349,2412,281,2393,219,2364,163,2325,115,2277,75,2221,45,2159,27,2091,20,2018,20,420xe" filled="false" stroked="true" strokeweight="2pt" strokecolor="#000000">
              <v:path arrowok="t"/>
              <v:stroke dashstyle="solid"/>
            </v:shape>
            <v:shape style="position:absolute;left:4361;top:20;width:3689;height:2399" type="#_x0000_t75" stroked="false">
              <v:imagedata r:id="rId474" o:title=""/>
            </v:shape>
            <v:shape style="position:absolute;left:3734;top:20;width:4315;height:2399" coordorigin="3734,20" coordsize="4315,2399" path="m4361,420l4367,348,4386,280,4415,217,4455,162,4503,113,4559,74,4622,45,4690,26,4762,20,7648,20,7720,26,7788,45,7850,74,7906,113,7954,162,7994,217,8024,280,8042,348,8049,420,8049,2018,8042,2091,8024,2159,7994,2221,7954,2277,7906,2325,7850,2364,7788,2393,7720,2412,7648,2419,4762,2419,4690,2412,4622,2393,4559,2364,4503,2325,4455,2277,4415,2221,4386,2159,4367,2091,4361,2018,4361,420xm3734,1333l4271,1333,4271,1373,4353,1293,4271,1211,4271,1251,3734,1251,3734,1333xe" filled="false" stroked="true" strokeweight="2pt" strokecolor="#000000">
              <v:path arrowok="t"/>
              <v:stroke dashstyle="solid"/>
            </v:shape>
            <v:shape style="position:absolute;left:4346;top:3323;width:3689;height:2400" type="#_x0000_t75" stroked="false">
              <v:imagedata r:id="rId475" o:title=""/>
            </v:shape>
            <v:shape style="position:absolute;left:4346;top:2420;width:3689;height:3303" coordorigin="4346,2420" coordsize="3689,3303" path="m4346,3723l4353,3651,4372,3583,4401,3520,4441,3465,4489,3417,4545,3377,4607,3348,4675,3329,4748,3323,7633,3323,7706,3329,7774,3348,7836,3377,7892,3417,7940,3465,7980,3520,8009,3583,8028,3651,8035,3723,8035,5323,8028,5395,8009,5463,7980,5525,7940,5581,7892,5629,7836,5668,7774,5697,7706,5716,7633,5723,4748,5723,4675,5716,4607,5697,4545,5668,4489,5629,4441,5581,4401,5525,4372,5463,4353,5395,4346,5323,4346,3723xm6214,3160l6250,3160,6250,2420,6323,2420,6323,3160,6360,3160,6287,3233,6214,3160xe" filled="false" stroked="true" strokeweight="2pt" strokecolor="#000000">
              <v:path arrowok="t"/>
              <v:stroke dashstyle="solid"/>
            </v:shape>
            <v:shape style="position:absolute;left:20;top:3323;width:3689;height:2400" type="#_x0000_t75" stroked="false">
              <v:imagedata r:id="rId476" o:title=""/>
            </v:shape>
            <v:shape style="position:absolute;left:20;top:3323;width:3688;height:2400" coordorigin="20,3323" coordsize="3688,2400" path="m20,3723l27,3651,45,3583,75,3520,115,3465,163,3417,219,3377,281,3348,349,3329,421,3323,3307,3323,3379,3329,3447,3348,3510,3377,3566,3417,3614,3465,3654,3520,3683,3583,3702,3651,3708,3723,3708,5323,3702,5395,3683,5463,3654,5525,3614,5581,3566,5629,3510,5668,3447,5697,3379,5716,3307,5723,421,5723,349,5716,281,5697,219,5668,163,5629,115,5581,75,5525,45,5463,27,5395,20,5323,20,3723xe" filled="false" stroked="true" strokeweight="2pt" strokecolor="#000000">
              <v:path arrowok="t"/>
              <v:stroke dashstyle="solid"/>
            </v:shape>
            <v:shape style="position:absolute;left:20;top:6636;width:3689;height:2399" type="#_x0000_t75" stroked="false">
              <v:imagedata r:id="rId477" o:title=""/>
            </v:shape>
            <v:shape style="position:absolute;left:20;top:4465;width:4308;height:4570" coordorigin="20,4465" coordsize="4308,4570" path="m20,7036l27,6964,45,6896,75,6833,115,6777,163,6729,219,6690,281,6661,349,6642,421,6636,3307,6636,3379,6642,3447,6661,3510,6690,3566,6729,3614,6777,3654,6833,3683,6896,3702,6964,3708,7036,3708,8634,3702,8707,3683,8775,3654,8837,3614,8893,3566,8941,3510,8980,3447,9009,3379,9028,3307,9035,421,9035,349,9028,281,9009,219,8980,163,8941,115,8893,75,8837,45,8775,27,8707,20,8634,20,7036xm1706,6507l1743,6507,1743,5766,1815,5766,1815,6507,1852,6507,1779,6580,1706,6507xm3734,4546l3816,4465,3816,4506,4328,4506,4328,4588,3816,4588,3816,4628,3734,4546xe" filled="false" stroked="true" strokeweight="2pt" strokecolor="#000000">
              <v:path arrowok="t"/>
              <v:stroke dashstyle="solid"/>
            </v:shape>
            <v:shape style="position:absolute;left:4361;top:6586;width:3689;height:2399" type="#_x0000_t75" stroked="false">
              <v:imagedata r:id="rId478" o:title=""/>
            </v:shape>
            <v:shape style="position:absolute;left:3726;top:6586;width:4323;height:2399" coordorigin="3726,6586" coordsize="4323,2399" path="m4361,6986l4367,6914,4386,6846,4415,6784,4455,6728,4503,6680,4559,6641,4622,6611,4690,6593,4762,6586,7648,6586,7720,6593,7788,6611,7850,6641,7906,6680,7954,6728,7994,6784,8024,6846,8042,6914,8049,6986,8049,8585,8042,8657,8024,8725,7994,8787,7954,8843,7906,8891,7850,8930,7788,8960,7720,8978,7648,8985,4762,8985,4690,8978,4622,8960,4559,8930,4503,8891,4455,8843,4415,8787,4386,8725,4367,8657,4361,8585,4361,6986xm3726,7840l4263,7840,4263,7881,4345,7800,4263,7718,4263,7758,3726,7758,3726,7840xe" filled="false" stroked="true" strokeweight="2pt" strokecolor="#000000">
              <v:path arrowok="t"/>
              <v:stroke dashstyle="solid"/>
            </v:shape>
            <v:shape style="position:absolute;left:1488;top:2722;width:359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5ns</w:t>
                    </w:r>
                  </w:p>
                </w:txbxContent>
              </v:textbox>
              <w10:wrap type="none"/>
            </v:shape>
            <v:shape style="position:absolute;left:5392;top:2726;width:479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10ns</w:t>
                    </w:r>
                  </w:p>
                </w:txbxContent>
              </v:textbox>
              <w10:wrap type="none"/>
            </v:shape>
            <v:shape style="position:absolute;left:2295;top:6116;width:479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20ns</w:t>
                    </w:r>
                  </w:p>
                </w:txbxContent>
              </v:textbox>
              <w10:wrap type="none"/>
            </v:shape>
            <v:shape style="position:absolute;left:5714;top:6116;width:479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z w:val="24"/>
                      </w:rPr>
                      <w:t>15ns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tabs>
          <w:tab w:pos="3952" w:val="left" w:leader="none"/>
        </w:tabs>
        <w:ind w:left="312"/>
        <w:jc w:val="both"/>
      </w:pPr>
      <w:r>
        <w:rPr/>
        <w:t>25ns</w:t>
        <w:tab/>
        <w:t>30ns</w:t>
      </w:r>
    </w:p>
    <w:p>
      <w:pPr>
        <w:pStyle w:val="Heading1"/>
        <w:spacing w:line="550" w:lineRule="atLeast" w:before="209"/>
        <w:ind w:right="691"/>
        <w:jc w:val="both"/>
      </w:pPr>
      <w:r>
        <w:rPr/>
        <w:t>MD trajectory showing 30 nanoseconds (ns) molecular dynamic simulation of P3</w:t>
      </w:r>
      <w:r>
        <w:rPr>
          <w:spacing w:val="1"/>
        </w:rPr>
        <w:t> </w:t>
      </w:r>
      <w:r>
        <w:rPr/>
        <w:t>bound to FP-2. (Magenta highlights the catalytic amino acids residues, blue is the S3-</w:t>
      </w:r>
      <w:r>
        <w:rPr>
          <w:spacing w:val="1"/>
        </w:rPr>
        <w:t> </w:t>
      </w:r>
      <w:r>
        <w:rPr/>
        <w:t>subsite,</w:t>
      </w:r>
      <w:r>
        <w:rPr>
          <w:spacing w:val="3"/>
        </w:rPr>
        <w:t> </w:t>
      </w:r>
      <w:r>
        <w:rPr/>
        <w:t>green</w:t>
      </w:r>
      <w:r>
        <w:rPr>
          <w:spacing w:val="1"/>
        </w:rPr>
        <w:t> </w:t>
      </w:r>
      <w:r>
        <w:rPr/>
        <w:t>is S2-subsite and</w:t>
      </w:r>
      <w:r>
        <w:rPr>
          <w:spacing w:val="-3"/>
        </w:rPr>
        <w:t> </w:t>
      </w:r>
      <w:r>
        <w:rPr/>
        <w:t>P3</w:t>
      </w:r>
      <w:r>
        <w:rPr>
          <w:spacing w:val="2"/>
        </w:rPr>
        <w:t> </w:t>
      </w:r>
      <w:r>
        <w:rPr/>
        <w:t>colored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element)</w:t>
      </w:r>
    </w:p>
    <w:p>
      <w:pPr>
        <w:spacing w:after="0" w:line="550" w:lineRule="atLeast"/>
        <w:jc w:val="both"/>
        <w:sectPr>
          <w:headerReference w:type="default" r:id="rId471"/>
          <w:footerReference w:type="default" r:id="rId472"/>
          <w:pgSz w:w="11910" w:h="16840"/>
          <w:pgMar w:header="1303" w:footer="2491" w:top="1560" w:bottom="268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479"/>
          <w:footerReference w:type="default" r:id="rId480"/>
          <w:pgSz w:w="11910" w:h="16840"/>
          <w:pgMar w:header="0" w:footer="2411" w:top="1580" w:bottom="2600" w:left="1560" w:right="600"/>
        </w:sectPr>
      </w:pP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ind w:left="322"/>
        <w:rPr>
          <w:sz w:val="20"/>
        </w:rPr>
      </w:pPr>
      <w:r>
        <w:rPr>
          <w:sz w:val="20"/>
        </w:rPr>
        <w:pict>
          <v:group style="width:401.75pt;height:289.350pt;mso-position-horizontal-relative:char;mso-position-vertical-relative:line" coordorigin="0,0" coordsize="8035,5787">
            <v:shape style="position:absolute;left:483;top:20;width:3057;height:2416" type="#_x0000_t75" stroked="false">
              <v:imagedata r:id="rId483" o:title=""/>
            </v:shape>
            <v:shape style="position:absolute;left:20;top:20;width:3671;height:2416" coordorigin="20,20" coordsize="3671,2416" path="m423,20l350,26,282,45,219,75,163,115,115,163,75,219,45,282,26,350,20,423,20,2033,26,2106,45,2174,75,2237,115,2293,163,2341,219,2381,282,2411,350,2430,423,2436,3288,2436,3361,2430,3429,2411,3492,2381,3548,2341,3596,2293,3636,2237,3666,2174,3685,2106,3691,2033,3691,423,3685,350,3666,282,3636,219,3596,163,3548,115,3492,75,3429,45,3361,26,3288,20,423,20xe" filled="false" stroked="true" strokeweight="2pt" strokecolor="#000000">
              <v:path arrowok="t"/>
              <v:stroke dashstyle="solid"/>
            </v:shape>
            <v:shape style="position:absolute;left:4344;top:20;width:3671;height:2416" type="#_x0000_t75" stroked="false">
              <v:imagedata r:id="rId484" o:title=""/>
            </v:shape>
            <v:shape style="position:absolute;left:4344;top:20;width:3671;height:2416" coordorigin="4344,20" coordsize="3671,2416" path="m4747,20l4674,26,4606,45,4543,75,4487,115,4439,163,4399,219,4369,282,4350,350,4344,423,4344,2033,4350,2106,4369,2174,4399,2237,4439,2293,4487,2341,4543,2381,4606,2411,4674,2430,4747,2436,7612,2436,7685,2430,7753,2411,7816,2381,7872,2341,7920,2293,7960,2237,7990,2174,8009,2106,8015,2033,8015,423,8009,350,7990,282,7960,219,7920,163,7872,115,7816,75,7753,45,7685,26,7612,20,4747,20xe" filled="false" stroked="true" strokeweight="2.0pt" strokecolor="#000000">
              <v:path arrowok="t"/>
              <v:stroke dashstyle="solid"/>
            </v:shape>
            <v:shape style="position:absolute;left:3716;top:1221;width:616;height:164" coordorigin="3716,1221" coordsize="616,164" path="m4260,1385l4260,1344,3716,1344,3716,1262,4260,1262,4260,1221,4332,1303,4260,1385xe" filled="false" stroked="true" strokeweight="2.0pt" strokecolor="#000000">
              <v:path arrowok="t"/>
              <v:stroke dashstyle="solid"/>
            </v:shape>
            <v:shape style="position:absolute;left:4848;top:3351;width:3031;height:2416" type="#_x0000_t75" stroked="false">
              <v:imagedata r:id="rId485" o:title=""/>
            </v:shape>
            <v:shape style="position:absolute;left:4332;top:3351;width:3671;height:2416" coordorigin="4332,3351" coordsize="3671,2416" path="m4735,3351l4662,3357,4594,3376,4531,3406,4475,3446,4427,3494,4387,3550,4357,3613,4338,3681,4332,3754,4332,5364,4338,5437,4357,5505,4387,5568,4427,5624,4475,5672,4531,5712,4594,5742,4662,5761,4735,5767,7600,5767,7673,5761,7741,5742,7804,5712,7860,5672,7908,5624,7948,5568,7978,5505,7997,5437,8003,5364,8003,3754,7997,3681,7978,3613,7948,3550,7908,3494,7860,3446,7804,3406,7741,3376,7673,3357,7600,3351,4735,3351xe" filled="false" stroked="true" strokeweight="2.0pt" strokecolor="#000000">
              <v:path arrowok="t"/>
              <v:stroke dashstyle="solid"/>
            </v:shape>
            <v:shape style="position:absolute;left:6191;top:2532;width:145;height:819" coordorigin="6191,2532" coordsize="145,819" path="m6191,3269l6227,3269,6227,2532,6300,2532,6300,3269,6336,3269,6263,3351,6191,3269xe" filled="false" stroked="true" strokeweight="2pt" strokecolor="#000000">
              <v:path arrowok="t"/>
              <v:stroke dashstyle="solid"/>
            </v:shape>
            <v:shape style="position:absolute;left:751;top:3351;width:2783;height:2416" type="#_x0000_t75" stroked="false">
              <v:imagedata r:id="rId486" o:title=""/>
            </v:shape>
            <v:shape style="position:absolute;left:20;top:3351;width:3671;height:2416" coordorigin="20,3351" coordsize="3671,2416" path="m423,3351l350,3357,282,3376,219,3406,163,3446,115,3494,75,3550,45,3613,26,3681,20,3754,20,5364,26,5437,45,5505,75,5568,115,5624,163,5672,219,5712,282,5742,350,5761,423,5767,3288,5767,3361,5761,3429,5742,3492,5712,3548,5672,3596,5624,3636,5568,3666,5505,3685,5437,3691,5364,3691,3754,3685,3681,3666,3613,3636,3550,3596,3494,3548,3446,3492,3406,3429,3376,3361,3357,3288,3351,423,3351xe" filled="false" stroked="true" strokeweight="2pt" strokecolor="#000000">
              <v:path arrowok="t"/>
              <v:stroke dashstyle="solid"/>
            </v:shape>
            <v:shape style="position:absolute;left:3716;top:4498;width:591;height:163" coordorigin="3716,4498" coordsize="591,163" path="m3788,4498l3788,4539,4307,4539,4307,4620,3788,4620,3788,4661,3716,4579,3788,4498xe" filled="false" stroked="true" strokeweight="2.0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1"/>
        </w:rPr>
      </w:pPr>
      <w:r>
        <w:rPr/>
        <w:pict>
          <v:group style="position:absolute;margin-left:94.099998pt;margin-top:8.352930pt;width:401.75pt;height:122.8pt;mso-position-horizontal-relative:page;mso-position-vertical-relative:paragraph;z-index:-15688192;mso-wrap-distance-left:0;mso-wrap-distance-right:0" coordorigin="1882,167" coordsize="8035,2456">
            <v:shape style="position:absolute;left:6226;top:187;width:3671;height:2416" type="#_x0000_t75" stroked="false">
              <v:imagedata r:id="rId487" o:title=""/>
            </v:shape>
            <v:shape style="position:absolute;left:6226;top:187;width:3671;height:2416" coordorigin="6226,187" coordsize="3671,2416" path="m6629,187l6556,194,6488,212,6425,242,6369,282,6321,330,6281,387,6251,449,6232,517,6226,590,6226,2200,6232,2273,6251,2341,6281,2404,6321,2460,6369,2508,6425,2548,6488,2578,6556,2597,6629,2603,9494,2603,9567,2597,9635,2578,9698,2548,9754,2508,9802,2460,9842,2404,9872,2341,9891,2273,9897,2200,9897,590,9891,517,9872,449,9842,387,9802,330,9754,282,9698,242,9635,212,9567,194,9494,187,6629,187xe" filled="false" stroked="true" strokeweight="2.0pt" strokecolor="#000000">
              <v:path arrowok="t"/>
              <v:stroke dashstyle="solid"/>
            </v:shape>
            <v:shape style="position:absolute;left:5573;top:1333;width:616;height:164" coordorigin="5573,1333" coordsize="616,164" path="m6117,1497l6117,1456,5573,1456,5573,1374,6117,1374,6117,1333,6189,1415,6117,1497xe" filled="false" stroked="true" strokeweight="2pt" strokecolor="#000000">
              <v:path arrowok="t"/>
              <v:stroke dashstyle="solid"/>
            </v:shape>
            <v:shape style="position:absolute;left:1902;top:187;width:3671;height:2416" type="#_x0000_t75" stroked="false">
              <v:imagedata r:id="rId488" o:title=""/>
            </v:shape>
            <v:shape style="position:absolute;left:1902;top:187;width:3671;height:2416" coordorigin="1902,187" coordsize="3671,2416" path="m2305,187l2232,194,2164,212,2101,242,2045,282,1997,330,1957,387,1927,449,1908,517,1902,590,1902,2200,1908,2273,1927,2341,1957,2404,1997,2460,2045,2508,2101,2548,2164,2578,2232,2597,2305,2603,5170,2603,5243,2597,5311,2578,5374,2548,5430,2508,5478,2460,5518,2404,5548,2341,5567,2273,5573,2200,5573,590,5567,517,5548,449,5518,387,5478,330,5430,282,5374,242,5311,212,5243,194,5170,187,2305,187xe" filled="false" stroked="true" strokeweight="2pt" strokecolor="#000000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spacing w:line="276" w:lineRule="auto" w:before="222"/>
        <w:ind w:left="312" w:right="731" w:firstLine="0"/>
        <w:jc w:val="left"/>
        <w:rPr>
          <w:b/>
          <w:sz w:val="24"/>
        </w:rPr>
      </w:pPr>
      <w:r>
        <w:rPr>
          <w:b/>
          <w:sz w:val="24"/>
        </w:rPr>
        <w:t>MD trajectory showing 30 nanoseconds (ns) molecular dynamic simulation of P4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bound to FP-2. (Magenta highlights the catalytic amino acids residues, blue is the S3-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subsite,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green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is S2-subsite 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P4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colored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element).</w:t>
      </w:r>
    </w:p>
    <w:p>
      <w:pPr>
        <w:spacing w:after="0" w:line="276" w:lineRule="auto"/>
        <w:jc w:val="left"/>
        <w:rPr>
          <w:sz w:val="24"/>
        </w:rPr>
        <w:sectPr>
          <w:headerReference w:type="default" r:id="rId481"/>
          <w:footerReference w:type="default" r:id="rId482"/>
          <w:pgSz w:w="11910" w:h="16840"/>
          <w:pgMar w:header="1303" w:footer="2318" w:top="1560" w:bottom="2500" w:left="1560" w:right="600"/>
          <w:pgNumType w:start="5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 w:after="1"/>
        <w:rPr>
          <w:b/>
          <w:sz w:val="16"/>
        </w:rPr>
      </w:pPr>
    </w:p>
    <w:p>
      <w:pPr>
        <w:pStyle w:val="BodyText"/>
        <w:ind w:left="715"/>
        <w:rPr>
          <w:sz w:val="20"/>
        </w:rPr>
      </w:pPr>
      <w:r>
        <w:rPr>
          <w:sz w:val="20"/>
        </w:rPr>
        <w:pict>
          <v:group style="width:402.5pt;height:435.65pt;mso-position-horizontal-relative:char;mso-position-vertical-relative:line" coordorigin="0,0" coordsize="8050,8713">
            <v:shape style="position:absolute;left:5137;top:6391;width:2618;height:2302" type="#_x0000_t75" stroked="false">
              <v:imagedata r:id="rId489" o:title=""/>
            </v:shape>
            <v:shape style="position:absolute;left:4352;top:6385;width:3678;height:2308" coordorigin="4352,6385" coordsize="3678,2308" path="m4737,6385l4659,6393,4587,6415,4522,6451,4465,6498,4418,6555,4382,6620,4360,6692,4352,6770,4352,8308,4360,8386,4382,8458,4418,8523,4465,8580,4522,8627,4587,8663,4659,8685,4737,8693,7645,8693,7723,8685,7795,8663,7860,8627,7917,8580,7964,8523,8000,8458,8022,8386,8030,8308,8030,6770,8022,6692,8000,6620,7964,6555,7917,6498,7860,6451,7795,6415,7723,6393,7645,6385,4737,6385xe" filled="false" stroked="true" strokeweight="2pt" strokecolor="#000000">
              <v:path arrowok="t"/>
              <v:stroke dashstyle="solid"/>
            </v:shape>
            <v:shape style="position:absolute;left:3698;top:7480;width:617;height:157" coordorigin="3698,7480" coordsize="617,157" path="m4242,7637l4242,7598,3698,7598,3698,7519,4242,7519,4242,7480,4315,7559,4242,7637xe" filled="false" stroked="true" strokeweight="2pt" strokecolor="#000000">
              <v:path arrowok="t"/>
              <v:stroke dashstyle="solid"/>
            </v:shape>
            <v:shape style="position:absolute;left:20;top:6385;width:3678;height:2308" type="#_x0000_t75" stroked="false">
              <v:imagedata r:id="rId490" o:title=""/>
            </v:shape>
            <v:shape style="position:absolute;left:20;top:6385;width:3678;height:2308" coordorigin="20,6385" coordsize="3678,2308" path="m405,6385l327,6393,255,6415,190,6451,133,6498,86,6555,50,6620,28,6692,20,6770,20,8308,28,8386,50,8458,86,8523,133,8580,190,8627,255,8663,327,8685,405,8693,3313,8693,3391,8685,3463,8663,3528,8627,3585,8580,3632,8523,3668,8458,3690,8386,3698,8308,3698,6770,3690,6692,3668,6620,3632,6555,3585,6498,3528,6451,3463,6415,3391,6393,3313,6385,405,6385xe" filled="false" stroked="true" strokeweight="2pt" strokecolor="#000000">
              <v:path arrowok="t"/>
              <v:stroke dashstyle="solid"/>
            </v:shape>
            <v:shape style="position:absolute;left:20;top:20;width:3678;height:2308" type="#_x0000_t75" stroked="false">
              <v:imagedata r:id="rId491" o:title=""/>
            </v:shape>
            <v:shape style="position:absolute;left:20;top:20;width:3678;height:2308" coordorigin="20,20" coordsize="3678,2308" path="m405,20l327,28,255,50,190,86,133,133,86,190,50,255,28,327,20,405,20,1943,28,2021,50,2093,86,2158,133,2215,190,2262,255,2298,327,2320,405,2328,3313,2328,3391,2320,3463,2298,3528,2262,3585,2215,3632,2158,3668,2093,3690,2021,3698,1943,3698,405,3690,327,3668,255,3632,190,3585,133,3528,86,3463,50,3391,28,3313,20,405,20xe" filled="false" stroked="true" strokeweight="2pt" strokecolor="#000000">
              <v:path arrowok="t"/>
              <v:stroke dashstyle="solid"/>
            </v:shape>
            <v:shape style="position:absolute;left:4352;top:20;width:3678;height:2308" type="#_x0000_t75" stroked="false">
              <v:imagedata r:id="rId492" o:title=""/>
            </v:shape>
            <v:shape style="position:absolute;left:4352;top:20;width:3678;height:2308" coordorigin="4352,20" coordsize="3678,2308" path="m4737,20l4659,28,4587,50,4522,86,4465,133,4418,190,4382,255,4360,327,4352,405,4352,1943,4360,2021,4382,2093,4418,2158,4465,2215,4522,2262,4587,2298,4659,2320,4737,2328,7645,2328,7723,2320,7795,2298,7860,2262,7917,2215,7964,2158,8000,2093,8022,2021,8030,1943,8030,405,8022,327,8000,255,7964,190,7917,133,7860,86,7795,50,7723,28,7645,20,4737,20xe" filled="false" stroked="true" strokeweight="2pt" strokecolor="#000000">
              <v:path arrowok="t"/>
              <v:stroke dashstyle="solid"/>
            </v:shape>
            <v:shape style="position:absolute;left:3722;top:1168;width:618;height:156" coordorigin="3722,1168" coordsize="618,156" path="m4267,1324l4267,1285,3722,1285,3722,1207,4267,1207,4267,1168,4340,1246,4267,1324xe" filled="false" stroked="true" strokeweight="2pt" strokecolor="#000000">
              <v:path arrowok="t"/>
              <v:stroke dashstyle="solid"/>
            </v:shape>
            <v:shape style="position:absolute;left:4968;top:3202;width:2893;height:2309" type="#_x0000_t75" stroked="false">
              <v:imagedata r:id="rId493" o:title=""/>
            </v:shape>
            <v:shape style="position:absolute;left:4340;top:3202;width:3678;height:2309" coordorigin="4340,3202" coordsize="3678,2309" path="m4725,3202l4647,3210,4575,3232,4510,3268,4453,3315,4406,3372,4370,3437,4348,3509,4340,3587,4340,5126,4348,5204,4370,5276,4406,5341,4453,5398,4510,5445,4575,5481,4647,5503,4725,5511,7633,5511,7711,5503,7783,5481,7848,5445,7905,5398,7952,5341,7988,5276,8010,5204,8018,5126,8018,3587,8010,3509,7988,3437,7952,3372,7905,3315,7848,3268,7783,3232,7711,3210,7633,3202,4725,3202xe" filled="false" stroked="true" strokeweight="2pt" strokecolor="#000000">
              <v:path arrowok="t"/>
              <v:stroke dashstyle="solid"/>
            </v:shape>
            <v:shape style="position:absolute;left:6203;top:2420;width:145;height:782" coordorigin="6203,2420" coordsize="145,782" path="m6203,3124l6239,3124,6239,2420,6312,2420,6312,3124,6348,3124,6275,3202,6203,3124xe" filled="false" stroked="true" strokeweight="2pt" strokecolor="#000000">
              <v:path arrowok="t"/>
              <v:stroke dashstyle="solid"/>
            </v:shape>
            <v:shape style="position:absolute;left:752;top:3202;width:2723;height:2309" type="#_x0000_t75" stroked="false">
              <v:imagedata r:id="rId494" o:title=""/>
            </v:shape>
            <v:shape style="position:absolute;left:20;top:3202;width:3678;height:2309" coordorigin="20,3202" coordsize="3678,2309" path="m405,3202l327,3210,255,3232,190,3268,133,3315,86,3372,50,3437,28,3509,20,3587,20,5126,28,5204,50,5276,86,5341,133,5398,190,5445,255,5481,327,5503,405,5511,3313,5511,3391,5503,3463,5481,3528,5445,3585,5398,3632,5341,3668,5276,3690,5204,3698,5126,3698,3587,3690,3509,3668,3437,3632,3372,3585,3315,3528,3268,3463,3232,3391,3210,3313,3202,405,3202xe" filled="false" stroked="true" strokeweight="2pt" strokecolor="#000000">
              <v:path arrowok="t"/>
              <v:stroke dashstyle="solid"/>
            </v:shape>
            <v:shape style="position:absolute;left:1702;top:4298;width:2613;height:2034" coordorigin="1702,4298" coordsize="2613,2034" path="m1702,6254l1738,6254,1738,5550,1811,5550,1811,6254,1847,6254,1775,6332,1702,6254xm3795,4298l3795,4337,4315,4337,4315,4415,3795,4415,3795,4454,3722,4376,3795,4298xe" filled="false" stroked="true" strokeweight="2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line="480" w:lineRule="auto" w:before="213"/>
        <w:ind w:right="691"/>
        <w:jc w:val="both"/>
      </w:pPr>
      <w:r>
        <w:rPr/>
        <w:t>MD trajectory showing 30 nanoseconds (ns) molecular dynamic simulation of P3</w:t>
      </w:r>
      <w:r>
        <w:rPr>
          <w:spacing w:val="1"/>
        </w:rPr>
        <w:t> </w:t>
      </w:r>
      <w:r>
        <w:rPr/>
        <w:t>bound to FP-3. (Magenta highlights the catalytic amino acids residues, blue is the S3-</w:t>
      </w:r>
      <w:r>
        <w:rPr>
          <w:spacing w:val="1"/>
        </w:rPr>
        <w:t> </w:t>
      </w:r>
      <w:r>
        <w:rPr/>
        <w:t>subsite,</w:t>
      </w:r>
      <w:r>
        <w:rPr>
          <w:spacing w:val="3"/>
        </w:rPr>
        <w:t> </w:t>
      </w:r>
      <w:r>
        <w:rPr/>
        <w:t>green</w:t>
      </w:r>
      <w:r>
        <w:rPr>
          <w:spacing w:val="1"/>
        </w:rPr>
        <w:t> </w:t>
      </w:r>
      <w:r>
        <w:rPr/>
        <w:t>is S2-subsite and</w:t>
      </w:r>
      <w:r>
        <w:rPr>
          <w:spacing w:val="-3"/>
        </w:rPr>
        <w:t> </w:t>
      </w:r>
      <w:r>
        <w:rPr/>
        <w:t>P3</w:t>
      </w:r>
      <w:r>
        <w:rPr>
          <w:spacing w:val="2"/>
        </w:rPr>
        <w:t> </w:t>
      </w:r>
      <w:r>
        <w:rPr/>
        <w:t>colored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element)</w:t>
      </w:r>
    </w:p>
    <w:p>
      <w:pPr>
        <w:spacing w:after="0" w:line="480" w:lineRule="auto"/>
        <w:jc w:val="both"/>
        <w:sectPr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pStyle w:val="BodyText"/>
        <w:ind w:left="520"/>
        <w:rPr>
          <w:sz w:val="20"/>
        </w:rPr>
      </w:pPr>
      <w:r>
        <w:rPr>
          <w:sz w:val="20"/>
        </w:rPr>
        <w:pict>
          <v:group style="width:427.35pt;height:475.4pt;mso-position-horizontal-relative:char;mso-position-vertical-relative:line" coordorigin="0,0" coordsize="8547,9508">
            <v:shape style="position:absolute;left:4620;top:7066;width:3907;height:2422" type="#_x0000_t75" stroked="false">
              <v:imagedata r:id="rId497" o:title=""/>
            </v:shape>
            <v:shape style="position:absolute;left:4620;top:6968;width:3907;height:2520" coordorigin="4620,6968" coordsize="3907,2520" path="m5040,6968l4964,6975,4893,6994,4828,7025,4769,7067,4719,7117,4677,7176,4646,7241,4627,7312,4620,7388,4620,9068,4627,9144,4646,9215,4677,9280,4719,9339,4769,9389,4828,9431,4893,9462,4964,9481,5040,9488,8107,9488,8183,9481,8254,9462,8319,9431,8378,9389,8428,9339,8470,9280,8501,9215,8520,9144,8527,9068,8527,7388,8520,7312,8501,7241,8470,7176,8428,7117,8378,7067,8319,7025,8254,6994,8183,6975,8107,6968,5040,6968xe" filled="false" stroked="true" strokeweight="2pt" strokecolor="#000000">
              <v:path arrowok="t"/>
              <v:stroke dashstyle="solid"/>
            </v:shape>
            <v:shape style="position:absolute;left:3927;top:8164;width:655;height:171" coordorigin="3927,8164" coordsize="655,171" path="m4505,8335l4505,8292,3927,8292,3927,8207,4505,8207,4505,8164,4582,8250,4505,8335xe" filled="false" stroked="true" strokeweight="2pt" strokecolor="#000000">
              <v:path arrowok="t"/>
              <v:stroke dashstyle="solid"/>
            </v:shape>
            <v:shape style="position:absolute;left:20;top:6968;width:3907;height:2520" type="#_x0000_t75" stroked="false">
              <v:imagedata r:id="rId498" o:title=""/>
            </v:shape>
            <v:shape style="position:absolute;left:20;top:6968;width:3907;height:2520" coordorigin="20,6968" coordsize="3907,2520" path="m440,6968l364,6975,293,6994,228,7025,169,7067,119,7117,77,7176,46,7241,27,7312,20,7388,20,9068,27,9144,46,9215,77,9280,119,9339,169,9389,228,9431,293,9462,364,9481,440,9488,3507,9488,3583,9481,3654,9462,3719,9431,3778,9389,3828,9339,3870,9280,3901,9215,3920,9144,3927,9068,3927,7388,3920,7312,3901,7241,3870,7176,3828,7117,3778,7067,3719,7025,3654,6994,3583,6975,3507,6968,440,6968xe" filled="false" stroked="true" strokeweight="2pt" strokecolor="#000000">
              <v:path arrowok="t"/>
              <v:stroke dashstyle="solid"/>
            </v:shape>
            <v:shape style="position:absolute;left:20;top:26;width:3907;height:2514" type="#_x0000_t75" stroked="false">
              <v:imagedata r:id="rId499" o:title=""/>
            </v:shape>
            <v:shape style="position:absolute;left:20;top:20;width:3907;height:2520" coordorigin="20,20" coordsize="3907,2520" path="m440,20l364,27,293,46,228,77,169,119,119,169,77,228,46,293,27,364,20,440,20,2120,27,2196,46,2267,77,2332,119,2391,169,2441,228,2483,293,2514,364,2533,440,2540,3507,2540,3583,2533,3654,2514,3719,2483,3778,2441,3828,2391,3870,2332,3901,2267,3920,2196,3927,2120,3927,440,3920,364,3901,293,3870,228,3828,169,3778,119,3719,77,3654,46,3583,27,3507,20,440,20xe" filled="false" stroked="true" strokeweight="2pt" strokecolor="#000000">
              <v:path arrowok="t"/>
              <v:stroke dashstyle="solid"/>
            </v:shape>
            <v:shape style="position:absolute;left:4620;top:20;width:3907;height:2520" type="#_x0000_t75" stroked="false">
              <v:imagedata r:id="rId500" o:title=""/>
            </v:shape>
            <v:shape style="position:absolute;left:4620;top:20;width:3907;height:2520" coordorigin="4620,20" coordsize="3907,2520" path="m5040,20l4964,27,4893,46,4828,77,4769,119,4719,169,4677,228,4646,293,4627,364,4620,440,4620,2120,4627,2196,4646,2267,4677,2332,4719,2391,4769,2441,4828,2483,4893,2514,4964,2533,5040,2540,8107,2540,8183,2533,8254,2514,8319,2483,8378,2441,8428,2391,8470,2332,8501,2267,8520,2196,8527,2120,8527,440,8520,364,8501,293,8470,228,8428,169,8378,119,8319,77,8254,46,8183,27,8107,20,5040,20xe" filled="false" stroked="true" strokeweight="2pt" strokecolor="#000000">
              <v:path arrowok="t"/>
              <v:stroke dashstyle="solid"/>
            </v:shape>
            <v:shape style="position:absolute;left:3952;top:1273;width:656;height:171" coordorigin="3952,1273" coordsize="656,171" path="m4531,1444l4531,1401,3952,1401,3952,1316,4531,1316,4531,1273,4608,1358,4531,1444xe" filled="false" stroked="true" strokeweight="2pt" strokecolor="#000000">
              <v:path arrowok="t"/>
              <v:stroke dashstyle="solid"/>
            </v:shape>
            <v:shape style="position:absolute;left:4608;top:3494;width:3906;height:2520" type="#_x0000_t75" stroked="false">
              <v:imagedata r:id="rId501" o:title=""/>
            </v:shape>
            <v:shape style="position:absolute;left:4608;top:3494;width:3906;height:2520" coordorigin="4608,3494" coordsize="3906,2520" path="m5028,3494l4952,3501,4881,3520,4816,3551,4757,3593,4707,3643,4665,3702,4634,3767,4615,3838,4608,3914,4608,5594,4615,5670,4634,5741,4665,5806,4707,5865,4757,5915,4816,5957,4881,5988,4952,6007,5028,6014,8094,6014,8170,6007,8241,5988,8306,5957,8365,5915,8415,5865,8457,5806,8488,5741,8507,5670,8514,5594,8514,3914,8507,3838,8488,3767,8457,3702,8415,3643,8365,3593,8306,3551,8241,3520,8170,3501,8094,3494,5028,3494xe" filled="false" stroked="true" strokeweight="2pt" strokecolor="#000000">
              <v:path arrowok="t"/>
              <v:stroke dashstyle="solid"/>
            </v:shape>
            <v:shape style="position:absolute;left:6587;top:2640;width:154;height:854" coordorigin="6587,2640" coordsize="154,854" path="m6587,3409l6625,3409,6625,2640,6703,2640,6703,3409,6741,3409,6664,3494,6587,3409xe" filled="false" stroked="true" strokeweight="2pt" strokecolor="#000000">
              <v:path arrowok="t"/>
              <v:stroke dashstyle="solid"/>
            </v:shape>
            <v:shape style="position:absolute;left:20;top:3494;width:3907;height:2520" type="#_x0000_t75" stroked="false">
              <v:imagedata r:id="rId502" o:title=""/>
            </v:shape>
            <v:shape style="position:absolute;left:20;top:3494;width:3907;height:2520" coordorigin="20,3494" coordsize="3907,2520" path="m440,3494l364,3501,293,3520,228,3551,169,3593,119,3643,77,3702,46,3767,27,3838,20,3914,20,5594,27,5670,46,5741,77,5806,119,5865,169,5915,228,5957,293,5988,364,6007,440,6014,3507,6014,3583,6007,3654,5988,3719,5957,3778,5915,3828,5865,3870,5806,3901,5741,3920,5670,3927,5594,3927,3914,3920,3838,3901,3767,3870,3702,3828,3643,3778,3593,3719,3551,3654,3520,3583,3501,3507,3494,440,3494xe" filled="false" stroked="true" strokeweight="2pt" strokecolor="#000000">
              <v:path arrowok="t"/>
              <v:stroke dashstyle="solid"/>
            </v:shape>
            <v:shape style="position:absolute;left:1806;top:4690;width:2776;height:2221" coordorigin="1806,4690" coordsize="2776,2221" path="m1806,6826l1844,6826,1844,6057,1922,6057,1922,6826,1960,6826,1883,6911,1806,6826xm4029,4690l4029,4733,4582,4733,4582,4818,4029,4818,4029,4861,3952,4776,4029,4690xe" filled="false" stroked="true" strokeweight="2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spacing w:line="480" w:lineRule="auto" w:before="90"/>
        <w:ind w:left="312" w:right="691" w:firstLine="0"/>
        <w:jc w:val="both"/>
        <w:rPr>
          <w:b/>
          <w:sz w:val="24"/>
        </w:rPr>
      </w:pPr>
      <w:r>
        <w:rPr>
          <w:b/>
          <w:sz w:val="24"/>
        </w:rPr>
        <w:t>MD trajectory showing 30 nanoseconds (ns) molecular dynamic simulation of P4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bound to FP-3. (Magenta highlights the catalytic amino acids residues, blue is the S3-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subsite,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green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is S2-subsite 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P4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colored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element)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495"/>
          <w:footerReference w:type="default" r:id="rId496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8" w:after="1"/>
        <w:rPr>
          <w:b/>
          <w:sz w:val="26"/>
        </w:rPr>
      </w:pPr>
    </w:p>
    <w:p>
      <w:pPr>
        <w:pStyle w:val="BodyText"/>
        <w:ind w:left="535"/>
        <w:rPr>
          <w:sz w:val="20"/>
        </w:rPr>
      </w:pPr>
      <w:r>
        <w:rPr>
          <w:sz w:val="20"/>
        </w:rPr>
        <w:pict>
          <v:group style="width:422pt;height:452.9pt;mso-position-horizontal-relative:char;mso-position-vertical-relative:line" coordorigin="0,0" coordsize="8440,9058">
            <v:shape style="position:absolute;left:4563;top:6644;width:3857;height:2394" type="#_x0000_t75" stroked="false">
              <v:imagedata r:id="rId505" o:title=""/>
            </v:shape>
            <v:shape style="position:absolute;left:4563;top:6638;width:3857;height:2400" coordorigin="4563,6638" coordsize="3857,2400" path="m4963,6638l4891,6644,4823,6663,4761,6693,4705,6732,4657,6780,4618,6836,4588,6898,4569,6966,4563,7038,4563,8638,4569,8710,4588,8778,4618,8840,4657,8896,4705,8944,4761,8983,4823,9013,4891,9032,4963,9038,8020,9038,8092,9032,8160,9013,8222,8983,8278,8944,8326,8896,8365,8840,8395,8778,8414,8710,8420,8638,8420,7038,8414,6966,8395,6898,8365,6836,8326,6780,8278,6732,8222,6693,8160,6663,8092,6644,8020,6638,4963,6638xe" filled="false" stroked="true" strokeweight="2pt" strokecolor="#000000">
              <v:path arrowok="t"/>
              <v:stroke dashstyle="solid"/>
            </v:shape>
            <v:shape style="position:absolute;left:3877;top:7777;width:647;height:163" coordorigin="3877,7777" coordsize="647,163" path="m4448,7940l4448,7899,3877,7899,3877,7818,4448,7818,4448,7777,4524,7859,4448,7940xe" filled="false" stroked="true" strokeweight="2pt" strokecolor="#000000">
              <v:path arrowok="t"/>
              <v:stroke dashstyle="solid"/>
            </v:shape>
            <v:shape style="position:absolute;left:20;top:6638;width:3857;height:2400" type="#_x0000_t75" stroked="false">
              <v:imagedata r:id="rId506" o:title=""/>
            </v:shape>
            <v:shape style="position:absolute;left:20;top:6638;width:3857;height:2400" coordorigin="20,6638" coordsize="3857,2400" path="m420,6638l348,6644,280,6663,218,6693,162,6732,114,6780,75,6836,45,6898,26,6966,20,7038,20,8638,26,8710,45,8778,75,8840,114,8896,162,8944,218,8983,280,9013,348,9032,420,9038,3477,9038,3549,9032,3617,9013,3679,8983,3735,8944,3783,8896,3822,8840,3852,8778,3871,8710,3877,8638,3877,7038,3871,6966,3852,6898,3822,6836,3783,6780,3735,6732,3679,6693,3617,6663,3549,6644,3477,6638,420,6638xe" filled="false" stroked="true" strokeweight="2pt" strokecolor="#000000">
              <v:path arrowok="t"/>
              <v:stroke dashstyle="solid"/>
            </v:shape>
            <v:shape style="position:absolute;left:65;top:20;width:3504;height:2400" type="#_x0000_t75" stroked="false">
              <v:imagedata r:id="rId507" o:title=""/>
            </v:shape>
            <v:shape style="position:absolute;left:20;top:20;width:3857;height:2400" coordorigin="20,20" coordsize="3857,2400" path="m420,20l348,26,280,45,218,75,162,114,114,162,75,218,45,280,26,348,20,420,20,2020,26,2092,45,2160,75,2222,114,2278,162,2326,218,2365,280,2395,348,2414,420,2420,3477,2420,3549,2414,3617,2395,3679,2365,3735,2326,3783,2278,3822,2222,3852,2160,3871,2092,3877,2020,3877,420,3871,348,3852,280,3822,218,3783,162,3735,114,3679,75,3617,45,3549,26,3477,20,420,20xe" filled="false" stroked="true" strokeweight="2pt" strokecolor="#000000">
              <v:path arrowok="t"/>
              <v:stroke dashstyle="solid"/>
            </v:shape>
            <v:shape style="position:absolute;left:4563;top:20;width:3857;height:2400" type="#_x0000_t75" stroked="false">
              <v:imagedata r:id="rId508" o:title=""/>
            </v:shape>
            <v:shape style="position:absolute;left:4563;top:20;width:3857;height:2400" coordorigin="4563,20" coordsize="3857,2400" path="m4963,20l4891,26,4823,45,4761,75,4705,114,4657,162,4618,218,4588,280,4569,348,4563,420,4563,2020,4569,2092,4588,2160,4618,2222,4657,2278,4705,2326,4761,2365,4823,2395,4891,2414,4963,2420,8020,2420,8092,2414,8160,2395,8222,2365,8278,2326,8326,2278,8365,2222,8395,2160,8414,2092,8420,2020,8420,420,8414,348,8395,280,8365,218,8326,162,8278,114,8222,75,8160,45,8092,26,8020,20,4963,20xe" filled="false" stroked="true" strokeweight="2pt" strokecolor="#000000">
              <v:path arrowok="t"/>
              <v:stroke dashstyle="solid"/>
            </v:shape>
            <v:shape style="position:absolute;left:3903;top:1213;width:647;height:163" coordorigin="3903,1213" coordsize="647,163" path="m4474,1376l4474,1335,3903,1335,3903,1254,4474,1254,4474,1213,4550,1295,4474,1376xe" filled="false" stroked="true" strokeweight="2pt" strokecolor="#000000">
              <v:path arrowok="t"/>
              <v:stroke dashstyle="solid"/>
            </v:shape>
            <v:shape style="position:absolute;left:4550;top:3329;width:3857;height:2400" type="#_x0000_t75" stroked="false">
              <v:imagedata r:id="rId509" o:title=""/>
            </v:shape>
            <v:shape style="position:absolute;left:4550;top:3329;width:3857;height:2400" coordorigin="4550,3329" coordsize="3857,2400" path="m4950,3329l4878,3335,4810,3354,4748,3384,4692,3423,4644,3471,4605,3527,4575,3589,4556,3657,4550,3729,4550,5329,4556,5401,4575,5469,4605,5531,4644,5587,4692,5635,4748,5674,4810,5704,4878,5723,4950,5729,8007,5729,8079,5723,8147,5704,8209,5674,8265,5635,8313,5587,8352,5531,8382,5469,8401,5401,8407,5329,8407,3729,8401,3657,8382,3589,8352,3527,8313,3471,8265,3423,8209,3384,8147,3354,8079,3335,8007,3329,4950,3329xe" filled="false" stroked="true" strokeweight="2pt" strokecolor="#000000">
              <v:path arrowok="t"/>
              <v:stroke dashstyle="solid"/>
            </v:shape>
            <v:shape style="position:absolute;left:6504;top:2515;width:152;height:814" coordorigin="6504,2515" coordsize="152,814" path="m6504,3248l6542,3248,6542,2515,6618,2515,6618,3248,6656,3248,6580,3329,6504,3248xe" filled="false" stroked="true" strokeweight="2.0pt" strokecolor="#000000">
              <v:path arrowok="t"/>
              <v:stroke dashstyle="solid"/>
            </v:shape>
            <v:shape style="position:absolute;left:196;top:3275;width:3668;height:2400" type="#_x0000_t75" stroked="false">
              <v:imagedata r:id="rId510" o:title=""/>
            </v:shape>
            <v:shape style="position:absolute;left:20;top:3275;width:3857;height:2400" coordorigin="20,3275" coordsize="3857,2400" path="m420,3275l348,3281,280,3300,218,3330,162,3369,114,3417,75,3473,45,3535,26,3603,20,3675,20,5275,26,5347,45,5415,75,5477,114,5533,162,5581,218,5620,280,5650,348,5669,420,5675,3477,5675,3549,5669,3617,5650,3679,5620,3735,5581,3783,5533,3822,5477,3852,5415,3871,5347,3877,5275,3877,3675,3871,3603,3852,3535,3822,3473,3783,3417,3735,3369,3679,3330,3617,3300,3549,3281,3477,3275,420,3275xe" filled="false" stroked="true" strokeweight="2pt" strokecolor="#000000">
              <v:path arrowok="t"/>
              <v:stroke dashstyle="solid"/>
            </v:shape>
            <v:shape style="position:absolute;left:1784;top:4468;width:2740;height:2116" coordorigin="1784,4468" coordsize="2740,2116" path="m1784,6503l1822,6503,1822,5770,1898,5770,1898,6503,1936,6503,1860,6584,1784,6503xm3979,4468l3979,4509,4524,4509,4524,4590,3979,4590,3979,4631,3903,4550,3979,4468xe" filled="false" stroked="true" strokeweight="2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line="480" w:lineRule="auto" w:before="213"/>
        <w:ind w:right="705"/>
        <w:jc w:val="both"/>
      </w:pPr>
      <w:r>
        <w:rPr/>
        <w:t>MD trajectory showing 30 nanoseconds (ns) molecular dynamic simulation of P3</w:t>
      </w:r>
      <w:r>
        <w:rPr>
          <w:spacing w:val="1"/>
        </w:rPr>
        <w:t> </w:t>
      </w:r>
      <w:r>
        <w:rPr/>
        <w:t>bound to Plm-II (Magenta highlights the catalytic aspartic acid residues, blue is the</w:t>
      </w:r>
      <w:r>
        <w:rPr>
          <w:spacing w:val="1"/>
        </w:rPr>
        <w:t> </w:t>
      </w:r>
      <w:r>
        <w:rPr/>
        <w:t>flap,</w:t>
      </w:r>
      <w:r>
        <w:rPr>
          <w:spacing w:val="2"/>
        </w:rPr>
        <w:t> </w:t>
      </w:r>
      <w:r>
        <w:rPr/>
        <w:t>cyan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Tyr</w:t>
      </w:r>
      <w:r>
        <w:rPr>
          <w:spacing w:val="-3"/>
        </w:rPr>
        <w:t> </w:t>
      </w:r>
      <w:r>
        <w:rPr/>
        <w:t>192,</w:t>
      </w:r>
      <w:r>
        <w:rPr>
          <w:spacing w:val="2"/>
        </w:rPr>
        <w:t> </w:t>
      </w:r>
      <w:r>
        <w:rPr/>
        <w:t>green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flexible</w:t>
      </w:r>
      <w:r>
        <w:rPr>
          <w:spacing w:val="-1"/>
        </w:rPr>
        <w:t> </w:t>
      </w:r>
      <w:r>
        <w:rPr/>
        <w:t>loop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P3</w:t>
      </w:r>
      <w:r>
        <w:rPr>
          <w:spacing w:val="1"/>
        </w:rPr>
        <w:t> </w:t>
      </w:r>
      <w:r>
        <w:rPr/>
        <w:t>colored by</w:t>
      </w:r>
      <w:r>
        <w:rPr>
          <w:spacing w:val="1"/>
        </w:rPr>
        <w:t> </w:t>
      </w:r>
      <w:r>
        <w:rPr/>
        <w:t>element)</w:t>
      </w:r>
    </w:p>
    <w:p>
      <w:pPr>
        <w:spacing w:after="0" w:line="480" w:lineRule="auto"/>
        <w:jc w:val="both"/>
        <w:sectPr>
          <w:headerReference w:type="default" r:id="rId503"/>
          <w:footerReference w:type="default" r:id="rId504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6" w:after="1"/>
        <w:rPr>
          <w:b/>
          <w:sz w:val="16"/>
        </w:rPr>
      </w:pPr>
    </w:p>
    <w:p>
      <w:pPr>
        <w:pStyle w:val="BodyText"/>
        <w:ind w:left="715"/>
        <w:rPr>
          <w:sz w:val="20"/>
        </w:rPr>
      </w:pPr>
      <w:r>
        <w:rPr>
          <w:sz w:val="20"/>
        </w:rPr>
        <w:pict>
          <v:group style="width:404pt;height:433.4pt;mso-position-horizontal-relative:char;mso-position-vertical-relative:line" coordorigin="0,0" coordsize="8080,8668">
            <v:shape style="position:absolute;left:4368;top:6352;width:3692;height:2296" type="#_x0000_t75" stroked="false">
              <v:imagedata r:id="rId513" o:title=""/>
            </v:shape>
            <v:shape style="position:absolute;left:4368;top:6352;width:3692;height:2296" coordorigin="4368,6352" coordsize="3692,2296" path="m4751,6352l4674,6360,4602,6382,4537,6417,4480,6464,4433,6521,4398,6586,4376,6658,4368,6735,4368,8265,4376,8342,4398,8414,4433,8479,4480,8536,4537,8583,4602,8618,4674,8640,4751,8648,7677,8648,7754,8640,7826,8618,7891,8583,7948,8536,7995,8479,8030,8414,8052,8342,8060,8265,8060,6735,8052,6658,8030,6586,7995,6521,7948,6464,7891,6417,7826,6382,7754,6360,7677,6352,4751,6352xe" filled="false" stroked="true" strokeweight="2pt" strokecolor="#000000">
              <v:path arrowok="t"/>
              <v:stroke dashstyle="solid"/>
            </v:shape>
            <v:shape style="position:absolute;left:3712;top:7441;width:619;height:156" coordorigin="3712,7441" coordsize="619,156" path="m4258,7597l4258,7558,3712,7558,3712,7480,4258,7480,4258,7441,4331,7519,4258,7597xe" filled="false" stroked="true" strokeweight="2pt" strokecolor="#000000">
              <v:path arrowok="t"/>
              <v:stroke dashstyle="solid"/>
            </v:shape>
            <v:shape style="position:absolute;left:20;top:6352;width:3692;height:2296" type="#_x0000_t75" stroked="false">
              <v:imagedata r:id="rId514" o:title=""/>
            </v:shape>
            <v:shape style="position:absolute;left:20;top:6352;width:3692;height:2296" coordorigin="20,6352" coordsize="3692,2296" path="m403,6352l326,6360,254,6382,189,6417,132,6464,85,6521,50,6586,28,6658,20,6735,20,8265,28,8342,50,8414,85,8479,132,8536,189,8583,254,8618,326,8640,403,8648,3329,8648,3406,8640,3478,8618,3543,8583,3600,8536,3647,8479,3682,8414,3704,8342,3712,8265,3712,6735,3704,6658,3682,6586,3647,6521,3600,6464,3543,6417,3478,6382,3406,6360,3329,6352,403,6352xe" filled="false" stroked="true" strokeweight="2pt" strokecolor="#000000">
              <v:path arrowok="t"/>
              <v:stroke dashstyle="solid"/>
            </v:shape>
            <v:shape style="position:absolute;left:20;top:20;width:3692;height:2296" type="#_x0000_t75" stroked="false">
              <v:imagedata r:id="rId515" o:title=""/>
            </v:shape>
            <v:shape style="position:absolute;left:20;top:20;width:3692;height:2296" coordorigin="20,20" coordsize="3692,2296" path="m403,20l326,28,254,50,189,85,132,132,85,189,50,254,28,326,20,403,20,1933,28,2010,50,2082,85,2147,132,2204,189,2251,254,2286,326,2308,403,2316,3329,2316,3406,2308,3478,2286,3543,2251,3600,2204,3647,2147,3682,2082,3704,2010,3712,1933,3712,403,3704,326,3682,254,3647,189,3600,132,3543,85,3478,50,3406,28,3329,20,403,20xe" filled="false" stroked="true" strokeweight="2pt" strokecolor="#000000">
              <v:path arrowok="t"/>
              <v:stroke dashstyle="solid"/>
            </v:shape>
            <v:shape style="position:absolute;left:4368;top:20;width:3692;height:2296" type="#_x0000_t75" stroked="false">
              <v:imagedata r:id="rId516" o:title=""/>
            </v:shape>
            <v:shape style="position:absolute;left:4368;top:20;width:3692;height:2296" coordorigin="4368,20" coordsize="3692,2296" path="m4751,20l4674,28,4602,50,4537,85,4480,132,4433,189,4398,254,4376,326,4368,403,4368,1933,4376,2010,4398,2082,4433,2147,4480,2204,4537,2251,4602,2286,4674,2308,4751,2316,7677,2316,7754,2308,7826,2286,7891,2251,7948,2204,7995,2147,8030,2082,8052,2010,8060,1933,8060,403,8052,326,8030,254,7995,189,7948,132,7891,85,7826,50,7754,28,7677,20,4751,20xe" filled="false" stroked="true" strokeweight="2pt" strokecolor="#000000">
              <v:path arrowok="t"/>
              <v:stroke dashstyle="solid"/>
            </v:shape>
            <v:shape style="position:absolute;left:3736;top:1162;width:620;height:155" coordorigin="3736,1162" coordsize="620,155" path="m4283,1317l4283,1278,3736,1278,3736,1201,4283,1201,4283,1162,4356,1240,4283,1317xe" filled="false" stroked="true" strokeweight="2pt" strokecolor="#000000">
              <v:path arrowok="t"/>
              <v:stroke dashstyle="solid"/>
            </v:shape>
            <v:shape style="position:absolute;left:4356;top:3186;width:3575;height:2296" type="#_x0000_t75" stroked="false">
              <v:imagedata r:id="rId517" o:title=""/>
            </v:shape>
            <v:shape style="position:absolute;left:4356;top:3186;width:3692;height:2296" coordorigin="4356,3186" coordsize="3692,2296" path="m4739,3186l4662,3194,4590,3216,4525,3251,4468,3298,4421,3355,4386,3420,4364,3492,4356,3569,4356,5099,4364,5176,4386,5248,4421,5313,4468,5370,4525,5417,4590,5452,4662,5474,4739,5482,7665,5482,7742,5474,7814,5452,7879,5417,7936,5370,7983,5313,8018,5248,8040,5176,8048,5099,8048,3569,8040,3492,8018,3420,7983,3355,7936,3298,7879,3251,7814,3216,7742,3194,7665,3186,4739,3186xe" filled="false" stroked="true" strokeweight="2pt" strokecolor="#000000">
              <v:path arrowok="t"/>
              <v:stroke dashstyle="solid"/>
            </v:shape>
            <v:shape style="position:absolute;left:6226;top:2407;width:146;height:779" coordorigin="6226,2407" coordsize="146,779" path="m6226,3108l6262,3108,6262,2407,6335,2407,6335,3108,6372,3108,6299,3186,6226,3108xe" filled="false" stroked="true" strokeweight="2pt" strokecolor="#000000">
              <v:path arrowok="t"/>
              <v:stroke dashstyle="solid"/>
            </v:shape>
            <v:shape style="position:absolute;left:20;top:3186;width:3692;height:2296" type="#_x0000_t75" stroked="false">
              <v:imagedata r:id="rId518" o:title=""/>
            </v:shape>
            <v:shape style="position:absolute;left:20;top:3186;width:3692;height:2296" coordorigin="20,3186" coordsize="3692,2296" path="m403,3186l326,3194,254,3216,189,3251,132,3298,85,3355,50,3420,28,3492,20,3569,20,5099,28,5176,50,5248,85,5313,132,5370,189,5417,254,5452,326,5474,403,5482,3329,5482,3406,5474,3478,5452,3543,5417,3600,5370,3647,5313,3682,5248,3704,5176,3712,5099,3712,3569,3704,3492,3682,3420,3647,3355,3600,3298,3543,3251,3478,3216,3406,3194,3329,3186,403,3186xe" filled="false" stroked="true" strokeweight="2pt" strokecolor="#000000">
              <v:path arrowok="t"/>
              <v:stroke dashstyle="solid"/>
            </v:shape>
            <v:shape style="position:absolute;left:1708;top:4276;width:2623;height:2024" coordorigin="1708,4276" coordsize="2623,2024" path="m1708,6222l1745,6222,1745,5521,1818,5521,1818,6222,1854,6222,1781,6300,1708,6222xm3809,4276l3809,4315,4331,4315,4331,4392,3809,4392,3809,4431,3736,4353,3809,4276xe" filled="false" stroked="true" strokeweight="2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b/>
          <w:sz w:val="29"/>
        </w:rPr>
      </w:pPr>
    </w:p>
    <w:p>
      <w:pPr>
        <w:spacing w:line="480" w:lineRule="auto" w:before="90"/>
        <w:ind w:left="312" w:right="700" w:firstLine="0"/>
        <w:jc w:val="both"/>
        <w:rPr>
          <w:b/>
          <w:sz w:val="24"/>
        </w:rPr>
      </w:pPr>
      <w:r>
        <w:rPr>
          <w:b/>
          <w:sz w:val="24"/>
        </w:rPr>
        <w:t>MD trajectory showing 30 nanoseconds (ns) molecular dynamic simulation of P4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bound to Plm-II. (Magenta highlights the catalytic aspartic acid residues, blue is the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flap,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cyan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Tyr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192,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green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flexible loop and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P3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colored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element)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511"/>
          <w:footerReference w:type="default" r:id="rId512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 w:after="1"/>
        <w:rPr>
          <w:b/>
        </w:rPr>
      </w:pPr>
    </w:p>
    <w:p>
      <w:pPr>
        <w:pStyle w:val="BodyText"/>
        <w:ind w:left="430"/>
        <w:rPr>
          <w:sz w:val="20"/>
        </w:rPr>
      </w:pPr>
      <w:r>
        <w:rPr>
          <w:sz w:val="20"/>
        </w:rPr>
        <w:pict>
          <v:group style="width:420.5pt;height:482pt;mso-position-horizontal-relative:char;mso-position-vertical-relative:line" coordorigin="0,0" coordsize="8410,9640">
            <v:shape style="position:absolute;left:4546;top:7072;width:3844;height:2548" type="#_x0000_t75" stroked="false">
              <v:imagedata r:id="rId521" o:title=""/>
            </v:shape>
            <v:shape style="position:absolute;left:4546;top:7065;width:3844;height:2555" coordorigin="4546,7065" coordsize="3844,2555" path="m4972,7065l4895,7072,4823,7092,4757,7123,4697,7165,4646,7216,4604,7276,4573,7342,4553,7414,4546,7491,4546,9194,4553,9271,4573,9343,4604,9409,4646,9469,4697,9520,4757,9562,4823,9593,4895,9613,4972,9620,7964,9620,8041,9613,8113,9593,8179,9562,8239,9520,8290,9469,8332,9409,8363,9343,8383,9271,8390,9194,8390,7491,8383,7414,8363,7342,8332,7276,8290,7216,8239,7165,8179,7123,8113,7092,8041,7072,7964,7065,4972,7065xe" filled="false" stroked="true" strokeweight="2pt" strokecolor="#000000">
              <v:path arrowok="t"/>
              <v:stroke dashstyle="solid"/>
            </v:shape>
            <v:shape style="position:absolute;left:3901;top:8277;width:645;height:174" coordorigin="3901,8277" coordsize="645,174" path="m4470,8451l4470,8407,3901,8407,3901,8320,4470,8320,4470,8277,4546,8364,4470,8451xe" filled="false" stroked="true" strokeweight="2pt" strokecolor="#000000">
              <v:path arrowok="t"/>
              <v:stroke dashstyle="solid"/>
            </v:shape>
            <v:shape style="position:absolute;left:20;top:7065;width:3844;height:2555" type="#_x0000_t75" stroked="false">
              <v:imagedata r:id="rId522" o:title=""/>
            </v:shape>
            <v:shape style="position:absolute;left:20;top:7065;width:3844;height:2555" coordorigin="20,7065" coordsize="3844,2555" path="m446,7065l369,7072,297,7092,231,7123,171,7165,120,7216,78,7276,47,7342,27,7414,20,7491,20,9194,27,9271,47,9343,78,9409,120,9469,171,9520,231,9562,297,9593,369,9613,446,9620,3438,9620,3515,9613,3587,9593,3653,9562,3713,9520,3764,9469,3806,9409,3837,9343,3857,9271,3864,9194,3864,7491,3857,7414,3837,7342,3806,7276,3764,7216,3713,7165,3653,7123,3587,7092,3515,7072,3438,7065,446,7065xe" filled="false" stroked="true" strokeweight="2pt" strokecolor="#000000">
              <v:path arrowok="t"/>
              <v:stroke dashstyle="solid"/>
            </v:shape>
            <v:shape style="position:absolute;left:20;top:27;width:3844;height:2548" type="#_x0000_t75" stroked="false">
              <v:imagedata r:id="rId523" o:title=""/>
            </v:shape>
            <v:shape style="position:absolute;left:20;top:20;width:3844;height:2555" coordorigin="20,20" coordsize="3844,2555" path="m446,20l369,27,297,47,231,78,171,120,120,171,78,231,47,297,27,369,20,446,20,2149,27,2226,47,2298,78,2364,120,2424,171,2475,231,2517,297,2548,369,2568,446,2575,3438,2575,3515,2568,3587,2548,3653,2517,3713,2475,3764,2424,3806,2364,3837,2298,3857,2226,3864,2149,3864,446,3857,369,3837,297,3806,231,3764,171,3713,120,3653,78,3587,47,3515,27,3438,20,446,20xe" filled="false" stroked="true" strokeweight="2pt" strokecolor="#000000">
              <v:path arrowok="t"/>
              <v:stroke dashstyle="solid"/>
            </v:shape>
            <v:shape style="position:absolute;left:4546;top:20;width:3774;height:2555" type="#_x0000_t75" stroked="false">
              <v:imagedata r:id="rId524" o:title=""/>
            </v:shape>
            <v:shape style="position:absolute;left:4546;top:20;width:3844;height:2555" coordorigin="4546,20" coordsize="3844,2555" path="m4972,20l4895,27,4823,47,4757,78,4697,120,4646,171,4604,231,4573,297,4553,369,4546,446,4546,2149,4553,2226,4573,2298,4604,2364,4646,2424,4697,2475,4757,2517,4823,2548,4895,2568,4972,2575,7964,2575,8041,2568,8113,2548,8179,2517,8239,2475,8290,2424,8332,2364,8363,2298,8383,2226,8390,2149,8390,446,8383,369,8363,297,8332,231,8290,171,8239,120,8179,78,8113,47,8041,27,7964,20,4972,20xe" filled="false" stroked="true" strokeweight="2pt" strokecolor="#000000">
              <v:path arrowok="t"/>
              <v:stroke dashstyle="solid"/>
            </v:shape>
            <v:shape style="position:absolute;left:3889;top:1290;width:645;height:174" coordorigin="3889,1290" coordsize="645,174" path="m4458,1464l4458,1421,3889,1421,3889,1333,4458,1333,4458,1290,4534,1377,4458,1464xe" filled="false" stroked="true" strokeweight="2pt" strokecolor="#000000">
              <v:path arrowok="t"/>
              <v:stroke dashstyle="solid"/>
            </v:shape>
            <v:shape style="position:absolute;left:4534;top:3542;width:3843;height:2556" type="#_x0000_t75" stroked="false">
              <v:imagedata r:id="rId525" o:title=""/>
            </v:shape>
            <v:shape style="position:absolute;left:4534;top:3542;width:3843;height:2556" coordorigin="4534,3542" coordsize="3843,2556" path="m4960,3542l4883,3549,4811,3569,4745,3600,4686,3642,4634,3694,4592,3753,4561,3819,4541,3891,4534,3968,4534,5672,4541,5749,4561,5821,4592,5887,4634,5946,4686,5998,4745,6040,4811,6071,4883,6091,4960,6098,7951,6098,8028,6091,8100,6071,8166,6040,8225,5998,8277,5946,8319,5887,8350,5821,8370,5749,8377,5672,8377,3968,8370,3891,8350,3819,8319,3753,8277,3694,8225,3642,8166,3600,8100,3569,8028,3549,7951,3542,4960,3542xe" filled="false" stroked="true" strokeweight="2pt" strokecolor="#000000">
              <v:path arrowok="t"/>
              <v:stroke dashstyle="solid"/>
            </v:shape>
            <v:shape style="position:absolute;left:6481;top:2647;width:152;height:866" coordorigin="6481,2647" coordsize="152,866" path="m6481,3426l6519,3426,6519,2647,6595,2647,6595,3426,6633,3426,6557,3513,6481,3426xe" filled="false" stroked="true" strokeweight="2pt" strokecolor="#000000">
              <v:path arrowok="t"/>
              <v:stroke dashstyle="solid"/>
            </v:shape>
            <v:shape style="position:absolute;left:20;top:3542;width:3844;height:2556" type="#_x0000_t75" stroked="false">
              <v:imagedata r:id="rId526" o:title=""/>
            </v:shape>
            <v:shape style="position:absolute;left:20;top:3542;width:3844;height:2556" coordorigin="20,3542" coordsize="3844,2556" path="m446,3542l369,3549,297,3569,231,3600,172,3642,120,3694,78,3753,47,3819,27,3891,20,3968,20,5672,27,5749,47,5821,78,5887,120,5946,172,5998,231,6040,297,6071,369,6091,446,6098,3438,6098,3515,6091,3587,6071,3653,6040,3712,5998,3764,5946,3806,5887,3837,5821,3857,5749,3864,5672,3864,3968,3857,3891,3837,3819,3806,3753,3764,3694,3712,3642,3653,3600,3587,3569,3515,3549,3438,3542,446,3542xe" filled="false" stroked="true" strokeweight="2pt" strokecolor="#000000">
              <v:path arrowok="t"/>
              <v:stroke dashstyle="solid"/>
            </v:shape>
            <v:shape style="position:absolute;left:1777;top:4755;width:2731;height:2252" coordorigin="1777,4755" coordsize="2731,2252" path="m1777,6920l1815,6920,1815,6141,1891,6141,1891,6920,1929,6920,1853,7007,1777,6920xm3965,4755l3965,4798,4508,4798,4508,4885,3965,4885,3965,4928,3889,4842,3965,4755xe" filled="false" stroked="true" strokeweight="2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line="480" w:lineRule="auto" w:before="210"/>
        <w:ind w:right="699"/>
        <w:jc w:val="both"/>
      </w:pPr>
      <w:r>
        <w:rPr/>
        <w:t>MD trajectory showing 30 nanoseconds (ns) molecular dynamic simulation of P3</w:t>
      </w:r>
      <w:r>
        <w:rPr>
          <w:spacing w:val="1"/>
        </w:rPr>
        <w:t> </w:t>
      </w:r>
      <w:r>
        <w:rPr/>
        <w:t>bound to Plm-IV. (A magenta highlights the catalytic aspartic acid residues, blue is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flap,</w:t>
      </w:r>
      <w:r>
        <w:rPr>
          <w:spacing w:val="2"/>
        </w:rPr>
        <w:t> </w:t>
      </w:r>
      <w:r>
        <w:rPr/>
        <w:t>cyan</w:t>
      </w:r>
      <w:r>
        <w:rPr>
          <w:spacing w:val="1"/>
        </w:rPr>
        <w:t> </w:t>
      </w:r>
      <w:r>
        <w:rPr/>
        <w:t>is</w:t>
      </w:r>
      <w:r>
        <w:rPr>
          <w:spacing w:val="-2"/>
        </w:rPr>
        <w:t> </w:t>
      </w:r>
      <w:r>
        <w:rPr/>
        <w:t>Tyr</w:t>
      </w:r>
      <w:r>
        <w:rPr>
          <w:spacing w:val="-5"/>
        </w:rPr>
        <w:t> </w:t>
      </w:r>
      <w:r>
        <w:rPr/>
        <w:t>192,</w:t>
      </w:r>
      <w:r>
        <w:rPr>
          <w:spacing w:val="2"/>
        </w:rPr>
        <w:t> </w:t>
      </w:r>
      <w:r>
        <w:rPr/>
        <w:t>green</w:t>
      </w:r>
      <w:r>
        <w:rPr>
          <w:spacing w:val="1"/>
        </w:rPr>
        <w:t> </w:t>
      </w:r>
      <w:r>
        <w:rPr/>
        <w:t>is</w:t>
      </w:r>
      <w:r>
        <w:rPr>
          <w:spacing w:val="-2"/>
        </w:rPr>
        <w:t> </w:t>
      </w:r>
      <w:r>
        <w:rPr/>
        <w:t>flexible loop and</w:t>
      </w:r>
      <w:r>
        <w:rPr>
          <w:spacing w:val="1"/>
        </w:rPr>
        <w:t> </w:t>
      </w:r>
      <w:r>
        <w:rPr/>
        <w:t>P3 colored by</w:t>
      </w:r>
      <w:r>
        <w:rPr>
          <w:spacing w:val="1"/>
        </w:rPr>
        <w:t> </w:t>
      </w:r>
      <w:r>
        <w:rPr/>
        <w:t>element).</w:t>
      </w:r>
    </w:p>
    <w:p>
      <w:pPr>
        <w:spacing w:after="0" w:line="480" w:lineRule="auto"/>
        <w:jc w:val="both"/>
        <w:sectPr>
          <w:headerReference w:type="default" r:id="rId519"/>
          <w:footerReference w:type="default" r:id="rId520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5"/>
        </w:rPr>
      </w:pPr>
    </w:p>
    <w:p>
      <w:pPr>
        <w:pStyle w:val="BodyText"/>
        <w:ind w:left="715"/>
        <w:rPr>
          <w:sz w:val="20"/>
        </w:rPr>
      </w:pPr>
      <w:r>
        <w:rPr>
          <w:sz w:val="20"/>
        </w:rPr>
        <w:pict>
          <v:group style="width:404.75pt;height:449pt;mso-position-horizontal-relative:char;mso-position-vertical-relative:line" coordorigin="0,0" coordsize="8095,8980">
            <v:shape style="position:absolute;left:4376;top:6581;width:3699;height:2379" type="#_x0000_t75" stroked="false">
              <v:imagedata r:id="rId529" o:title=""/>
            </v:shape>
            <v:shape style="position:absolute;left:4376;top:6581;width:3699;height:2379" coordorigin="4376,6581" coordsize="3699,2379" path="m4772,6581l4701,6587,4634,6606,4572,6635,4517,6674,4469,6722,4430,6777,4401,6839,4382,6906,4376,6977,4376,8564,4382,8635,4401,8702,4430,8764,4469,8819,4517,8867,4572,8906,4634,8935,4701,8954,4772,8960,7679,8960,7750,8954,7817,8935,7879,8906,7934,8867,7982,8819,8021,8764,8050,8702,8069,8635,8075,8564,8075,6977,8069,6906,8050,6839,8021,6777,7982,6722,7934,6674,7879,6635,7817,6606,7750,6587,7679,6581,4772,6581xe" filled="false" stroked="true" strokeweight="2pt" strokecolor="#000000">
              <v:path arrowok="t"/>
              <v:stroke dashstyle="solid"/>
            </v:shape>
            <v:shape style="position:absolute;left:3719;top:7710;width:620;height:161" coordorigin="3719,7710" coordsize="620,161" path="m4266,7871l4266,7831,3719,7831,3719,7750,4266,7750,4266,7710,4339,7790,4266,7871xe" filled="false" stroked="true" strokeweight="2.0pt" strokecolor="#000000">
              <v:path arrowok="t"/>
              <v:stroke dashstyle="solid"/>
            </v:shape>
            <v:shape style="position:absolute;left:20;top:6581;width:3699;height:2379" type="#_x0000_t75" stroked="false">
              <v:imagedata r:id="rId530" o:title=""/>
            </v:shape>
            <v:shape style="position:absolute;left:20;top:6581;width:3699;height:2379" coordorigin="20,6581" coordsize="3699,2379" path="m416,6581l345,6587,278,6606,216,6635,161,6674,113,6722,74,6777,45,6839,26,6906,20,6977,20,8564,26,8635,45,8702,74,8764,113,8819,161,8867,216,8906,278,8935,345,8954,416,8960,3323,8960,3394,8954,3461,8935,3523,8906,3578,8867,3626,8819,3665,8764,3694,8702,3713,8635,3719,8564,3719,6977,3713,6906,3694,6839,3665,6777,3626,6722,3578,6674,3523,6635,3461,6606,3394,6587,3323,6581,416,6581xe" filled="false" stroked="true" strokeweight="2pt" strokecolor="#000000">
              <v:path arrowok="t"/>
              <v:stroke dashstyle="solid"/>
            </v:shape>
            <v:shape style="position:absolute;left:20;top:26;width:3699;height:2373" type="#_x0000_t75" stroked="false">
              <v:imagedata r:id="rId531" o:title=""/>
            </v:shape>
            <v:shape style="position:absolute;left:20;top:20;width:3699;height:2379" coordorigin="20,20" coordsize="3699,2379" path="m416,20l345,26,278,45,216,74,161,113,113,161,74,216,45,278,26,345,20,416,20,2003,26,2074,45,2141,74,2203,113,2258,161,2306,216,2345,278,2374,345,2393,416,2399,3323,2399,3394,2393,3461,2374,3523,2345,3578,2306,3626,2258,3665,2203,3694,2141,3713,2074,3719,2003,3719,416,3713,345,3694,278,3665,216,3626,161,3578,113,3523,74,3461,45,3394,26,3323,20,416,20xe" filled="false" stroked="true" strokeweight="2pt" strokecolor="#000000">
              <v:path arrowok="t"/>
              <v:stroke dashstyle="solid"/>
            </v:shape>
            <v:shape style="position:absolute;left:4958;top:20;width:2593;height:2379" type="#_x0000_t75" stroked="false">
              <v:imagedata r:id="rId532" o:title=""/>
            </v:shape>
            <v:shape style="position:absolute;left:4376;top:20;width:3699;height:2379" coordorigin="4376,20" coordsize="3699,2379" path="m4772,20l4701,26,4634,45,4572,74,4517,113,4469,161,4430,216,4401,278,4382,345,4376,416,4376,2003,4382,2074,4401,2141,4430,2203,4469,2258,4517,2306,4572,2345,4634,2374,4701,2393,4772,2399,7679,2399,7750,2393,7817,2374,7879,2345,7934,2306,7982,2258,8021,2203,8050,2141,8069,2074,8075,2003,8075,416,8069,345,8050,278,8021,216,7982,161,7934,113,7879,74,7817,45,7750,26,7679,20,4772,20xe" filled="false" stroked="true" strokeweight="2pt" strokecolor="#000000">
              <v:path arrowok="t"/>
              <v:stroke dashstyle="solid"/>
            </v:shape>
            <v:shape style="position:absolute;left:3743;top:1203;width:621;height:161" coordorigin="3743,1203" coordsize="621,161" path="m4291,1364l4291,1324,3743,1324,3743,1243,4291,1243,4291,1203,4364,1283,4291,1364xe" filled="false" stroked="true" strokeweight="2pt" strokecolor="#000000">
              <v:path arrowok="t"/>
              <v:stroke dashstyle="solid"/>
            </v:shape>
            <v:shape style="position:absolute;left:4364;top:3300;width:3699;height:2380" type="#_x0000_t75" stroked="false">
              <v:imagedata r:id="rId533" o:title=""/>
            </v:shape>
            <v:shape style="position:absolute;left:4364;top:3300;width:3699;height:2380" coordorigin="4364,3300" coordsize="3699,2380" path="m4761,3300l4689,3306,4622,3325,4560,3354,4505,3393,4457,3441,4418,3496,4389,3558,4370,3625,4364,3697,4364,5283,4370,5355,4389,5422,4418,5484,4457,5539,4505,5587,4560,5626,4622,5655,4689,5674,4761,5680,7666,5680,7738,5674,7805,5655,7867,5626,7922,5587,7970,5539,8009,5484,8038,5422,8057,5355,8063,5283,8063,3697,8057,3625,8038,3558,8009,3496,7970,3441,7922,3393,7867,3354,7805,3325,7738,3306,7666,3300,4761,3300xe" filled="false" stroked="true" strokeweight="2.0pt" strokecolor="#000000">
              <v:path arrowok="t"/>
              <v:stroke dashstyle="solid"/>
            </v:shape>
            <v:shape style="position:absolute;left:6225;top:2399;width:147;height:807" coordorigin="6225,2399" coordsize="147,807" path="m6225,3125l6262,3125,6262,2399,6335,2399,6335,3125,6372,3125,6298,3206,6225,3125xe" filled="false" stroked="true" strokeweight="2pt" strokecolor="#000000">
              <v:path arrowok="t"/>
              <v:stroke dashstyle="solid"/>
            </v:shape>
            <v:shape style="position:absolute;left:52;top:3300;width:3392;height:2380" type="#_x0000_t75" stroked="false">
              <v:imagedata r:id="rId534" o:title=""/>
            </v:shape>
            <v:shape style="position:absolute;left:20;top:3300;width:3699;height:2380" coordorigin="20,3300" coordsize="3699,2380" path="m417,3300l345,3306,278,3325,216,3354,161,3393,113,3441,74,3496,45,3558,26,3625,20,3697,20,5283,26,5355,45,5422,74,5484,113,5539,161,5587,216,5626,278,5655,345,5674,417,5680,3322,5680,3394,5674,3461,5655,3523,5626,3578,5587,3626,5539,3665,5484,3694,5422,3713,5355,3719,5283,3719,3697,3713,3625,3694,3558,3665,3496,3626,3441,3578,3393,3523,3354,3461,3325,3394,3306,3322,3300,417,3300xe" filled="false" stroked="true" strokeweight="2.0pt" strokecolor="#000000">
              <v:path arrowok="t"/>
              <v:stroke dashstyle="solid"/>
            </v:shape>
            <v:shape style="position:absolute;left:1711;top:4430;width:2628;height:2097" coordorigin="1711,4430" coordsize="2628,2097" path="m1711,6446l1748,6446,1748,5720,1820,5720,1820,6446,1857,6446,1784,6527,1711,6446xm3816,4430l3816,4470,4339,4470,4339,4551,3816,4551,3816,4591,3743,4511,3816,4430xe" filled="false" stroked="true" strokeweight="2pt" strokecolor="#000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spacing w:line="480" w:lineRule="auto" w:before="90"/>
        <w:ind w:left="312" w:right="696" w:firstLine="0"/>
        <w:jc w:val="both"/>
        <w:rPr>
          <w:b/>
          <w:sz w:val="24"/>
        </w:rPr>
      </w:pPr>
      <w:r>
        <w:rPr>
          <w:b/>
          <w:sz w:val="24"/>
        </w:rPr>
        <w:t>MD trajectory showing 30 nanoseconds (ns) molecular dynamic simulation of P4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bound to Plm-IV. (Magenta highlights the catalytic aspartic acid residues, blue is the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flap,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cyan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Tyr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192,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green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flexible loop and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P4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colored by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element)</w:t>
      </w:r>
    </w:p>
    <w:p>
      <w:pPr>
        <w:spacing w:after="0" w:line="480" w:lineRule="auto"/>
        <w:jc w:val="both"/>
        <w:rPr>
          <w:sz w:val="24"/>
        </w:rPr>
        <w:sectPr>
          <w:headerReference w:type="default" r:id="rId527"/>
          <w:footerReference w:type="default" r:id="rId528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61491" cy="2668904"/>
            <wp:effectExtent l="0" t="0" r="0" b="0"/>
            <wp:docPr id="97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61.jpe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491" cy="26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8"/>
        </w:rPr>
      </w:pPr>
    </w:p>
    <w:p>
      <w:pPr>
        <w:pStyle w:val="Heading1"/>
        <w:spacing w:before="9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P1</w:t>
      </w:r>
    </w:p>
    <w:p>
      <w:pPr>
        <w:spacing w:after="0"/>
        <w:sectPr>
          <w:headerReference w:type="default" r:id="rId535"/>
          <w:footerReference w:type="default" r:id="rId536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1"/>
        </w:rPr>
      </w:pPr>
    </w:p>
    <w:p>
      <w:pPr>
        <w:pStyle w:val="BodyText"/>
        <w:ind w:left="730"/>
        <w:rPr>
          <w:sz w:val="20"/>
        </w:rPr>
      </w:pPr>
      <w:r>
        <w:rPr>
          <w:sz w:val="20"/>
        </w:rPr>
        <w:drawing>
          <wp:inline distT="0" distB="0" distL="0" distR="0">
            <wp:extent cx="5430639" cy="3822191"/>
            <wp:effectExtent l="0" t="0" r="0" b="0"/>
            <wp:docPr id="99" name="image162.jpeg" descr="C:\Users\SONY PC\Desktop\NMR PAINT\P1 proton BIG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62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639" cy="382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6"/>
        </w:rPr>
      </w:pPr>
    </w:p>
    <w:p>
      <w:pPr>
        <w:spacing w:before="12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P1</w:t>
      </w:r>
    </w:p>
    <w:p>
      <w:pPr>
        <w:spacing w:after="0"/>
        <w:jc w:val="left"/>
        <w:rPr>
          <w:sz w:val="24"/>
        </w:rPr>
        <w:sectPr>
          <w:headerReference w:type="default" r:id="rId538"/>
          <w:footerReference w:type="default" r:id="rId539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16"/>
        </w:rPr>
      </w:pPr>
    </w:p>
    <w:p>
      <w:pPr>
        <w:pStyle w:val="BodyText"/>
        <w:ind w:left="776"/>
        <w:rPr>
          <w:sz w:val="20"/>
        </w:rPr>
      </w:pPr>
      <w:r>
        <w:rPr>
          <w:sz w:val="20"/>
        </w:rPr>
        <w:drawing>
          <wp:inline distT="0" distB="0" distL="0" distR="0">
            <wp:extent cx="5362977" cy="3769614"/>
            <wp:effectExtent l="0" t="0" r="0" b="0"/>
            <wp:docPr id="101" name="image163.jpeg" descr="C:\Users\SONY PC\Desktop\NMR PAINT\P1 C13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63.jpe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977" cy="376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Heading1"/>
        <w:spacing w:before="128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4"/>
          <w:vertAlign w:val="baseline"/>
        </w:rPr>
        <w:t> </w:t>
      </w:r>
      <w:r>
        <w:rPr>
          <w:vertAlign w:val="baseline"/>
        </w:rPr>
        <w:t>P1</w:t>
      </w:r>
    </w:p>
    <w:p>
      <w:pPr>
        <w:spacing w:after="0"/>
        <w:sectPr>
          <w:headerReference w:type="default" r:id="rId541"/>
          <w:footerReference w:type="default" r:id="rId542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8"/>
        </w:rPr>
      </w:pPr>
    </w:p>
    <w:p>
      <w:pPr>
        <w:pStyle w:val="BodyText"/>
        <w:ind w:left="349"/>
        <w:rPr>
          <w:sz w:val="20"/>
        </w:rPr>
      </w:pPr>
      <w:r>
        <w:rPr>
          <w:sz w:val="20"/>
        </w:rPr>
        <w:drawing>
          <wp:inline distT="0" distB="0" distL="0" distR="0">
            <wp:extent cx="5353509" cy="3771900"/>
            <wp:effectExtent l="0" t="0" r="0" b="0"/>
            <wp:docPr id="103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64.jpe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509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2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DEPT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P1</w:t>
      </w:r>
    </w:p>
    <w:p>
      <w:pPr>
        <w:spacing w:after="0"/>
        <w:jc w:val="left"/>
        <w:rPr>
          <w:sz w:val="24"/>
        </w:rPr>
        <w:sectPr>
          <w:headerReference w:type="default" r:id="rId544"/>
          <w:footerReference w:type="default" r:id="rId54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7"/>
        </w:rPr>
      </w:pPr>
    </w:p>
    <w:p>
      <w:pPr>
        <w:pStyle w:val="BodyText"/>
        <w:ind w:left="402"/>
        <w:rPr>
          <w:sz w:val="20"/>
        </w:rPr>
      </w:pPr>
      <w:r>
        <w:rPr>
          <w:sz w:val="20"/>
        </w:rPr>
        <w:drawing>
          <wp:inline distT="0" distB="0" distL="0" distR="0">
            <wp:extent cx="5153655" cy="5150072"/>
            <wp:effectExtent l="0" t="0" r="0" b="0"/>
            <wp:docPr id="105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65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655" cy="51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5"/>
        </w:rPr>
      </w:pPr>
    </w:p>
    <w:p>
      <w:pPr>
        <w:pStyle w:val="Heading1"/>
        <w:spacing w:before="90"/>
      </w:pPr>
      <w:r>
        <w:rPr/>
        <w:t>COSY</w:t>
      </w:r>
      <w:r>
        <w:rPr>
          <w:spacing w:val="-1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compound P1</w:t>
      </w:r>
    </w:p>
    <w:p>
      <w:pPr>
        <w:spacing w:after="0"/>
        <w:sectPr>
          <w:headerReference w:type="default" r:id="rId547"/>
          <w:footerReference w:type="default" r:id="rId548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8"/>
        </w:rPr>
      </w:pPr>
    </w:p>
    <w:p>
      <w:pPr>
        <w:pStyle w:val="BodyText"/>
        <w:ind w:left="382"/>
        <w:rPr>
          <w:sz w:val="20"/>
        </w:rPr>
      </w:pPr>
      <w:r>
        <w:rPr>
          <w:sz w:val="20"/>
        </w:rPr>
        <w:drawing>
          <wp:inline distT="0" distB="0" distL="0" distR="0">
            <wp:extent cx="5139643" cy="5137308"/>
            <wp:effectExtent l="0" t="0" r="0" b="0"/>
            <wp:docPr id="107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66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643" cy="513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HMBC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P1</w:t>
      </w:r>
    </w:p>
    <w:p>
      <w:pPr>
        <w:spacing w:after="0"/>
        <w:jc w:val="left"/>
        <w:rPr>
          <w:sz w:val="24"/>
        </w:rPr>
        <w:sectPr>
          <w:headerReference w:type="default" r:id="rId550"/>
          <w:footerReference w:type="default" r:id="rId551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5"/>
        </w:rPr>
      </w:pPr>
    </w:p>
    <w:p>
      <w:pPr>
        <w:pStyle w:val="BodyText"/>
        <w:ind w:left="490"/>
        <w:rPr>
          <w:sz w:val="20"/>
        </w:rPr>
      </w:pPr>
      <w:r>
        <w:rPr>
          <w:sz w:val="20"/>
        </w:rPr>
        <w:drawing>
          <wp:inline distT="0" distB="0" distL="0" distR="0">
            <wp:extent cx="5376322" cy="5367337"/>
            <wp:effectExtent l="0" t="0" r="0" b="0"/>
            <wp:docPr id="109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6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322" cy="536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Heading1"/>
        <w:spacing w:before="90"/>
      </w:pPr>
      <w:r>
        <w:rPr/>
        <w:t>HSQC</w:t>
      </w:r>
      <w:r>
        <w:rPr>
          <w:spacing w:val="-1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P1</w:t>
      </w:r>
    </w:p>
    <w:p>
      <w:pPr>
        <w:spacing w:after="0"/>
        <w:sectPr>
          <w:headerReference w:type="default" r:id="rId553"/>
          <w:footerReference w:type="default" r:id="rId554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pStyle w:val="BodyText"/>
        <w:ind w:left="366"/>
        <w:rPr>
          <w:sz w:val="20"/>
        </w:rPr>
      </w:pPr>
      <w:r>
        <w:rPr>
          <w:sz w:val="20"/>
        </w:rPr>
        <w:drawing>
          <wp:inline distT="0" distB="0" distL="0" distR="0">
            <wp:extent cx="5351559" cy="4624959"/>
            <wp:effectExtent l="0" t="0" r="0" b="0"/>
            <wp:docPr id="111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68.jpe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559" cy="462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3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Mass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P1</w:t>
      </w:r>
    </w:p>
    <w:p>
      <w:pPr>
        <w:spacing w:after="0"/>
        <w:jc w:val="left"/>
        <w:rPr>
          <w:sz w:val="24"/>
        </w:rPr>
        <w:sectPr>
          <w:headerReference w:type="default" r:id="rId556"/>
          <w:footerReference w:type="default" r:id="rId557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0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02015" cy="2455830"/>
            <wp:effectExtent l="0" t="0" r="0" b="0"/>
            <wp:docPr id="113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69.jpe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015" cy="245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pStyle w:val="Heading1"/>
        <w:spacing w:before="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P13</w:t>
      </w:r>
    </w:p>
    <w:p>
      <w:pPr>
        <w:spacing w:after="0"/>
        <w:sectPr>
          <w:headerReference w:type="default" r:id="rId559"/>
          <w:footerReference w:type="default" r:id="rId560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6"/>
        <w:rPr>
          <w:b/>
          <w:sz w:val="25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709319" cy="3318414"/>
            <wp:effectExtent l="0" t="0" r="0" b="0"/>
            <wp:docPr id="115" name="image170.jpeg" descr="C:\Users\SONY PC\Desktop\NMR PAINT\p13B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70.jpe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319" cy="331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255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P13</w:t>
      </w:r>
    </w:p>
    <w:p>
      <w:pPr>
        <w:spacing w:after="0"/>
        <w:jc w:val="left"/>
        <w:rPr>
          <w:sz w:val="24"/>
        </w:rPr>
        <w:sectPr>
          <w:headerReference w:type="default" r:id="rId562"/>
          <w:footerReference w:type="default" r:id="rId563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660305" cy="3080004"/>
            <wp:effectExtent l="0" t="0" r="0" b="0"/>
            <wp:docPr id="117" name="image171.jpeg" descr="C:\Users\SONY PC\Desktop\NMR PAINT\p13 C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71.jpe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305" cy="308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9"/>
        </w:rPr>
      </w:pPr>
    </w:p>
    <w:p>
      <w:pPr>
        <w:pStyle w:val="Heading1"/>
        <w:spacing w:before="127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4"/>
          <w:vertAlign w:val="baseline"/>
        </w:rPr>
        <w:t> </w:t>
      </w:r>
      <w:r>
        <w:rPr>
          <w:vertAlign w:val="baseline"/>
        </w:rPr>
        <w:t>P13</w:t>
      </w:r>
    </w:p>
    <w:p>
      <w:pPr>
        <w:spacing w:after="0"/>
        <w:sectPr>
          <w:headerReference w:type="default" r:id="rId565"/>
          <w:footerReference w:type="default" r:id="rId566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4"/>
        </w:rPr>
      </w:pPr>
    </w:p>
    <w:p>
      <w:pPr>
        <w:pStyle w:val="BodyText"/>
        <w:ind w:left="668"/>
        <w:rPr>
          <w:sz w:val="20"/>
        </w:rPr>
      </w:pPr>
      <w:r>
        <w:rPr>
          <w:sz w:val="20"/>
        </w:rPr>
        <w:drawing>
          <wp:inline distT="0" distB="0" distL="0" distR="0">
            <wp:extent cx="5178536" cy="4473321"/>
            <wp:effectExtent l="0" t="0" r="0" b="0"/>
            <wp:docPr id="119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72.jpe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8536" cy="447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Mass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P13</w:t>
      </w:r>
    </w:p>
    <w:p>
      <w:pPr>
        <w:spacing w:after="0"/>
        <w:jc w:val="left"/>
        <w:rPr>
          <w:sz w:val="24"/>
        </w:rPr>
        <w:sectPr>
          <w:headerReference w:type="default" r:id="rId568"/>
          <w:footerReference w:type="default" r:id="rId569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0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62099" cy="2668904"/>
            <wp:effectExtent l="0" t="0" r="0" b="0"/>
            <wp:docPr id="121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73.jpe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099" cy="26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pStyle w:val="Heading1"/>
        <w:spacing w:before="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P3</w:t>
      </w:r>
    </w:p>
    <w:p>
      <w:pPr>
        <w:spacing w:after="0"/>
        <w:sectPr>
          <w:headerReference w:type="default" r:id="rId571"/>
          <w:footerReference w:type="default" r:id="rId572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308609" cy="3637026"/>
            <wp:effectExtent l="0" t="0" r="0" b="0"/>
            <wp:docPr id="123" name="image174.jpeg" descr="C:\Users\SONY PC\Desktop\NMR PAINT\P3a_1H (1)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74.jpe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8609" cy="363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P3</w:t>
      </w:r>
    </w:p>
    <w:p>
      <w:pPr>
        <w:spacing w:after="0"/>
        <w:jc w:val="left"/>
        <w:rPr>
          <w:sz w:val="24"/>
        </w:rPr>
        <w:sectPr>
          <w:headerReference w:type="default" r:id="rId574"/>
          <w:footerReference w:type="default" r:id="rId575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347740" cy="3668267"/>
            <wp:effectExtent l="0" t="0" r="0" b="0"/>
            <wp:docPr id="125" name="image175.jpeg" descr="C:\Users\SONY PC\Desktop\NMR PAINT\P3a_C13 (1)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75.jpe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740" cy="366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26"/>
        </w:rPr>
      </w:pPr>
    </w:p>
    <w:p>
      <w:pPr>
        <w:pStyle w:val="Heading1"/>
        <w:spacing w:before="127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4"/>
          <w:vertAlign w:val="baseline"/>
        </w:rPr>
        <w:t> </w:t>
      </w:r>
      <w:r>
        <w:rPr>
          <w:vertAlign w:val="baseline"/>
        </w:rPr>
        <w:t>P3</w:t>
      </w:r>
    </w:p>
    <w:p>
      <w:pPr>
        <w:spacing w:after="0"/>
        <w:sectPr>
          <w:headerReference w:type="default" r:id="rId577"/>
          <w:footerReference w:type="default" r:id="rId578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39910" cy="3776472"/>
            <wp:effectExtent l="0" t="0" r="0" b="0"/>
            <wp:docPr id="127" name="image176.jpeg" descr="C:\Users\SONY PC\Desktop\NMR PAINT\P3a_dept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76.jpe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9910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DEPT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P3</w:t>
      </w:r>
    </w:p>
    <w:p>
      <w:pPr>
        <w:spacing w:after="0"/>
        <w:jc w:val="left"/>
        <w:rPr>
          <w:sz w:val="24"/>
        </w:rPr>
        <w:sectPr>
          <w:headerReference w:type="default" r:id="rId580"/>
          <w:footerReference w:type="default" r:id="rId581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4646418" cy="4562284"/>
            <wp:effectExtent l="0" t="0" r="0" b="0"/>
            <wp:docPr id="129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77.jpe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418" cy="456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before="231"/>
      </w:pPr>
      <w:r>
        <w:rPr/>
        <w:t>COSY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compound P3</w:t>
      </w:r>
    </w:p>
    <w:p>
      <w:pPr>
        <w:spacing w:after="0"/>
        <w:sectPr>
          <w:headerReference w:type="default" r:id="rId583"/>
          <w:footerReference w:type="default" r:id="rId584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56191" cy="5398960"/>
            <wp:effectExtent l="0" t="0" r="0" b="0"/>
            <wp:docPr id="131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78.jpe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191" cy="539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b/>
          <w:sz w:val="29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HMBC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P3</w:t>
      </w:r>
    </w:p>
    <w:p>
      <w:pPr>
        <w:spacing w:after="0"/>
        <w:jc w:val="left"/>
        <w:rPr>
          <w:sz w:val="24"/>
        </w:rPr>
        <w:sectPr>
          <w:headerReference w:type="default" r:id="rId586"/>
          <w:footerReference w:type="default" r:id="rId587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741"/>
        <w:rPr>
          <w:sz w:val="20"/>
        </w:rPr>
      </w:pPr>
      <w:r>
        <w:rPr>
          <w:sz w:val="20"/>
        </w:rPr>
        <w:drawing>
          <wp:inline distT="0" distB="0" distL="0" distR="0">
            <wp:extent cx="4980382" cy="4926330"/>
            <wp:effectExtent l="0" t="0" r="0" b="0"/>
            <wp:docPr id="133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79.jpe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382" cy="492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before="205"/>
      </w:pPr>
      <w:r>
        <w:rPr/>
        <w:t>Figure:</w:t>
      </w:r>
      <w:r>
        <w:rPr>
          <w:spacing w:val="-1"/>
        </w:rPr>
        <w:t> </w:t>
      </w:r>
      <w:r>
        <w:rPr/>
        <w:t>HSQC</w:t>
      </w:r>
      <w:r>
        <w:rPr>
          <w:spacing w:val="-1"/>
        </w:rPr>
        <w:t> </w:t>
      </w:r>
      <w:r>
        <w:rPr/>
        <w:t>spectrum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P3</w:t>
      </w:r>
    </w:p>
    <w:p>
      <w:pPr>
        <w:spacing w:after="0"/>
        <w:sectPr>
          <w:headerReference w:type="default" r:id="rId589"/>
          <w:footerReference w:type="default" r:id="rId590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5"/>
        </w:rPr>
      </w:pPr>
    </w:p>
    <w:p>
      <w:pPr>
        <w:pStyle w:val="BodyText"/>
        <w:ind w:left="419"/>
        <w:rPr>
          <w:sz w:val="20"/>
        </w:rPr>
      </w:pPr>
      <w:r>
        <w:rPr>
          <w:sz w:val="20"/>
        </w:rPr>
        <w:drawing>
          <wp:inline distT="0" distB="0" distL="0" distR="0">
            <wp:extent cx="5487650" cy="2617470"/>
            <wp:effectExtent l="0" t="0" r="0" b="0"/>
            <wp:docPr id="135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80.jpe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65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FT-IR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P4</w:t>
      </w:r>
    </w:p>
    <w:p>
      <w:pPr>
        <w:spacing w:after="0"/>
        <w:jc w:val="left"/>
        <w:rPr>
          <w:sz w:val="24"/>
        </w:rPr>
        <w:sectPr>
          <w:headerReference w:type="default" r:id="rId592"/>
          <w:footerReference w:type="default" r:id="rId593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4"/>
        </w:rPr>
      </w:pPr>
    </w:p>
    <w:p>
      <w:pPr>
        <w:pStyle w:val="BodyText"/>
        <w:ind w:left="507"/>
        <w:rPr>
          <w:sz w:val="20"/>
        </w:rPr>
      </w:pPr>
      <w:r>
        <w:rPr>
          <w:sz w:val="20"/>
        </w:rPr>
        <w:drawing>
          <wp:inline distT="0" distB="0" distL="0" distR="0">
            <wp:extent cx="5414414" cy="3805237"/>
            <wp:effectExtent l="0" t="0" r="0" b="0"/>
            <wp:docPr id="137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81.jpe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414" cy="380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p>
      <w:pPr>
        <w:pStyle w:val="Heading1"/>
        <w:spacing w:before="128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 P4</w:t>
      </w:r>
    </w:p>
    <w:p>
      <w:pPr>
        <w:spacing w:after="0"/>
        <w:sectPr>
          <w:headerReference w:type="default" r:id="rId595"/>
          <w:footerReference w:type="default" r:id="rId596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4"/>
        </w:rPr>
      </w:pPr>
    </w:p>
    <w:p>
      <w:pPr>
        <w:pStyle w:val="BodyText"/>
        <w:ind w:left="701"/>
        <w:rPr>
          <w:sz w:val="20"/>
        </w:rPr>
      </w:pPr>
      <w:r>
        <w:rPr>
          <w:sz w:val="20"/>
        </w:rPr>
        <w:drawing>
          <wp:inline distT="0" distB="0" distL="0" distR="0">
            <wp:extent cx="5429335" cy="3776662"/>
            <wp:effectExtent l="0" t="0" r="0" b="0"/>
            <wp:docPr id="139" name="image182.jpeg" descr="C:\Users\SONY PC\Desktop\NMR PAINT\P4 C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82.jpe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335" cy="37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7"/>
        </w:rPr>
      </w:pPr>
    </w:p>
    <w:p>
      <w:pPr>
        <w:spacing w:before="12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P4</w:t>
      </w:r>
    </w:p>
    <w:p>
      <w:pPr>
        <w:spacing w:after="0"/>
        <w:jc w:val="left"/>
        <w:rPr>
          <w:sz w:val="24"/>
        </w:rPr>
        <w:sectPr>
          <w:headerReference w:type="default" r:id="rId598"/>
          <w:footerReference w:type="default" r:id="rId599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6"/>
        <w:rPr>
          <w:b/>
          <w:sz w:val="29"/>
        </w:rPr>
      </w:pPr>
    </w:p>
    <w:p>
      <w:pPr>
        <w:pStyle w:val="BodyText"/>
        <w:ind w:left="426"/>
        <w:rPr>
          <w:sz w:val="20"/>
        </w:rPr>
      </w:pPr>
      <w:r>
        <w:rPr>
          <w:sz w:val="20"/>
        </w:rPr>
        <w:drawing>
          <wp:inline distT="0" distB="0" distL="0" distR="0">
            <wp:extent cx="5446270" cy="3847338"/>
            <wp:effectExtent l="0" t="0" r="0" b="0"/>
            <wp:docPr id="141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83.jpe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270" cy="384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pStyle w:val="Heading1"/>
        <w:spacing w:before="90"/>
      </w:pPr>
      <w:r>
        <w:rPr/>
        <w:t>DEPT</w:t>
      </w:r>
      <w:r>
        <w:rPr>
          <w:spacing w:val="-3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P4</w:t>
      </w:r>
    </w:p>
    <w:p>
      <w:pPr>
        <w:spacing w:after="0"/>
        <w:sectPr>
          <w:headerReference w:type="default" r:id="rId601"/>
          <w:footerReference w:type="default" r:id="rId602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ind w:left="545"/>
        <w:rPr>
          <w:sz w:val="20"/>
        </w:rPr>
      </w:pPr>
      <w:r>
        <w:rPr>
          <w:sz w:val="20"/>
        </w:rPr>
        <w:drawing>
          <wp:inline distT="0" distB="0" distL="0" distR="0">
            <wp:extent cx="5216063" cy="5213985"/>
            <wp:effectExtent l="0" t="0" r="0" b="0"/>
            <wp:docPr id="143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84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063" cy="521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7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COSY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compound P4</w:t>
      </w:r>
    </w:p>
    <w:p>
      <w:pPr>
        <w:spacing w:after="0"/>
        <w:jc w:val="left"/>
        <w:rPr>
          <w:sz w:val="24"/>
        </w:rPr>
        <w:sectPr>
          <w:headerReference w:type="default" r:id="rId604"/>
          <w:footerReference w:type="default" r:id="rId60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22"/>
        </w:rPr>
      </w:pPr>
    </w:p>
    <w:p>
      <w:pPr>
        <w:pStyle w:val="BodyText"/>
        <w:ind w:left="479"/>
        <w:rPr>
          <w:sz w:val="20"/>
        </w:rPr>
      </w:pPr>
      <w:r>
        <w:rPr>
          <w:sz w:val="20"/>
        </w:rPr>
        <w:drawing>
          <wp:inline distT="0" distB="0" distL="0" distR="0">
            <wp:extent cx="5367695" cy="5367337"/>
            <wp:effectExtent l="0" t="0" r="0" b="0"/>
            <wp:docPr id="145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85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695" cy="536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7"/>
        </w:rPr>
      </w:pPr>
    </w:p>
    <w:p>
      <w:pPr>
        <w:pStyle w:val="Heading1"/>
        <w:spacing w:before="90"/>
      </w:pPr>
      <w:r>
        <w:rPr/>
        <w:t>HMBC</w:t>
      </w:r>
      <w:r>
        <w:rPr>
          <w:spacing w:val="-3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P4</w:t>
      </w:r>
    </w:p>
    <w:p>
      <w:pPr>
        <w:spacing w:after="0"/>
        <w:sectPr>
          <w:headerReference w:type="default" r:id="rId607"/>
          <w:footerReference w:type="default" r:id="rId608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0"/>
        </w:rPr>
      </w:pPr>
    </w:p>
    <w:p>
      <w:pPr>
        <w:pStyle w:val="BodyText"/>
        <w:ind w:left="686"/>
        <w:rPr>
          <w:sz w:val="20"/>
        </w:rPr>
      </w:pPr>
      <w:r>
        <w:rPr>
          <w:sz w:val="20"/>
        </w:rPr>
        <w:drawing>
          <wp:inline distT="0" distB="0" distL="0" distR="0">
            <wp:extent cx="4903086" cy="4907280"/>
            <wp:effectExtent l="0" t="0" r="0" b="0"/>
            <wp:docPr id="147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86.jpe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086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7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HSQC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P4</w:t>
      </w:r>
    </w:p>
    <w:p>
      <w:pPr>
        <w:spacing w:after="0"/>
        <w:jc w:val="left"/>
        <w:rPr>
          <w:sz w:val="24"/>
        </w:rPr>
        <w:sectPr>
          <w:headerReference w:type="default" r:id="rId610"/>
          <w:footerReference w:type="default" r:id="rId611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BodyText"/>
        <w:ind w:left="632"/>
        <w:rPr>
          <w:sz w:val="20"/>
        </w:rPr>
      </w:pPr>
      <w:r>
        <w:rPr>
          <w:sz w:val="20"/>
        </w:rPr>
        <w:drawing>
          <wp:inline distT="0" distB="0" distL="0" distR="0">
            <wp:extent cx="5176637" cy="4473321"/>
            <wp:effectExtent l="0" t="0" r="0" b="0"/>
            <wp:docPr id="149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87.jpe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637" cy="447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pStyle w:val="Heading1"/>
        <w:spacing w:before="90"/>
      </w:pPr>
      <w:r>
        <w:rPr/>
        <w:t>Mass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P4</w:t>
      </w:r>
    </w:p>
    <w:p>
      <w:pPr>
        <w:spacing w:after="0"/>
        <w:sectPr>
          <w:headerReference w:type="default" r:id="rId613"/>
          <w:footerReference w:type="default" r:id="rId614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0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62099" cy="2668904"/>
            <wp:effectExtent l="0" t="0" r="0" b="0"/>
            <wp:docPr id="151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73.jpe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099" cy="26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FT-IR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P8</w:t>
      </w:r>
    </w:p>
    <w:p>
      <w:pPr>
        <w:spacing w:after="0"/>
        <w:jc w:val="left"/>
        <w:rPr>
          <w:sz w:val="24"/>
        </w:rPr>
        <w:sectPr>
          <w:headerReference w:type="default" r:id="rId616"/>
          <w:footerReference w:type="default" r:id="rId617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4"/>
        </w:rPr>
      </w:pPr>
    </w:p>
    <w:p>
      <w:pPr>
        <w:pStyle w:val="BodyText"/>
        <w:ind w:left="433"/>
        <w:rPr>
          <w:sz w:val="20"/>
        </w:rPr>
      </w:pPr>
      <w:r>
        <w:rPr>
          <w:sz w:val="20"/>
        </w:rPr>
        <w:drawing>
          <wp:inline distT="0" distB="0" distL="0" distR="0">
            <wp:extent cx="5425126" cy="3819525"/>
            <wp:effectExtent l="0" t="0" r="0" b="0"/>
            <wp:docPr id="153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88.jpe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126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Heading1"/>
        <w:spacing w:before="0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 P8</w:t>
      </w:r>
    </w:p>
    <w:p>
      <w:pPr>
        <w:spacing w:after="0"/>
        <w:sectPr>
          <w:headerReference w:type="default" r:id="rId618"/>
          <w:footerReference w:type="default" r:id="rId619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87698" cy="3912679"/>
            <wp:effectExtent l="0" t="0" r="0" b="0"/>
            <wp:docPr id="155" name="image189.jpeg" descr="C:\Users\SONY PC\Desktop\NMR PAINT\P8_c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89.jpe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698" cy="391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5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P8</w:t>
      </w:r>
    </w:p>
    <w:p>
      <w:pPr>
        <w:spacing w:after="0"/>
        <w:jc w:val="left"/>
        <w:rPr>
          <w:sz w:val="24"/>
        </w:rPr>
        <w:sectPr>
          <w:headerReference w:type="default" r:id="rId621"/>
          <w:footerReference w:type="default" r:id="rId622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88483" cy="3840479"/>
            <wp:effectExtent l="0" t="0" r="0" b="0"/>
            <wp:docPr id="157" name="image190.jpeg" descr="C:\Users\SONY PC\Desktop\NMR PAINT\P8_dept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90.jpe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483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2"/>
        </w:rPr>
      </w:pPr>
    </w:p>
    <w:p>
      <w:pPr>
        <w:pStyle w:val="Heading1"/>
        <w:spacing w:before="0"/>
      </w:pPr>
      <w:r>
        <w:rPr/>
        <w:t>DEPT</w:t>
      </w:r>
      <w:r>
        <w:rPr>
          <w:spacing w:val="-3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P8</w:t>
      </w:r>
    </w:p>
    <w:p>
      <w:pPr>
        <w:spacing w:after="0"/>
        <w:sectPr>
          <w:headerReference w:type="default" r:id="rId624"/>
          <w:footerReference w:type="default" r:id="rId62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9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58175" cy="5398960"/>
            <wp:effectExtent l="0" t="0" r="0" b="0"/>
            <wp:docPr id="159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91.jpe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175" cy="539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2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COSY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compound P8</w:t>
      </w:r>
    </w:p>
    <w:p>
      <w:pPr>
        <w:spacing w:after="0"/>
        <w:jc w:val="left"/>
        <w:rPr>
          <w:sz w:val="24"/>
        </w:rPr>
        <w:sectPr>
          <w:headerReference w:type="default" r:id="rId627"/>
          <w:footerReference w:type="default" r:id="rId628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9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328670" cy="5318379"/>
            <wp:effectExtent l="0" t="0" r="0" b="0"/>
            <wp:docPr id="161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92.jpe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670" cy="531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pStyle w:val="Heading1"/>
        <w:spacing w:before="90"/>
      </w:pPr>
      <w:r>
        <w:rPr/>
        <w:t>HMBC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P8</w:t>
      </w:r>
    </w:p>
    <w:p>
      <w:pPr>
        <w:spacing w:after="0"/>
        <w:sectPr>
          <w:headerReference w:type="default" r:id="rId630"/>
          <w:footerReference w:type="default" r:id="rId631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04943" cy="5382768"/>
            <wp:effectExtent l="0" t="0" r="0" b="0"/>
            <wp:docPr id="163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93.jpe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943" cy="538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0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HSQC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P8</w:t>
      </w:r>
    </w:p>
    <w:p>
      <w:pPr>
        <w:spacing w:after="0"/>
        <w:jc w:val="left"/>
        <w:rPr>
          <w:sz w:val="24"/>
        </w:rPr>
        <w:sectPr>
          <w:headerReference w:type="default" r:id="rId633"/>
          <w:footerReference w:type="default" r:id="rId634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ind w:left="338"/>
        <w:rPr>
          <w:sz w:val="20"/>
        </w:rPr>
      </w:pPr>
      <w:r>
        <w:rPr>
          <w:sz w:val="20"/>
        </w:rPr>
        <w:drawing>
          <wp:inline distT="0" distB="0" distL="0" distR="0">
            <wp:extent cx="5487851" cy="2737485"/>
            <wp:effectExtent l="0" t="0" r="0" b="0"/>
            <wp:docPr id="165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94.jpe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851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pStyle w:val="Heading1"/>
        <w:spacing w:before="9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P11</w:t>
      </w:r>
    </w:p>
    <w:p>
      <w:pPr>
        <w:spacing w:after="0"/>
        <w:sectPr>
          <w:headerReference w:type="default" r:id="rId636"/>
          <w:footerReference w:type="default" r:id="rId637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68878" cy="3838194"/>
            <wp:effectExtent l="0" t="0" r="0" b="0"/>
            <wp:docPr id="167" name="image195.jpeg" descr="C:\Users\SONY PC\Desktop\NMR PAINT\P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95.jpe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8878" cy="383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261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P11</w:t>
      </w:r>
    </w:p>
    <w:p>
      <w:pPr>
        <w:spacing w:after="0"/>
        <w:jc w:val="left"/>
        <w:rPr>
          <w:sz w:val="24"/>
        </w:rPr>
        <w:sectPr>
          <w:headerReference w:type="default" r:id="rId639"/>
          <w:footerReference w:type="default" r:id="rId640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587783" cy="3921633"/>
            <wp:effectExtent l="0" t="0" r="0" b="0"/>
            <wp:docPr id="169" name="image196.jpeg" descr="C:\Users\SONY PC\Desktop\NMR PAINT\P11_c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96.jpe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783" cy="392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6"/>
        </w:rPr>
      </w:pPr>
    </w:p>
    <w:p>
      <w:pPr>
        <w:pStyle w:val="Heading1"/>
        <w:spacing w:before="128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4"/>
          <w:vertAlign w:val="baseline"/>
        </w:rPr>
        <w:t> </w:t>
      </w:r>
      <w:r>
        <w:rPr>
          <w:vertAlign w:val="baseline"/>
        </w:rPr>
        <w:t>P11</w:t>
      </w:r>
    </w:p>
    <w:p>
      <w:pPr>
        <w:spacing w:after="0"/>
        <w:sectPr>
          <w:headerReference w:type="default" r:id="rId642"/>
          <w:footerReference w:type="default" r:id="rId643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68636" cy="3838194"/>
            <wp:effectExtent l="0" t="0" r="0" b="0"/>
            <wp:docPr id="171" name="image197.jpeg" descr="C:\Users\SONY PC\Desktop\NMR PAINT\P11_dept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97.jpe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8636" cy="383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8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DEPT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P11</w:t>
      </w:r>
    </w:p>
    <w:p>
      <w:pPr>
        <w:spacing w:after="0"/>
        <w:jc w:val="left"/>
        <w:rPr>
          <w:sz w:val="24"/>
        </w:rPr>
        <w:sectPr>
          <w:headerReference w:type="default" r:id="rId645"/>
          <w:footerReference w:type="default" r:id="rId646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462"/>
        <w:rPr>
          <w:sz w:val="20"/>
        </w:rPr>
      </w:pPr>
      <w:r>
        <w:rPr>
          <w:sz w:val="20"/>
        </w:rPr>
        <w:drawing>
          <wp:inline distT="0" distB="0" distL="0" distR="0">
            <wp:extent cx="5334663" cy="5214651"/>
            <wp:effectExtent l="0" t="0" r="0" b="0"/>
            <wp:docPr id="173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98.jpe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663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sz w:val="29"/>
        </w:rPr>
      </w:pPr>
    </w:p>
    <w:p>
      <w:pPr>
        <w:pStyle w:val="Heading1"/>
        <w:spacing w:before="90"/>
      </w:pPr>
      <w:r>
        <w:rPr/>
        <w:t>COSY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compound P11</w:t>
      </w:r>
    </w:p>
    <w:p>
      <w:pPr>
        <w:spacing w:after="0"/>
        <w:sectPr>
          <w:headerReference w:type="default" r:id="rId648"/>
          <w:footerReference w:type="default" r:id="rId649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87"/>
        <w:rPr>
          <w:sz w:val="20"/>
        </w:rPr>
      </w:pPr>
      <w:r>
        <w:rPr>
          <w:sz w:val="20"/>
        </w:rPr>
        <w:drawing>
          <wp:inline distT="0" distB="0" distL="0" distR="0">
            <wp:extent cx="5281260" cy="5232654"/>
            <wp:effectExtent l="0" t="0" r="0" b="0"/>
            <wp:docPr id="175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99.jpe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260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6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HMBC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compound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P11</w:t>
      </w:r>
    </w:p>
    <w:p>
      <w:pPr>
        <w:spacing w:after="0"/>
        <w:jc w:val="left"/>
        <w:rPr>
          <w:sz w:val="24"/>
        </w:rPr>
        <w:sectPr>
          <w:headerReference w:type="default" r:id="rId651"/>
          <w:footerReference w:type="default" r:id="rId652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461"/>
        <w:rPr>
          <w:sz w:val="20"/>
        </w:rPr>
      </w:pPr>
      <w:r>
        <w:rPr>
          <w:sz w:val="20"/>
        </w:rPr>
        <w:drawing>
          <wp:inline distT="0" distB="0" distL="0" distR="0">
            <wp:extent cx="5249457" cy="5149596"/>
            <wp:effectExtent l="0" t="0" r="0" b="0"/>
            <wp:docPr id="177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00.jpe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457" cy="514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Heading1"/>
        <w:spacing w:before="90"/>
      </w:pPr>
      <w:r>
        <w:rPr/>
        <w:t>HSQC</w:t>
      </w:r>
      <w:r>
        <w:rPr>
          <w:spacing w:val="-1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compound</w:t>
      </w:r>
      <w:r>
        <w:rPr>
          <w:spacing w:val="-1"/>
        </w:rPr>
        <w:t> </w:t>
      </w:r>
      <w:r>
        <w:rPr/>
        <w:t>P11</w:t>
      </w:r>
    </w:p>
    <w:p>
      <w:pPr>
        <w:spacing w:after="0"/>
        <w:sectPr>
          <w:headerReference w:type="default" r:id="rId654"/>
          <w:footerReference w:type="default" r:id="rId65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2"/>
        </w:rPr>
      </w:pPr>
    </w:p>
    <w:p>
      <w:pPr>
        <w:pStyle w:val="BodyText"/>
        <w:ind w:left="338"/>
        <w:rPr>
          <w:sz w:val="20"/>
        </w:rPr>
      </w:pPr>
      <w:r>
        <w:rPr>
          <w:sz w:val="20"/>
        </w:rPr>
        <w:drawing>
          <wp:inline distT="0" distB="0" distL="0" distR="0">
            <wp:extent cx="5486373" cy="2737485"/>
            <wp:effectExtent l="0" t="0" r="0" b="0"/>
            <wp:docPr id="179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94.jpe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73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FT-IR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P12</w:t>
      </w:r>
    </w:p>
    <w:p>
      <w:pPr>
        <w:spacing w:after="0"/>
        <w:jc w:val="left"/>
        <w:rPr>
          <w:sz w:val="24"/>
        </w:rPr>
        <w:sectPr>
          <w:headerReference w:type="default" r:id="rId657"/>
          <w:footerReference w:type="default" r:id="rId658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10"/>
        <w:rPr>
          <w:b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648500" cy="3369564"/>
            <wp:effectExtent l="0" t="0" r="0" b="0"/>
            <wp:docPr id="181" name="image201.jpeg" descr="C:\Users\SONY PC\Desktop\NMR PAINT\p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01.jpe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500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Heading1"/>
        <w:spacing w:before="0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 P12</w:t>
      </w:r>
    </w:p>
    <w:p>
      <w:pPr>
        <w:spacing w:after="0"/>
        <w:sectPr>
          <w:headerReference w:type="default" r:id="rId659"/>
          <w:footerReference w:type="default" r:id="rId660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555615" cy="3241167"/>
            <wp:effectExtent l="0" t="0" r="0" b="0"/>
            <wp:docPr id="183" name="image202.jpeg" descr="C:\Users\SONY PC\Desktop\NMR PAINT\p12 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02.jpe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615" cy="324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256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P12</w:t>
      </w:r>
    </w:p>
    <w:p>
      <w:pPr>
        <w:spacing w:after="0"/>
        <w:jc w:val="left"/>
        <w:rPr>
          <w:sz w:val="24"/>
        </w:rPr>
        <w:sectPr>
          <w:headerReference w:type="default" r:id="rId662"/>
          <w:footerReference w:type="default" r:id="rId663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556"/>
        <w:rPr>
          <w:sz w:val="20"/>
        </w:rPr>
      </w:pPr>
      <w:r>
        <w:rPr>
          <w:sz w:val="20"/>
        </w:rPr>
        <w:drawing>
          <wp:inline distT="0" distB="0" distL="0" distR="0">
            <wp:extent cx="5082571" cy="4397502"/>
            <wp:effectExtent l="0" t="0" r="0" b="0"/>
            <wp:docPr id="185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03.jpe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2571" cy="439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7"/>
        </w:rPr>
      </w:pPr>
    </w:p>
    <w:p>
      <w:pPr>
        <w:pStyle w:val="Heading1"/>
        <w:spacing w:before="90"/>
      </w:pPr>
      <w:r>
        <w:rPr/>
        <w:t>Mass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P12</w:t>
      </w:r>
    </w:p>
    <w:p>
      <w:pPr>
        <w:spacing w:after="0"/>
        <w:sectPr>
          <w:headerReference w:type="default" r:id="rId665"/>
          <w:footerReference w:type="default" r:id="rId666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 w:after="1"/>
        <w:rPr>
          <w:b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5491892" cy="2560320"/>
            <wp:effectExtent l="0" t="0" r="0" b="0"/>
            <wp:docPr id="187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04.jpe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1892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0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FT-IR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P17</w:t>
      </w:r>
    </w:p>
    <w:p>
      <w:pPr>
        <w:spacing w:after="0"/>
        <w:jc w:val="left"/>
        <w:rPr>
          <w:sz w:val="24"/>
        </w:rPr>
        <w:sectPr>
          <w:headerReference w:type="default" r:id="rId668"/>
          <w:footerReference w:type="default" r:id="rId669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ind w:left="334"/>
        <w:rPr>
          <w:sz w:val="20"/>
        </w:rPr>
      </w:pPr>
      <w:r>
        <w:rPr>
          <w:sz w:val="20"/>
        </w:rPr>
        <w:drawing>
          <wp:inline distT="0" distB="0" distL="0" distR="0">
            <wp:extent cx="5491394" cy="2981515"/>
            <wp:effectExtent l="0" t="0" r="0" b="0"/>
            <wp:docPr id="189" name="image205.png" descr="C:\Users\SONY PC\Desktop\Asmau 2\PROTON_01.fid\17\pdata\1\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05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1394" cy="298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</w:p>
    <w:p>
      <w:pPr>
        <w:pStyle w:val="Heading1"/>
        <w:spacing w:before="128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 P17</w:t>
      </w:r>
    </w:p>
    <w:p>
      <w:pPr>
        <w:spacing w:after="0"/>
        <w:sectPr>
          <w:headerReference w:type="default" r:id="rId671"/>
          <w:footerReference w:type="default" r:id="rId672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ind w:left="332"/>
        <w:rPr>
          <w:sz w:val="20"/>
        </w:rPr>
      </w:pPr>
      <w:r>
        <w:rPr>
          <w:sz w:val="20"/>
        </w:rPr>
        <w:drawing>
          <wp:inline distT="0" distB="0" distL="0" distR="0">
            <wp:extent cx="5457227" cy="2966275"/>
            <wp:effectExtent l="0" t="0" r="0" b="0"/>
            <wp:docPr id="191" name="image206.png" descr="C:\Users\SONY PC\Desktop\NMR PAINT\17 H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06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227" cy="29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spacing w:before="12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2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P17</w:t>
      </w:r>
      <w:r>
        <w:rPr>
          <w:b/>
          <w:spacing w:val="-6"/>
          <w:sz w:val="24"/>
          <w:vertAlign w:val="baseline"/>
        </w:rPr>
        <w:t> </w:t>
      </w:r>
      <w:r>
        <w:rPr>
          <w:b/>
          <w:sz w:val="24"/>
          <w:vertAlign w:val="baseline"/>
        </w:rPr>
        <w:t>(Expanded)</w:t>
      </w:r>
    </w:p>
    <w:p>
      <w:pPr>
        <w:spacing w:after="0"/>
        <w:jc w:val="left"/>
        <w:rPr>
          <w:sz w:val="24"/>
        </w:rPr>
        <w:sectPr>
          <w:headerReference w:type="default" r:id="rId674"/>
          <w:footerReference w:type="default" r:id="rId67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ind w:left="332"/>
        <w:rPr>
          <w:sz w:val="20"/>
        </w:rPr>
      </w:pPr>
      <w:r>
        <w:rPr>
          <w:sz w:val="20"/>
        </w:rPr>
        <w:drawing>
          <wp:inline distT="0" distB="0" distL="0" distR="0">
            <wp:extent cx="5458562" cy="2966275"/>
            <wp:effectExtent l="0" t="0" r="0" b="0"/>
            <wp:docPr id="193" name="image207.png" descr="C:\Users\SONY PC\Desktop\NMR PAINT\17 H (2)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07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562" cy="29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pStyle w:val="Heading1"/>
        <w:spacing w:before="128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1"/>
          <w:vertAlign w:val="baseline"/>
        </w:rPr>
        <w:t> </w:t>
      </w:r>
      <w:r>
        <w:rPr>
          <w:vertAlign w:val="baseline"/>
        </w:rPr>
        <w:t>P17</w:t>
      </w:r>
      <w:r>
        <w:rPr>
          <w:spacing w:val="-6"/>
          <w:vertAlign w:val="baseline"/>
        </w:rPr>
        <w:t> </w:t>
      </w:r>
      <w:r>
        <w:rPr>
          <w:vertAlign w:val="baseline"/>
        </w:rPr>
        <w:t>(Expanded)</w:t>
      </w:r>
    </w:p>
    <w:p>
      <w:pPr>
        <w:spacing w:after="0"/>
        <w:sectPr>
          <w:headerReference w:type="default" r:id="rId677"/>
          <w:footerReference w:type="default" r:id="rId678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ind w:left="332"/>
        <w:rPr>
          <w:sz w:val="20"/>
        </w:rPr>
      </w:pPr>
      <w:r>
        <w:rPr>
          <w:sz w:val="20"/>
        </w:rPr>
        <w:drawing>
          <wp:inline distT="0" distB="0" distL="0" distR="0">
            <wp:extent cx="5457875" cy="2966275"/>
            <wp:effectExtent l="0" t="0" r="0" b="0"/>
            <wp:docPr id="195" name="image208.png" descr="C:\Users\SONY PC\Desktop\NMR PAINT\17 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08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75" cy="29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spacing w:before="12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P17</w:t>
      </w:r>
    </w:p>
    <w:p>
      <w:pPr>
        <w:spacing w:after="0"/>
        <w:jc w:val="left"/>
        <w:rPr>
          <w:sz w:val="24"/>
        </w:rPr>
        <w:sectPr>
          <w:headerReference w:type="default" r:id="rId680"/>
          <w:footerReference w:type="default" r:id="rId681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19"/>
        </w:rPr>
      </w:pPr>
    </w:p>
    <w:p>
      <w:pPr>
        <w:pStyle w:val="BodyText"/>
        <w:ind w:left="565"/>
        <w:rPr>
          <w:sz w:val="20"/>
        </w:rPr>
      </w:pPr>
      <w:r>
        <w:rPr>
          <w:sz w:val="20"/>
        </w:rPr>
        <w:drawing>
          <wp:inline distT="0" distB="0" distL="0" distR="0">
            <wp:extent cx="5263185" cy="4549140"/>
            <wp:effectExtent l="0" t="0" r="0" b="0"/>
            <wp:docPr id="197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09.jpe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185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pStyle w:val="Heading1"/>
        <w:spacing w:before="90"/>
      </w:pPr>
      <w:r>
        <w:rPr/>
        <w:t>Mass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P17</w:t>
      </w:r>
    </w:p>
    <w:p>
      <w:pPr>
        <w:spacing w:after="0"/>
        <w:sectPr>
          <w:headerReference w:type="default" r:id="rId683"/>
          <w:footerReference w:type="default" r:id="rId684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ind w:left="527"/>
        <w:rPr>
          <w:sz w:val="20"/>
        </w:rPr>
      </w:pPr>
      <w:r>
        <w:rPr>
          <w:sz w:val="20"/>
        </w:rPr>
        <w:drawing>
          <wp:inline distT="0" distB="0" distL="0" distR="0">
            <wp:extent cx="5320739" cy="2314575"/>
            <wp:effectExtent l="0" t="0" r="0" b="0"/>
            <wp:docPr id="199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10.jpe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739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FT-IR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P15</w:t>
      </w:r>
    </w:p>
    <w:p>
      <w:pPr>
        <w:spacing w:after="0"/>
        <w:jc w:val="left"/>
        <w:rPr>
          <w:sz w:val="24"/>
        </w:rPr>
        <w:sectPr>
          <w:headerReference w:type="default" r:id="rId686"/>
          <w:footerReference w:type="default" r:id="rId687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634881" cy="3062097"/>
            <wp:effectExtent l="0" t="0" r="0" b="0"/>
            <wp:docPr id="201" name="image211.jpeg" descr="C:\Users\SONY PC\Desktop\NMR PAINT\15 H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11.jpe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881" cy="306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Heading1"/>
        <w:spacing w:before="128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 P15</w:t>
      </w:r>
    </w:p>
    <w:p>
      <w:pPr>
        <w:spacing w:after="0"/>
        <w:sectPr>
          <w:headerReference w:type="default" r:id="rId689"/>
          <w:footerReference w:type="default" r:id="rId690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5" w:after="1"/>
        <w:rPr>
          <w:b/>
          <w:sz w:val="25"/>
        </w:r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713814" cy="3332416"/>
            <wp:effectExtent l="0" t="0" r="0" b="0"/>
            <wp:docPr id="203" name="image212.jpeg" descr="C:\Users\SONY PC\Desktop\NMR PAINT\P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12.jpe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814" cy="333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sz w:val="29"/>
        </w:rPr>
      </w:pPr>
    </w:p>
    <w:p>
      <w:pPr>
        <w:spacing w:before="127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P15</w:t>
      </w:r>
    </w:p>
    <w:p>
      <w:pPr>
        <w:spacing w:after="0"/>
        <w:jc w:val="left"/>
        <w:rPr>
          <w:sz w:val="24"/>
        </w:rPr>
        <w:sectPr>
          <w:headerReference w:type="default" r:id="rId692"/>
          <w:footerReference w:type="default" r:id="rId693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ind w:left="428"/>
        <w:rPr>
          <w:sz w:val="20"/>
        </w:rPr>
      </w:pPr>
      <w:r>
        <w:rPr>
          <w:sz w:val="20"/>
        </w:rPr>
        <w:drawing>
          <wp:inline distT="0" distB="0" distL="0" distR="0">
            <wp:extent cx="5428154" cy="2411729"/>
            <wp:effectExtent l="0" t="0" r="0" b="0"/>
            <wp:docPr id="205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13.jpe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154" cy="241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pStyle w:val="Heading1"/>
        <w:spacing w:before="9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P16</w:t>
      </w:r>
    </w:p>
    <w:p>
      <w:pPr>
        <w:spacing w:after="0"/>
        <w:sectPr>
          <w:headerReference w:type="default" r:id="rId695"/>
          <w:footerReference w:type="default" r:id="rId696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333"/>
        <w:rPr>
          <w:sz w:val="20"/>
        </w:rPr>
      </w:pPr>
      <w:r>
        <w:rPr>
          <w:sz w:val="20"/>
        </w:rPr>
        <w:drawing>
          <wp:inline distT="0" distB="0" distL="0" distR="0">
            <wp:extent cx="5492647" cy="3263550"/>
            <wp:effectExtent l="0" t="0" r="0" b="0"/>
            <wp:docPr id="207" name="image214.png" descr="C:\Users\SONY PC\Desktop\NMR PAINT\P16 H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14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647" cy="32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7"/>
        </w:rPr>
      </w:pPr>
    </w:p>
    <w:p>
      <w:pPr>
        <w:spacing w:before="127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P16</w:t>
      </w:r>
    </w:p>
    <w:p>
      <w:pPr>
        <w:spacing w:after="0"/>
        <w:jc w:val="left"/>
        <w:rPr>
          <w:sz w:val="24"/>
        </w:rPr>
        <w:sectPr>
          <w:headerReference w:type="default" r:id="rId698"/>
          <w:footerReference w:type="default" r:id="rId699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ind w:left="332"/>
        <w:rPr>
          <w:sz w:val="20"/>
        </w:rPr>
      </w:pPr>
      <w:r>
        <w:rPr>
          <w:sz w:val="20"/>
        </w:rPr>
        <w:drawing>
          <wp:inline distT="0" distB="0" distL="0" distR="0">
            <wp:extent cx="5393511" cy="3201828"/>
            <wp:effectExtent l="0" t="0" r="0" b="0"/>
            <wp:docPr id="209" name="image215.png" descr="C:\Users\SONY PC\Desktop\NMR PAINT\P16 H (EXPAND)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15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511" cy="320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</w:p>
    <w:p>
      <w:pPr>
        <w:pStyle w:val="Heading1"/>
        <w:spacing w:before="128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1"/>
          <w:vertAlign w:val="baseline"/>
        </w:rPr>
        <w:t> </w:t>
      </w:r>
      <w:r>
        <w:rPr>
          <w:vertAlign w:val="baseline"/>
        </w:rPr>
        <w:t>P16</w:t>
      </w:r>
      <w:r>
        <w:rPr>
          <w:spacing w:val="-6"/>
          <w:vertAlign w:val="baseline"/>
        </w:rPr>
        <w:t> </w:t>
      </w:r>
      <w:r>
        <w:rPr>
          <w:vertAlign w:val="baseline"/>
        </w:rPr>
        <w:t>(Expanded)</w:t>
      </w:r>
    </w:p>
    <w:p>
      <w:pPr>
        <w:spacing w:after="0"/>
        <w:sectPr>
          <w:headerReference w:type="default" r:id="rId701"/>
          <w:footerReference w:type="default" r:id="rId702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3"/>
        <w:rPr>
          <w:b/>
          <w:sz w:val="26"/>
        </w:rPr>
      </w:pPr>
    </w:p>
    <w:p>
      <w:pPr>
        <w:pStyle w:val="BodyText"/>
        <w:ind w:left="335"/>
        <w:rPr>
          <w:sz w:val="20"/>
        </w:rPr>
      </w:pPr>
      <w:r>
        <w:rPr>
          <w:sz w:val="20"/>
        </w:rPr>
        <w:drawing>
          <wp:inline distT="0" distB="0" distL="0" distR="0">
            <wp:extent cx="5501863" cy="3266217"/>
            <wp:effectExtent l="0" t="0" r="0" b="0"/>
            <wp:docPr id="211" name="image216.png" descr="C:\Users\SONY PC\Desktop\NMR PAINT\P16 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16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863" cy="326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265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P16</w:t>
      </w:r>
    </w:p>
    <w:p>
      <w:pPr>
        <w:spacing w:after="0"/>
        <w:jc w:val="left"/>
        <w:rPr>
          <w:sz w:val="24"/>
        </w:rPr>
        <w:sectPr>
          <w:headerReference w:type="default" r:id="rId704"/>
          <w:footerReference w:type="default" r:id="rId70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ind w:left="552"/>
        <w:rPr>
          <w:sz w:val="20"/>
        </w:rPr>
      </w:pPr>
      <w:r>
        <w:rPr>
          <w:sz w:val="20"/>
        </w:rPr>
        <w:drawing>
          <wp:inline distT="0" distB="0" distL="0" distR="0">
            <wp:extent cx="5173488" cy="4473321"/>
            <wp:effectExtent l="0" t="0" r="0" b="0"/>
            <wp:docPr id="213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17.jpe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3488" cy="447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pStyle w:val="Heading1"/>
        <w:spacing w:before="1"/>
      </w:pPr>
      <w:r>
        <w:rPr/>
        <w:t>Mass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P16</w:t>
      </w:r>
    </w:p>
    <w:p>
      <w:pPr>
        <w:spacing w:after="0"/>
        <w:sectPr>
          <w:headerReference w:type="default" r:id="rId707"/>
          <w:footerReference w:type="default" r:id="rId708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333"/>
        <w:rPr>
          <w:sz w:val="20"/>
        </w:rPr>
      </w:pPr>
      <w:r>
        <w:rPr>
          <w:sz w:val="20"/>
        </w:rPr>
        <w:drawing>
          <wp:inline distT="0" distB="0" distL="0" distR="0">
            <wp:extent cx="5694495" cy="3095244"/>
            <wp:effectExtent l="0" t="0" r="0" b="0"/>
            <wp:docPr id="215" name="image218.png" descr="C:\Users\SONY PC\Desktop\NMR PAINT\23 Ha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18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495" cy="309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253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 NMR 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23</w:t>
      </w:r>
    </w:p>
    <w:p>
      <w:pPr>
        <w:spacing w:after="0"/>
        <w:jc w:val="left"/>
        <w:rPr>
          <w:sz w:val="24"/>
        </w:rPr>
        <w:sectPr>
          <w:headerReference w:type="default" r:id="rId710"/>
          <w:footerReference w:type="default" r:id="rId711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ind w:left="334"/>
        <w:rPr>
          <w:sz w:val="20"/>
        </w:rPr>
      </w:pPr>
      <w:r>
        <w:rPr>
          <w:sz w:val="20"/>
        </w:rPr>
        <w:drawing>
          <wp:inline distT="0" distB="0" distL="0" distR="0">
            <wp:extent cx="5639878" cy="3062097"/>
            <wp:effectExtent l="0" t="0" r="0" b="0"/>
            <wp:docPr id="217" name="image219.png" descr="C:\Users\SONY PC\Desktop\Asmau 2\PROTON_01.fid\23\pdata\1\23 C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19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878" cy="306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</w:p>
    <w:p>
      <w:pPr>
        <w:pStyle w:val="Heading1"/>
        <w:spacing w:before="128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compound 23</w:t>
      </w:r>
      <w:r>
        <w:rPr>
          <w:spacing w:val="-5"/>
          <w:vertAlign w:val="baseline"/>
        </w:rPr>
        <w:t> </w:t>
      </w:r>
      <w:r>
        <w:rPr>
          <w:vertAlign w:val="baseline"/>
        </w:rPr>
        <w:t>(Expanded)</w:t>
      </w:r>
    </w:p>
    <w:p>
      <w:pPr>
        <w:spacing w:after="0"/>
        <w:sectPr>
          <w:headerReference w:type="default" r:id="rId713"/>
          <w:footerReference w:type="default" r:id="rId714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ind w:left="325"/>
        <w:rPr>
          <w:sz w:val="20"/>
        </w:rPr>
      </w:pPr>
      <w:r>
        <w:rPr>
          <w:sz w:val="20"/>
        </w:rPr>
        <w:drawing>
          <wp:inline distT="0" distB="0" distL="0" distR="0">
            <wp:extent cx="5747508" cy="2393061"/>
            <wp:effectExtent l="0" t="0" r="0" b="0"/>
            <wp:docPr id="219" name="image220.png" descr="C:\Users\SONY PC\Desktop\NMR PAINT\23 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20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508" cy="239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3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 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23</w:t>
      </w:r>
    </w:p>
    <w:p>
      <w:pPr>
        <w:spacing w:after="0"/>
        <w:jc w:val="left"/>
        <w:rPr>
          <w:sz w:val="24"/>
        </w:rPr>
        <w:sectPr>
          <w:headerReference w:type="default" r:id="rId716"/>
          <w:footerReference w:type="default" r:id="rId717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p>
      <w:pPr>
        <w:pStyle w:val="BodyText"/>
        <w:ind w:left="652"/>
        <w:rPr>
          <w:sz w:val="20"/>
        </w:rPr>
      </w:pPr>
      <w:r>
        <w:rPr>
          <w:sz w:val="20"/>
        </w:rPr>
        <w:drawing>
          <wp:inline distT="0" distB="0" distL="0" distR="0">
            <wp:extent cx="5264550" cy="4549140"/>
            <wp:effectExtent l="0" t="0" r="0" b="0"/>
            <wp:docPr id="221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21.jpe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550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pStyle w:val="Heading1"/>
        <w:spacing w:before="0"/>
      </w:pPr>
      <w:r>
        <w:rPr/>
        <w:t>Mass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P23</w:t>
      </w:r>
    </w:p>
    <w:p>
      <w:pPr>
        <w:spacing w:after="0"/>
        <w:sectPr>
          <w:headerReference w:type="default" r:id="rId719"/>
          <w:footerReference w:type="default" r:id="rId720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2"/>
        </w:rPr>
      </w:pPr>
    </w:p>
    <w:p>
      <w:pPr>
        <w:pStyle w:val="BodyText"/>
        <w:ind w:left="325"/>
        <w:rPr>
          <w:sz w:val="20"/>
        </w:rPr>
      </w:pPr>
      <w:r>
        <w:rPr>
          <w:sz w:val="20"/>
        </w:rPr>
        <w:drawing>
          <wp:inline distT="0" distB="0" distL="0" distR="0">
            <wp:extent cx="5877053" cy="2447448"/>
            <wp:effectExtent l="0" t="0" r="0" b="0"/>
            <wp:docPr id="223" name="image222.png" descr="C:\Users\SONY PC\Desktop\NMR PAINT\25 PROT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22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053" cy="244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 NMR 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25</w:t>
      </w:r>
    </w:p>
    <w:p>
      <w:pPr>
        <w:spacing w:after="0"/>
        <w:jc w:val="left"/>
        <w:rPr>
          <w:sz w:val="24"/>
        </w:rPr>
        <w:sectPr>
          <w:headerReference w:type="default" r:id="rId722"/>
          <w:footerReference w:type="default" r:id="rId723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ind w:left="324"/>
        <w:rPr>
          <w:sz w:val="20"/>
        </w:rPr>
      </w:pPr>
      <w:r>
        <w:rPr>
          <w:sz w:val="20"/>
        </w:rPr>
        <w:drawing>
          <wp:inline distT="0" distB="0" distL="0" distR="0">
            <wp:extent cx="5615872" cy="2338673"/>
            <wp:effectExtent l="0" t="0" r="0" b="0"/>
            <wp:docPr id="225" name="image223.png" descr="C:\Users\SONY PC\Desktop\NMR PAINT\25 CARB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23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872" cy="233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before="268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3"/>
          <w:vertAlign w:val="baseline"/>
        </w:rPr>
        <w:t> </w:t>
      </w:r>
      <w:r>
        <w:rPr>
          <w:vertAlign w:val="baseline"/>
        </w:rPr>
        <w:t>25</w:t>
      </w:r>
    </w:p>
    <w:p>
      <w:pPr>
        <w:spacing w:after="0"/>
        <w:sectPr>
          <w:headerReference w:type="default" r:id="rId725"/>
          <w:footerReference w:type="default" r:id="rId726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ind w:left="334"/>
        <w:rPr>
          <w:sz w:val="20"/>
        </w:rPr>
      </w:pPr>
      <w:r>
        <w:rPr>
          <w:sz w:val="20"/>
        </w:rPr>
        <w:drawing>
          <wp:inline distT="0" distB="0" distL="0" distR="0">
            <wp:extent cx="5490748" cy="2981515"/>
            <wp:effectExtent l="0" t="0" r="0" b="0"/>
            <wp:docPr id="227" name="image224.png" descr="C:\Users\SONY PC\Desktop\Asmau 2\PROTON_01.fid\19\pdata\1\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224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748" cy="298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</w:p>
    <w:p>
      <w:pPr>
        <w:spacing w:before="12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P19</w:t>
      </w:r>
    </w:p>
    <w:p>
      <w:pPr>
        <w:spacing w:after="0"/>
        <w:jc w:val="left"/>
        <w:rPr>
          <w:sz w:val="24"/>
        </w:rPr>
        <w:sectPr>
          <w:headerReference w:type="default" r:id="rId728"/>
          <w:footerReference w:type="default" r:id="rId729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333"/>
        <w:rPr>
          <w:sz w:val="20"/>
        </w:rPr>
      </w:pPr>
      <w:r>
        <w:rPr>
          <w:sz w:val="20"/>
        </w:rPr>
        <w:drawing>
          <wp:inline distT="0" distB="0" distL="0" distR="0">
            <wp:extent cx="5694480" cy="3095244"/>
            <wp:effectExtent l="0" t="0" r="0" b="0"/>
            <wp:docPr id="229" name="image225.png" descr="C:\Users\SONY PC\Desktop\NMR PAINT\19 H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25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480" cy="309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Heading1"/>
        <w:spacing w:before="243"/>
      </w:pPr>
      <w:r>
        <w:rPr>
          <w:vertAlign w:val="superscript"/>
        </w:rPr>
        <w:t>1</w:t>
      </w:r>
      <w:r>
        <w:rPr>
          <w:vertAlign w:val="baseline"/>
        </w:rPr>
        <w:t>H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1"/>
          <w:vertAlign w:val="baseline"/>
        </w:rPr>
        <w:t> </w:t>
      </w:r>
      <w:r>
        <w:rPr>
          <w:vertAlign w:val="baseline"/>
        </w:rPr>
        <w:t>P19</w:t>
      </w:r>
      <w:r>
        <w:rPr>
          <w:spacing w:val="-6"/>
          <w:vertAlign w:val="baseline"/>
        </w:rPr>
        <w:t> </w:t>
      </w:r>
      <w:r>
        <w:rPr>
          <w:vertAlign w:val="baseline"/>
        </w:rPr>
        <w:t>(Expanded)</w:t>
      </w:r>
    </w:p>
    <w:p>
      <w:pPr>
        <w:spacing w:after="0"/>
        <w:sectPr>
          <w:headerReference w:type="default" r:id="rId731"/>
          <w:footerReference w:type="default" r:id="rId732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ind w:left="332"/>
        <w:rPr>
          <w:sz w:val="20"/>
        </w:rPr>
      </w:pPr>
      <w:r>
        <w:rPr>
          <w:sz w:val="20"/>
        </w:rPr>
        <w:drawing>
          <wp:inline distT="0" distB="0" distL="0" distR="0">
            <wp:extent cx="5457239" cy="2966275"/>
            <wp:effectExtent l="0" t="0" r="0" b="0"/>
            <wp:docPr id="231" name="image226.png" descr="C:\Users\SONY PC\Desktop\NMR PAINT\19 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26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239" cy="29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6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4"/>
          <w:sz w:val="24"/>
          <w:vertAlign w:val="baseline"/>
        </w:rPr>
        <w:t> </w:t>
      </w:r>
      <w:r>
        <w:rPr>
          <w:b/>
          <w:sz w:val="24"/>
          <w:vertAlign w:val="baseline"/>
        </w:rPr>
        <w:t>P19</w:t>
      </w:r>
    </w:p>
    <w:p>
      <w:pPr>
        <w:spacing w:after="0"/>
        <w:jc w:val="left"/>
        <w:rPr>
          <w:sz w:val="24"/>
        </w:rPr>
        <w:sectPr>
          <w:headerReference w:type="default" r:id="rId734"/>
          <w:footerReference w:type="default" r:id="rId73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1"/>
        </w:rPr>
      </w:pPr>
    </w:p>
    <w:p>
      <w:pPr>
        <w:pStyle w:val="BodyText"/>
        <w:ind w:left="493"/>
        <w:rPr>
          <w:sz w:val="20"/>
        </w:rPr>
      </w:pPr>
      <w:r>
        <w:rPr>
          <w:sz w:val="20"/>
        </w:rPr>
        <w:drawing>
          <wp:inline distT="0" distB="0" distL="0" distR="0">
            <wp:extent cx="5268352" cy="4549140"/>
            <wp:effectExtent l="0" t="0" r="0" b="0"/>
            <wp:docPr id="233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27.jpe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352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16"/>
      </w:pPr>
      <w:r>
        <w:rPr/>
        <w:t>Mass</w:t>
      </w:r>
      <w:r>
        <w:rPr>
          <w:spacing w:val="-2"/>
        </w:rPr>
        <w:t> </w:t>
      </w:r>
      <w:r>
        <w:rPr/>
        <w:t>spectrum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P19</w:t>
      </w:r>
    </w:p>
    <w:p>
      <w:pPr>
        <w:spacing w:after="0"/>
        <w:sectPr>
          <w:headerReference w:type="default" r:id="rId737"/>
          <w:footerReference w:type="default" r:id="rId738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 w:after="1"/>
        <w:rPr>
          <w:b/>
          <w:sz w:val="25"/>
        </w:rPr>
      </w:pPr>
    </w:p>
    <w:p>
      <w:pPr>
        <w:pStyle w:val="BodyText"/>
        <w:ind w:left="325"/>
        <w:rPr>
          <w:sz w:val="20"/>
        </w:rPr>
      </w:pPr>
      <w:r>
        <w:rPr>
          <w:sz w:val="20"/>
        </w:rPr>
        <w:drawing>
          <wp:inline distT="0" distB="0" distL="0" distR="0">
            <wp:extent cx="5876453" cy="2447448"/>
            <wp:effectExtent l="0" t="0" r="0" b="0"/>
            <wp:docPr id="235" name="image228.png" descr="C:\Users\SONY PC\Desktop\NMR PAINT\24 PROT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28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453" cy="244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 NMR 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24</w:t>
      </w:r>
    </w:p>
    <w:p>
      <w:pPr>
        <w:spacing w:after="0"/>
        <w:jc w:val="left"/>
        <w:rPr>
          <w:sz w:val="24"/>
        </w:rPr>
        <w:sectPr>
          <w:headerReference w:type="default" r:id="rId740"/>
          <w:footerReference w:type="default" r:id="rId741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 w:after="1"/>
        <w:rPr>
          <w:b/>
          <w:sz w:val="25"/>
        </w:rPr>
      </w:pPr>
    </w:p>
    <w:p>
      <w:pPr>
        <w:pStyle w:val="BodyText"/>
        <w:ind w:left="325"/>
        <w:rPr>
          <w:sz w:val="20"/>
        </w:rPr>
      </w:pPr>
      <w:r>
        <w:rPr>
          <w:sz w:val="20"/>
        </w:rPr>
        <w:drawing>
          <wp:inline distT="0" distB="0" distL="0" distR="0">
            <wp:extent cx="5874653" cy="2447448"/>
            <wp:effectExtent l="0" t="0" r="0" b="0"/>
            <wp:docPr id="237" name="image229.png" descr="C:\Users\SONY PC\Desktop\NMR PAINT\24 CARB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29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653" cy="244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Heading1"/>
        <w:spacing w:before="0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3"/>
          <w:vertAlign w:val="baseline"/>
        </w:rPr>
        <w:t> </w:t>
      </w:r>
      <w:r>
        <w:rPr>
          <w:vertAlign w:val="baseline"/>
        </w:rPr>
        <w:t>24</w:t>
      </w:r>
    </w:p>
    <w:p>
      <w:pPr>
        <w:spacing w:after="0"/>
        <w:sectPr>
          <w:headerReference w:type="default" r:id="rId743"/>
          <w:footerReference w:type="default" r:id="rId744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2"/>
        </w:rPr>
      </w:pPr>
    </w:p>
    <w:p>
      <w:pPr>
        <w:pStyle w:val="BodyText"/>
        <w:ind w:left="565"/>
        <w:rPr>
          <w:sz w:val="20"/>
        </w:rPr>
      </w:pPr>
      <w:r>
        <w:rPr>
          <w:sz w:val="20"/>
        </w:rPr>
        <w:drawing>
          <wp:inline distT="0" distB="0" distL="0" distR="0">
            <wp:extent cx="5259733" cy="4549140"/>
            <wp:effectExtent l="0" t="0" r="0" b="0"/>
            <wp:docPr id="239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30.jpe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733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Mass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P24</w:t>
      </w:r>
    </w:p>
    <w:p>
      <w:pPr>
        <w:spacing w:after="0"/>
        <w:jc w:val="left"/>
        <w:rPr>
          <w:sz w:val="24"/>
        </w:rPr>
        <w:sectPr>
          <w:headerReference w:type="default" r:id="rId746"/>
          <w:footerReference w:type="default" r:id="rId747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 w:after="1"/>
        <w:rPr>
          <w:b/>
          <w:sz w:val="25"/>
        </w:rPr>
      </w:pPr>
    </w:p>
    <w:p>
      <w:pPr>
        <w:pStyle w:val="BodyText"/>
        <w:ind w:left="325"/>
        <w:rPr>
          <w:sz w:val="20"/>
        </w:rPr>
      </w:pPr>
      <w:r>
        <w:rPr>
          <w:sz w:val="20"/>
        </w:rPr>
        <w:drawing>
          <wp:inline distT="0" distB="0" distL="0" distR="0">
            <wp:extent cx="5874653" cy="2447448"/>
            <wp:effectExtent l="0" t="0" r="0" b="0"/>
            <wp:docPr id="241" name="image222.png" descr="C:\Users\SONY PC\Desktop\NMR PAINT\25 PROT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22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653" cy="244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Heading1"/>
        <w:spacing w:before="0"/>
      </w:pPr>
      <w:r>
        <w:rPr>
          <w:vertAlign w:val="superscript"/>
        </w:rPr>
        <w:t>1</w:t>
      </w:r>
      <w:r>
        <w:rPr>
          <w:vertAlign w:val="baseline"/>
        </w:rPr>
        <w:t>H NMR 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1"/>
          <w:vertAlign w:val="baseline"/>
        </w:rPr>
        <w:t> </w:t>
      </w:r>
      <w:r>
        <w:rPr>
          <w:vertAlign w:val="baseline"/>
        </w:rPr>
        <w:t>25</w:t>
      </w:r>
    </w:p>
    <w:p>
      <w:pPr>
        <w:spacing w:after="0"/>
        <w:sectPr>
          <w:headerReference w:type="default" r:id="rId749"/>
          <w:footerReference w:type="default" r:id="rId750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ind w:left="324"/>
        <w:rPr>
          <w:sz w:val="20"/>
        </w:rPr>
      </w:pPr>
      <w:r>
        <w:rPr>
          <w:sz w:val="20"/>
        </w:rPr>
        <w:drawing>
          <wp:inline distT="0" distB="0" distL="0" distR="0">
            <wp:extent cx="5613452" cy="2338673"/>
            <wp:effectExtent l="0" t="0" r="0" b="0"/>
            <wp:docPr id="243" name="image223.png" descr="C:\Users\SONY PC\Desktop\NMR PAINT\25 CARBON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23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452" cy="233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before="26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13</w:t>
      </w:r>
      <w:r>
        <w:rPr>
          <w:b/>
          <w:sz w:val="24"/>
          <w:vertAlign w:val="baseline"/>
        </w:rPr>
        <w:t>C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 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25</w:t>
      </w:r>
    </w:p>
    <w:p>
      <w:pPr>
        <w:spacing w:after="0"/>
        <w:jc w:val="left"/>
        <w:rPr>
          <w:sz w:val="24"/>
        </w:rPr>
        <w:sectPr>
          <w:headerReference w:type="default" r:id="rId751"/>
          <w:footerReference w:type="default" r:id="rId752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pStyle w:val="BodyText"/>
        <w:ind w:left="661"/>
        <w:rPr>
          <w:sz w:val="20"/>
        </w:rPr>
      </w:pPr>
      <w:r>
        <w:rPr>
          <w:sz w:val="20"/>
        </w:rPr>
        <w:drawing>
          <wp:inline distT="0" distB="0" distL="0" distR="0">
            <wp:extent cx="5224280" cy="2748915"/>
            <wp:effectExtent l="0" t="0" r="0" b="0"/>
            <wp:docPr id="245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31.jpe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280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</w:p>
    <w:p>
      <w:pPr>
        <w:pStyle w:val="Heading1"/>
        <w:spacing w:before="9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P21</w:t>
      </w:r>
    </w:p>
    <w:p>
      <w:pPr>
        <w:spacing w:after="0"/>
        <w:sectPr>
          <w:headerReference w:type="default" r:id="rId753"/>
          <w:footerReference w:type="default" r:id="rId754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333"/>
        <w:rPr>
          <w:sz w:val="20"/>
        </w:rPr>
      </w:pPr>
      <w:r>
        <w:rPr>
          <w:sz w:val="20"/>
        </w:rPr>
        <w:drawing>
          <wp:inline distT="0" distB="0" distL="0" distR="0">
            <wp:extent cx="5575751" cy="3030759"/>
            <wp:effectExtent l="0" t="0" r="0" b="0"/>
            <wp:docPr id="247" name="image232.png" descr="C:\Users\SONY PC\Desktop\NMR PAINT\21 H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32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751" cy="303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</w:p>
    <w:p>
      <w:pPr>
        <w:spacing w:before="128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NMR</w:t>
      </w:r>
      <w:r>
        <w:rPr>
          <w:b/>
          <w:spacing w:val="-1"/>
          <w:sz w:val="24"/>
          <w:vertAlign w:val="baseline"/>
        </w:rPr>
        <w:t> </w:t>
      </w:r>
      <w:r>
        <w:rPr>
          <w:b/>
          <w:sz w:val="24"/>
          <w:vertAlign w:val="baseline"/>
        </w:rPr>
        <w:t>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 P21</w:t>
      </w:r>
    </w:p>
    <w:p>
      <w:pPr>
        <w:spacing w:after="0"/>
        <w:jc w:val="left"/>
        <w:rPr>
          <w:sz w:val="24"/>
        </w:rPr>
        <w:sectPr>
          <w:headerReference w:type="default" r:id="rId756"/>
          <w:footerReference w:type="default" r:id="rId757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ind w:left="324"/>
        <w:rPr>
          <w:sz w:val="20"/>
        </w:rPr>
      </w:pPr>
      <w:r>
        <w:rPr>
          <w:sz w:val="20"/>
        </w:rPr>
        <w:drawing>
          <wp:inline distT="0" distB="0" distL="0" distR="0">
            <wp:extent cx="5616952" cy="2338673"/>
            <wp:effectExtent l="0" t="0" r="0" b="0"/>
            <wp:docPr id="249" name="image233.png" descr="C:\Users\SONY PC\Desktop\NMR PAINT\21 C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233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952" cy="233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</w:rPr>
      </w:pPr>
    </w:p>
    <w:p>
      <w:pPr>
        <w:pStyle w:val="Heading1"/>
        <w:spacing w:before="0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4"/>
          <w:vertAlign w:val="baseline"/>
        </w:rPr>
        <w:t> </w:t>
      </w:r>
      <w:r>
        <w:rPr>
          <w:vertAlign w:val="baseline"/>
        </w:rPr>
        <w:t>P21</w:t>
      </w:r>
    </w:p>
    <w:p>
      <w:pPr>
        <w:spacing w:after="0"/>
        <w:sectPr>
          <w:headerReference w:type="default" r:id="rId759"/>
          <w:footerReference w:type="default" r:id="rId760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</w:rPr>
      </w:pPr>
    </w:p>
    <w:p>
      <w:pPr>
        <w:pStyle w:val="BodyText"/>
        <w:ind w:left="449"/>
        <w:rPr>
          <w:sz w:val="20"/>
        </w:rPr>
      </w:pPr>
      <w:r>
        <w:rPr>
          <w:sz w:val="20"/>
        </w:rPr>
        <w:drawing>
          <wp:inline distT="0" distB="0" distL="0" distR="0">
            <wp:extent cx="5006151" cy="4321683"/>
            <wp:effectExtent l="0" t="0" r="0" b="0"/>
            <wp:docPr id="251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34.jpe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6151" cy="432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p>
      <w:pPr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Mass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spectrum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P21</w:t>
      </w:r>
    </w:p>
    <w:p>
      <w:pPr>
        <w:spacing w:after="0"/>
        <w:jc w:val="left"/>
        <w:rPr>
          <w:sz w:val="24"/>
        </w:rPr>
        <w:sectPr>
          <w:headerReference w:type="default" r:id="rId762"/>
          <w:footerReference w:type="default" r:id="rId763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ind w:left="455"/>
        <w:rPr>
          <w:sz w:val="20"/>
        </w:rPr>
      </w:pPr>
      <w:r>
        <w:rPr>
          <w:sz w:val="20"/>
        </w:rPr>
        <w:drawing>
          <wp:inline distT="0" distB="0" distL="0" distR="0">
            <wp:extent cx="5217570" cy="2657475"/>
            <wp:effectExtent l="0" t="0" r="0" b="0"/>
            <wp:docPr id="253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35.jpe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57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2"/>
        </w:rPr>
      </w:pPr>
    </w:p>
    <w:p>
      <w:pPr>
        <w:pStyle w:val="Heading1"/>
        <w:spacing w:before="0"/>
      </w:pPr>
      <w:r>
        <w:rPr/>
        <w:t>FT-IR</w:t>
      </w:r>
      <w:r>
        <w:rPr>
          <w:spacing w:val="-2"/>
        </w:rPr>
        <w:t> </w:t>
      </w:r>
      <w:r>
        <w:rPr/>
        <w:t>Spectrum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P22</w:t>
      </w:r>
    </w:p>
    <w:p>
      <w:pPr>
        <w:spacing w:after="0"/>
        <w:sectPr>
          <w:headerReference w:type="default" r:id="rId765"/>
          <w:footerReference w:type="default" r:id="rId766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ind w:left="324"/>
        <w:rPr>
          <w:sz w:val="20"/>
        </w:rPr>
      </w:pPr>
      <w:r>
        <w:rPr>
          <w:sz w:val="20"/>
        </w:rPr>
        <w:drawing>
          <wp:inline distT="0" distB="0" distL="0" distR="0">
            <wp:extent cx="5484462" cy="2284285"/>
            <wp:effectExtent l="0" t="0" r="0" b="0"/>
            <wp:docPr id="255" name="image236.png" descr="C:\Users\SONY PC\Desktop\NMR PAINT\22 PROTON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36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462" cy="228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spacing w:before="0"/>
        <w:ind w:left="312" w:right="0" w:firstLine="0"/>
        <w:jc w:val="left"/>
        <w:rPr>
          <w:b/>
          <w:sz w:val="24"/>
        </w:rPr>
      </w:pPr>
      <w:r>
        <w:rPr>
          <w:b/>
          <w:sz w:val="24"/>
          <w:vertAlign w:val="superscript"/>
        </w:rPr>
        <w:t>1</w:t>
      </w:r>
      <w:r>
        <w:rPr>
          <w:b/>
          <w:sz w:val="24"/>
          <w:vertAlign w:val="baseline"/>
        </w:rPr>
        <w:t>H NMR of</w:t>
      </w:r>
      <w:r>
        <w:rPr>
          <w:b/>
          <w:spacing w:val="-3"/>
          <w:sz w:val="24"/>
          <w:vertAlign w:val="baseline"/>
        </w:rPr>
        <w:t> </w:t>
      </w:r>
      <w:r>
        <w:rPr>
          <w:b/>
          <w:sz w:val="24"/>
          <w:vertAlign w:val="baseline"/>
        </w:rPr>
        <w:t>compound</w:t>
      </w:r>
      <w:r>
        <w:rPr>
          <w:b/>
          <w:spacing w:val="1"/>
          <w:sz w:val="24"/>
          <w:vertAlign w:val="baseline"/>
        </w:rPr>
        <w:t> </w:t>
      </w:r>
      <w:r>
        <w:rPr>
          <w:b/>
          <w:sz w:val="24"/>
          <w:vertAlign w:val="baseline"/>
        </w:rPr>
        <w:t>22</w:t>
      </w:r>
    </w:p>
    <w:p>
      <w:pPr>
        <w:spacing w:after="0"/>
        <w:jc w:val="left"/>
        <w:rPr>
          <w:sz w:val="24"/>
        </w:rPr>
        <w:sectPr>
          <w:headerReference w:type="default" r:id="rId768"/>
          <w:footerReference w:type="default" r:id="rId769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ind w:left="324"/>
        <w:rPr>
          <w:sz w:val="20"/>
        </w:rPr>
      </w:pPr>
      <w:r>
        <w:rPr>
          <w:sz w:val="20"/>
        </w:rPr>
        <w:drawing>
          <wp:inline distT="0" distB="0" distL="0" distR="0">
            <wp:extent cx="5484488" cy="2284285"/>
            <wp:effectExtent l="0" t="0" r="0" b="0"/>
            <wp:docPr id="257" name="image237.png" descr="C:\Users\SONY PC\Desktop\NMR PAINT\22 CARBON.t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37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488" cy="228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</w:rPr>
      </w:pPr>
    </w:p>
    <w:p>
      <w:pPr>
        <w:pStyle w:val="Heading1"/>
        <w:spacing w:before="0"/>
      </w:pP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NMR 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compound</w:t>
      </w:r>
      <w:r>
        <w:rPr>
          <w:spacing w:val="-3"/>
          <w:vertAlign w:val="baseline"/>
        </w:rPr>
        <w:t> </w:t>
      </w:r>
      <w:r>
        <w:rPr>
          <w:vertAlign w:val="baseline"/>
        </w:rPr>
        <w:t>22</w:t>
      </w:r>
    </w:p>
    <w:p>
      <w:pPr>
        <w:spacing w:after="0"/>
        <w:sectPr>
          <w:headerReference w:type="default" r:id="rId771"/>
          <w:footerReference w:type="default" r:id="rId772"/>
          <w:pgSz w:w="11910" w:h="16840"/>
          <w:pgMar w:header="1303" w:footer="2318" w:top="1560" w:bottom="2500" w:left="1560" w:right="600"/>
        </w:sectPr>
      </w:pPr>
    </w:p>
    <w:p>
      <w:pPr>
        <w:pStyle w:val="BodyText"/>
        <w:spacing w:before="8"/>
        <w:rPr>
          <w:b/>
          <w:sz w:val="15"/>
        </w:rPr>
      </w:pPr>
    </w:p>
    <w:p>
      <w:pPr>
        <w:spacing w:before="90"/>
        <w:ind w:left="305" w:right="687" w:firstLine="0"/>
        <w:jc w:val="center"/>
        <w:rPr>
          <w:b/>
          <w:sz w:val="24"/>
        </w:rPr>
      </w:pPr>
      <w:r>
        <w:rPr>
          <w:b/>
          <w:sz w:val="24"/>
        </w:rPr>
        <w:t>TLC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plates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substituted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chalcones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(n-Hexane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: Ethyl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acetate,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8:2)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1188719</wp:posOffset>
            </wp:positionH>
            <wp:positionV relativeFrom="paragraph">
              <wp:posOffset>217718</wp:posOffset>
            </wp:positionV>
            <wp:extent cx="5209461" cy="2952750"/>
            <wp:effectExtent l="0" t="0" r="0" b="0"/>
            <wp:wrapTopAndBottom/>
            <wp:docPr id="259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38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461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tabs>
          <w:tab w:pos="2440" w:val="left" w:leader="none"/>
          <w:tab w:pos="6747" w:val="left" w:leader="none"/>
        </w:tabs>
        <w:spacing w:before="187"/>
      </w:pPr>
      <w:r>
        <w:rPr/>
        <w:t>Plate</w:t>
      </w:r>
      <w:r>
        <w:rPr>
          <w:spacing w:val="-2"/>
        </w:rPr>
        <w:t> </w:t>
      </w:r>
      <w:r>
        <w:rPr/>
        <w:t>1:</w:t>
      </w:r>
      <w:r>
        <w:rPr>
          <w:spacing w:val="1"/>
        </w:rPr>
        <w:t> </w:t>
      </w:r>
      <w:r>
        <w:rPr/>
        <w:t>P1</w:t>
        <w:tab/>
        <w:t>Plate</w:t>
      </w:r>
      <w:r>
        <w:rPr>
          <w:spacing w:val="-4"/>
        </w:rPr>
        <w:t> </w:t>
      </w:r>
      <w:r>
        <w:rPr/>
        <w:t>2:</w:t>
      </w:r>
      <w:r>
        <w:rPr>
          <w:spacing w:val="-1"/>
        </w:rPr>
        <w:t> </w:t>
      </w:r>
      <w:r>
        <w:rPr/>
        <w:t>P2</w:t>
      </w:r>
      <w:r>
        <w:rPr>
          <w:spacing w:val="-2"/>
        </w:rPr>
        <w:t> </w:t>
      </w:r>
      <w:r>
        <w:rPr/>
        <w:t>purification</w:t>
        <w:tab/>
        <w:t>Plate</w:t>
      </w:r>
      <w:r>
        <w:rPr>
          <w:spacing w:val="-2"/>
        </w:rPr>
        <w:t> </w:t>
      </w:r>
      <w:r>
        <w:rPr/>
        <w:t>3:</w:t>
      </w:r>
      <w:r>
        <w:rPr>
          <w:spacing w:val="-1"/>
        </w:rPr>
        <w:t> </w:t>
      </w:r>
      <w:r>
        <w:rPr/>
        <w:t>P2</w:t>
      </w:r>
    </w:p>
    <w:p>
      <w:pPr>
        <w:pStyle w:val="BodyText"/>
        <w:spacing w:before="8"/>
        <w:rPr>
          <w:b/>
          <w:sz w:val="20"/>
        </w:rPr>
      </w:pPr>
      <w:r>
        <w:rPr/>
        <w:pict>
          <v:group style="position:absolute;margin-left:93.599998pt;margin-top:13.861172pt;width:336.25pt;height:243.45pt;mso-position-horizontal-relative:page;mso-position-vertical-relative:paragraph;z-index:-15684096;mso-wrap-distance-left:0;mso-wrap-distance-right:0" coordorigin="1872,277" coordsize="6725,4869">
            <v:shape style="position:absolute;left:1872;top:277;width:4662;height:4869" type="#_x0000_t75" stroked="false">
              <v:imagedata r:id="rId777" o:title=""/>
            </v:shape>
            <v:shape style="position:absolute;left:6493;top:277;width:2104;height:4839" type="#_x0000_t75" stroked="false">
              <v:imagedata r:id="rId778" o:title=""/>
            </v:shape>
            <w10:wrap type="topAndBottom"/>
          </v:group>
        </w:pict>
      </w:r>
    </w:p>
    <w:p>
      <w:pPr>
        <w:tabs>
          <w:tab w:pos="5810" w:val="left" w:leader="none"/>
        </w:tabs>
        <w:spacing w:before="210"/>
        <w:ind w:left="557" w:right="0" w:firstLine="0"/>
        <w:jc w:val="left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4: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P3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purification</w:t>
        <w:tab/>
        <w:t>Plate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5: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P3</w:t>
      </w:r>
    </w:p>
    <w:p>
      <w:pPr>
        <w:spacing w:after="0"/>
        <w:jc w:val="left"/>
        <w:rPr>
          <w:sz w:val="24"/>
        </w:rPr>
        <w:sectPr>
          <w:headerReference w:type="default" r:id="rId774"/>
          <w:footerReference w:type="default" r:id="rId775"/>
          <w:pgSz w:w="11910" w:h="16840"/>
          <w:pgMar w:header="1303" w:footer="2318" w:top="1560" w:bottom="2500" w:left="1560" w:right="6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</w:p>
    <w:p>
      <w:pPr>
        <w:pStyle w:val="Heading1"/>
        <w:spacing w:before="90"/>
        <w:ind w:left="0" w:right="833"/>
        <w:jc w:val="right"/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1188719</wp:posOffset>
            </wp:positionH>
            <wp:positionV relativeFrom="paragraph">
              <wp:posOffset>-2755351</wp:posOffset>
            </wp:positionV>
            <wp:extent cx="5139131" cy="2959354"/>
            <wp:effectExtent l="0" t="0" r="0" b="0"/>
            <wp:wrapNone/>
            <wp:docPr id="26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41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131" cy="2959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Plate</w:t>
      </w:r>
    </w:p>
    <w:p>
      <w:pPr>
        <w:pStyle w:val="BodyText"/>
        <w:spacing w:before="7"/>
        <w:rPr>
          <w:b/>
          <w:sz w:val="23"/>
        </w:rPr>
      </w:pPr>
    </w:p>
    <w:p>
      <w:pPr>
        <w:tabs>
          <w:tab w:pos="3059" w:val="left" w:leader="none"/>
          <w:tab w:pos="7381" w:val="left" w:leader="none"/>
        </w:tabs>
        <w:spacing w:before="0"/>
        <w:ind w:left="1033" w:right="0" w:firstLine="0"/>
        <w:jc w:val="left"/>
        <w:rPr>
          <w:b/>
          <w:sz w:val="24"/>
        </w:rPr>
      </w:pPr>
      <w:r>
        <w:rPr>
          <w:b/>
          <w:sz w:val="24"/>
        </w:rPr>
        <w:t>6: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P4</w:t>
        <w:tab/>
        <w:t>Plate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7: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P8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Purification</w:t>
        <w:tab/>
        <w:t>Plate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8:P8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8"/>
        </w:rPr>
      </w:pPr>
      <w:r>
        <w:rPr/>
        <w:pict>
          <v:group style="position:absolute;margin-left:93.599998pt;margin-top:18.543829pt;width:389.55pt;height:258.8500pt;mso-position-horizontal-relative:page;mso-position-vertical-relative:paragraph;z-index:-15683584;mso-wrap-distance-left:0;mso-wrap-distance-right:0" coordorigin="1872,371" coordsize="7791,5177">
            <v:shape style="position:absolute;left:1872;top:370;width:3811;height:5177" type="#_x0000_t75" stroked="false">
              <v:imagedata r:id="rId782" o:title=""/>
            </v:shape>
            <v:shape style="position:absolute;left:5672;top:396;width:1876;height:5136" type="#_x0000_t75" stroked="false">
              <v:imagedata r:id="rId783" o:title=""/>
            </v:shape>
            <v:shape style="position:absolute;left:7562;top:371;width:2100;height:5152" type="#_x0000_t75" stroked="false">
              <v:imagedata r:id="rId784" o:title=""/>
            </v:shape>
            <w10:wrap type="topAndBottom"/>
          </v:group>
        </w:pict>
      </w:r>
    </w:p>
    <w:p>
      <w:pPr>
        <w:pStyle w:val="Heading1"/>
        <w:tabs>
          <w:tab w:pos="2685" w:val="left" w:leader="none"/>
          <w:tab w:pos="4746" w:val="left" w:leader="none"/>
          <w:tab w:pos="6870" w:val="left" w:leader="none"/>
        </w:tabs>
        <w:spacing w:before="232"/>
      </w:pPr>
      <w:r>
        <w:rPr/>
        <w:t>Plate</w:t>
      </w:r>
      <w:r>
        <w:rPr>
          <w:spacing w:val="-2"/>
        </w:rPr>
        <w:t> </w:t>
      </w:r>
      <w:r>
        <w:rPr/>
        <w:t>9:</w:t>
      </w:r>
      <w:r>
        <w:rPr>
          <w:spacing w:val="1"/>
        </w:rPr>
        <w:t> </w:t>
      </w:r>
      <w:r>
        <w:rPr/>
        <w:t>P11</w:t>
        <w:tab/>
        <w:t>Plate</w:t>
      </w:r>
      <w:r>
        <w:rPr>
          <w:spacing w:val="-2"/>
        </w:rPr>
        <w:t> </w:t>
      </w:r>
      <w:r>
        <w:rPr/>
        <w:t>10:</w:t>
      </w:r>
      <w:r>
        <w:rPr>
          <w:spacing w:val="1"/>
        </w:rPr>
        <w:t> </w:t>
      </w:r>
      <w:r>
        <w:rPr/>
        <w:t>P12</w:t>
        <w:tab/>
        <w:t>Plate</w:t>
      </w:r>
      <w:r>
        <w:rPr>
          <w:spacing w:val="-1"/>
        </w:rPr>
        <w:t> </w:t>
      </w:r>
      <w:r>
        <w:rPr/>
        <w:t>11: P13</w:t>
        <w:tab/>
        <w:t>Plate12:</w:t>
      </w:r>
      <w:r>
        <w:rPr>
          <w:spacing w:val="-2"/>
        </w:rPr>
        <w:t> </w:t>
      </w:r>
      <w:r>
        <w:rPr/>
        <w:t>P15</w:t>
      </w:r>
    </w:p>
    <w:p>
      <w:pPr>
        <w:spacing w:after="0"/>
        <w:sectPr>
          <w:headerReference w:type="default" r:id="rId779"/>
          <w:footerReference w:type="default" r:id="rId780"/>
          <w:pgSz w:w="11910" w:h="16840"/>
          <w:pgMar w:header="0" w:footer="2238" w:top="1280" w:bottom="2420" w:left="1560" w:right="600"/>
        </w:sect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pict>
          <v:group style="width:391.1pt;height:254.4pt;mso-position-horizontal-relative:char;mso-position-vertical-relative:line" coordorigin="0,0" coordsize="7822,5088">
            <v:shape style="position:absolute;left:0;top:0;width:2079;height:5088" type="#_x0000_t75" stroked="false">
              <v:imagedata r:id="rId787" o:title=""/>
            </v:shape>
            <v:shape style="position:absolute;left:2070;top:13;width:5752;height:5048" type="#_x0000_t75" stroked="false">
              <v:imagedata r:id="rId788" o:title="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sz w:val="11"/>
        </w:rPr>
      </w:pPr>
    </w:p>
    <w:p>
      <w:pPr>
        <w:tabs>
          <w:tab w:pos="2618" w:val="left" w:leader="none"/>
          <w:tab w:pos="4742" w:val="left" w:leader="none"/>
          <w:tab w:pos="6985" w:val="left" w:leader="none"/>
        </w:tabs>
        <w:spacing w:before="90"/>
        <w:ind w:left="312" w:right="0" w:firstLine="0"/>
        <w:jc w:val="left"/>
        <w:rPr>
          <w:b/>
          <w:sz w:val="24"/>
        </w:rPr>
      </w:pPr>
      <w:r>
        <w:rPr>
          <w:b/>
          <w:sz w:val="24"/>
        </w:rPr>
        <w:t>Plate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13: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P16</w:t>
        <w:tab/>
        <w:t>Plate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14: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P17</w:t>
        <w:tab/>
        <w:t>Plate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15: P19</w:t>
        <w:tab/>
        <w:t>Plate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16: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22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1188719</wp:posOffset>
            </wp:positionH>
            <wp:positionV relativeFrom="paragraph">
              <wp:posOffset>235441</wp:posOffset>
            </wp:positionV>
            <wp:extent cx="3642106" cy="3152965"/>
            <wp:effectExtent l="0" t="0" r="0" b="0"/>
            <wp:wrapTopAndBottom/>
            <wp:docPr id="26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47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106" cy="3152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sz w:val="20"/>
        </w:rPr>
      </w:pPr>
    </w:p>
    <w:p>
      <w:pPr>
        <w:pStyle w:val="Heading1"/>
        <w:tabs>
          <w:tab w:pos="2498" w:val="left" w:leader="none"/>
          <w:tab w:pos="4502" w:val="left" w:leader="none"/>
        </w:tabs>
        <w:spacing w:before="0"/>
      </w:pPr>
      <w:r>
        <w:rPr/>
        <w:t>Plate</w:t>
      </w:r>
      <w:r>
        <w:rPr>
          <w:spacing w:val="-2"/>
        </w:rPr>
        <w:t> </w:t>
      </w:r>
      <w:r>
        <w:rPr/>
        <w:t>17:</w:t>
      </w:r>
      <w:r>
        <w:rPr>
          <w:spacing w:val="1"/>
        </w:rPr>
        <w:t> </w:t>
      </w:r>
      <w:r>
        <w:rPr/>
        <w:t>P23</w:t>
        <w:tab/>
        <w:t>Plate</w:t>
      </w:r>
      <w:r>
        <w:rPr>
          <w:spacing w:val="-2"/>
        </w:rPr>
        <w:t> </w:t>
      </w:r>
      <w:r>
        <w:rPr/>
        <w:t>18:</w:t>
      </w:r>
      <w:r>
        <w:rPr>
          <w:spacing w:val="1"/>
        </w:rPr>
        <w:t> </w:t>
      </w:r>
      <w:r>
        <w:rPr/>
        <w:t>P24</w:t>
        <w:tab/>
        <w:t>Plate</w:t>
      </w:r>
      <w:r>
        <w:rPr>
          <w:spacing w:val="-2"/>
        </w:rPr>
        <w:t> </w:t>
      </w:r>
      <w:r>
        <w:rPr/>
        <w:t>19: P25</w:t>
      </w:r>
    </w:p>
    <w:p>
      <w:pPr>
        <w:spacing w:after="0"/>
        <w:sectPr>
          <w:headerReference w:type="default" r:id="rId785"/>
          <w:footerReference w:type="default" r:id="rId786"/>
          <w:pgSz w:w="11910" w:h="16840"/>
          <w:pgMar w:header="0" w:footer="2318" w:top="1280" w:bottom="250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790"/>
          <w:footerReference w:type="default" r:id="rId791"/>
          <w:pgSz w:w="11910" w:h="16840"/>
          <w:pgMar w:header="0" w:footer="2238" w:top="1580" w:bottom="242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792"/>
          <w:footerReference w:type="default" r:id="rId793"/>
          <w:pgSz w:w="11910" w:h="16840"/>
          <w:pgMar w:header="0" w:footer="2238" w:top="1580" w:bottom="2420" w:left="1560" w:right="600"/>
          <w:pgNumType w:start="135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794"/>
          <w:footerReference w:type="default" r:id="rId795"/>
          <w:pgSz w:w="11910" w:h="16840"/>
          <w:pgMar w:header="0" w:footer="2238" w:top="1580" w:bottom="242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796"/>
          <w:footerReference w:type="default" r:id="rId797"/>
          <w:pgSz w:w="11910" w:h="16840"/>
          <w:pgMar w:header="0" w:footer="2238" w:top="1580" w:bottom="242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798"/>
          <w:footerReference w:type="default" r:id="rId799"/>
          <w:pgSz w:w="11910" w:h="16840"/>
          <w:pgMar w:header="0" w:footer="2238" w:top="1580" w:bottom="242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headerReference w:type="default" r:id="rId800"/>
          <w:footerReference w:type="default" r:id="rId801"/>
          <w:pgSz w:w="11910" w:h="16840"/>
          <w:pgMar w:header="0" w:footer="2238" w:top="1580" w:bottom="2420" w:left="1560" w:right="600"/>
        </w:sectPr>
      </w:pPr>
    </w:p>
    <w:p>
      <w:pPr>
        <w:pStyle w:val="BodyText"/>
        <w:spacing w:before="4"/>
        <w:rPr>
          <w:b/>
          <w:sz w:val="17"/>
        </w:rPr>
      </w:pPr>
    </w:p>
    <w:sectPr>
      <w:headerReference w:type="default" r:id="rId802"/>
      <w:footerReference w:type="default" r:id="rId803"/>
      <w:pgSz w:w="11910" w:h="16840"/>
      <w:pgMar w:header="0" w:footer="2238" w:top="1580" w:bottom="2420" w:left="1560" w:right="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mbria Math">
    <w:altName w:val="Cambria Math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720001pt;margin-top:706.619995pt;width:11.3pt;height:13.05pt;mso-position-horizontal-relative:page;mso-position-vertical-relative:page;z-index:-222238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 style="position:absolute;margin-left:304.880005pt;margin-top:715.26001pt;width:14.4pt;height:13.05pt;mso-position-horizontal-relative:page;mso-position-vertical-relative:page;z-index:-2221465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xvi</w:t>
                </w:r>
              </w:p>
            </w:txbxContent>
          </v:textbox>
          <w10:wrap type="none"/>
        </v:shape>
      </w:pict>
    </w: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70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65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60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55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49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44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39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34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29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24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4.4pt;height:13.05pt;mso-position-horizontal-relative:page;mso-position-vertical-relative:page;z-index:-222141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xvi</w:t>
                </w:r>
              </w:p>
            </w:txbxContent>
          </v:textbox>
          <w10:wrap type="none"/>
        </v:shape>
      </w:pict>
    </w: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19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14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08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03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598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593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588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583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578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573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4.4pt;height:13.05pt;mso-position-horizontal-relative:page;mso-position-vertical-relative:page;z-index:-2221363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xvi</w:t>
                </w:r>
              </w:p>
            </w:txbxContent>
          </v:textbox>
          <w10:wrap type="none"/>
        </v:shape>
      </w:pict>
    </w: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68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62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57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52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47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42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37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32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27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16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8.25pt;height:13.05pt;mso-position-horizontal-relative:page;mso-position-vertical-relative:page;z-index:-222131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xix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506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96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91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86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80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75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70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65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60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55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5.6pt;height:13.05pt;mso-position-horizontal-relative:page;mso-position-vertical-relative:page;z-index:-222126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xx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50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45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40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34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29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24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19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14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09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404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8.2pt;height:13.05pt;mso-position-horizontal-relative:page;mso-position-vertical-relative:page;z-index:-222120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xxi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99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93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88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83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78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73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368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63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58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52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6.8pt;height:13.05pt;mso-position-horizontal-relative:page;mso-position-vertical-relative:page;z-index:-2221158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xxii</w:t>
                </w:r>
              </w:p>
            </w:txbxContent>
          </v:textbox>
          <w10:wrap type="none"/>
        </v:shape>
      </w:pict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47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42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37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32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27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22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17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12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06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301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6.8pt;height:13.05pt;mso-position-horizontal-relative:page;mso-position-vertical-relative:page;z-index:-2221107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xxii</w:t>
                </w:r>
              </w:p>
            </w:txbxContent>
          </v:textbox>
          <w10:wrap type="none"/>
        </v:shape>
      </w:pict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291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281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271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260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06.380005pt;width:22.6pt;height:13.05pt;mso-position-horizontal-relative:page;mso-position-vertical-relative:page;z-index:-221255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5"/>
      </w:rPr>
    </w:pPr>
    <w:r>
      <w:rPr/>
      <w:pict>
        <v:shape style="position:absolute;margin-left:302.959991pt;margin-top:715.019958pt;width:18.6pt;height:13.05pt;mso-position-horizontal-relative:page;mso-position-vertical-relative:page;z-index:-221245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155</w:t>
                </w:r>
              </w:p>
            </w:txbxContent>
          </v:textbox>
          <w10:wrap type="none"/>
        </v:shape>
      </w:pict>
    </w: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235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224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214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204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4.2pt;height:13.05pt;mso-position-horizontal-relative:page;mso-position-vertical-relative:page;z-index:-2221056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xxi</w:t>
                </w:r>
              </w:p>
            </w:txbxContent>
          </v:textbox>
          <w10:wrap type="none"/>
        </v:shape>
      </w:pict>
    </w: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94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84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73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63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53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43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32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22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12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102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6.650pt;height:13.05pt;mso-position-horizontal-relative:page;mso-position-vertical-relative:page;z-index:-2221004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xxv</w:t>
                </w:r>
              </w:p>
            </w:txbxContent>
          </v:textbox>
          <w10:wrap type="none"/>
        </v:shape>
      </w:pict>
    </w: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91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81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71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61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50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5pt;height:13.05pt;mso-position-horizontal-relative:page;mso-position-vertical-relative:page;z-index:-221040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30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20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1009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99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5.279999pt;margin-top:706.619995pt;width:13.95pt;height:13.05pt;mso-position-horizontal-relative:page;mso-position-vertical-relative:page;z-index:-222228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4.880005pt;margin-top:715.26001pt;width:16.650pt;height:13.05pt;mso-position-horizontal-relative:page;mso-position-vertical-relative:page;z-index:-2220953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xxv</w:t>
                </w:r>
              </w:p>
            </w:txbxContent>
          </v:textbox>
          <w10:wrap type="none"/>
        </v:shape>
      </w:pict>
    </w: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89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79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68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58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48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38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28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17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907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97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303.600006pt;margin-top:787.039978pt;width:17.05pt;height:13.05pt;mso-position-horizontal-relative:page;mso-position-vertical-relative:page;z-index:-222090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87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76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66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56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46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35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25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15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805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94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85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84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74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64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53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43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33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23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12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702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92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80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82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72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61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51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41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31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20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10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600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90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74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79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69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59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49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38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28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18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508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97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87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69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77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67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56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46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36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26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16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405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95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85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64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75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64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54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300.959991pt;margin-top:715.019958pt;width:22.6pt;height:13.05pt;mso-position-horizontal-relative:page;mso-position-vertical-relative:page;z-index:-220349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44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39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34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28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23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18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59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13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959991pt;margin-top:715.019958pt;width:22.6pt;height:13.05pt;mso-position-horizontal-relative:page;mso-position-vertical-relative:page;z-index:-220308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54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480011pt;margin-top:787.039978pt;width:11.6pt;height:13.05pt;mso-position-horizontal-relative:page;mso-position-vertical-relative:page;z-index:-222049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5.519989pt;margin-top:706.619995pt;width:13.75pt;height:13.05pt;mso-position-horizontal-relative:page;mso-position-vertical-relative:page;z-index:-222218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iv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44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39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33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28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23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18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13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08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2003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98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6.720001pt;margin-top:706.619995pt;width:11pt;height:13.05pt;mso-position-horizontal-relative:page;mso-position-vertical-relative:page;z-index:-222213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100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92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87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82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77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72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67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62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57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52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46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3.65pt;height:13.05pt;mso-position-horizontal-relative:page;mso-position-vertical-relative:page;z-index:-222202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41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36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31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26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21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16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11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05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900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95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6.2pt;height:13.05pt;mso-position-horizontal-relative:page;mso-position-vertical-relative:page;z-index:-222192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90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85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803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75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70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64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598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54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49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44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8.4pt;height:13.05pt;mso-position-horizontal-relative:page;mso-position-vertical-relative:page;z-index:-222161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39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34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29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24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18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13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08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803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984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932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8.45pt;height:13.05pt;mso-position-horizontal-relative:page;mso-position-vertical-relative:page;z-index:-222156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xiv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881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830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779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72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67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62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57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47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369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267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880005pt;margin-top:715.019958pt;width:15.85pt;height:13.05pt;mso-position-horizontal-relative:page;mso-position-vertical-relative:page;z-index:-2221516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xv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720001pt;margin-top:787.039978pt;width:22.6pt;height:13.05pt;mso-position-horizontal-relative:page;mso-position-vertical-relative:page;z-index:-2217216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16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11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06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701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96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908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857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806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.600006pt;margin-top:787.039978pt;width:17.05pt;height:13.05pt;mso-position-horizontal-relative:page;mso-position-vertical-relative:page;z-index:-2216755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20.970001pt;margin-top:71.366631pt;width:381.95pt;height:30.9pt;mso-position-horizontal-relative:page;mso-position-vertical-relative:page;z-index:-22224896" type="#_x0000_t202" filled="false" stroked="false">
          <v:textbox inset="0,0,0,0">
            <w:txbxContent>
              <w:p>
                <w:pPr>
                  <w:spacing w:line="271" w:lineRule="auto" w:before="5"/>
                  <w:ind w:left="20" w:right="12" w:firstLine="451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DESIGN, SYNTHESIS, ANTIMALARIAL EVALUATION AND</w:t>
                </w:r>
                <w:r>
                  <w:rPr>
                    <w:b/>
                    <w:spacing w:val="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COMPUTATIONAL</w:t>
                </w:r>
                <w:r>
                  <w:rPr>
                    <w:b/>
                    <w:spacing w:val="-5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STUDIES</w:t>
                </w:r>
                <w:r>
                  <w:rPr>
                    <w:b/>
                    <w:spacing w:val="-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SOME</w:t>
                </w:r>
                <w:r>
                  <w:rPr>
                    <w:b/>
                    <w:spacing w:val="-5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CHALCONE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DERIVATIVES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92.648003pt;margin-top:64.166626pt;width:439.1pt;height:29pt;mso-position-horizontal-relative:page;mso-position-vertical-relative:page;z-index:-22152192" type="#_x0000_t202" filled="false" stroked="false">
          <v:textbox inset="0,0,0,0">
            <w:txbxContent>
              <w:p>
                <w:pPr>
                  <w:spacing w:line="237" w:lineRule="auto" w:before="12"/>
                  <w:ind w:left="20" w:right="18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4.7.3</w:t>
                </w:r>
                <w:r>
                  <w:rPr>
                    <w:b/>
                    <w:spacing w:val="18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Binding</w:t>
                </w:r>
                <w:r>
                  <w:rPr>
                    <w:b/>
                    <w:spacing w:val="2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free</w:t>
                </w:r>
                <w:r>
                  <w:rPr>
                    <w:b/>
                    <w:spacing w:val="2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energy</w:t>
                </w:r>
                <w:r>
                  <w:rPr>
                    <w:b/>
                    <w:spacing w:val="2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(BFE)</w:t>
                </w:r>
                <w:r>
                  <w:rPr>
                    <w:b/>
                    <w:spacing w:val="2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analysis</w:t>
                </w:r>
                <w:r>
                  <w:rPr>
                    <w:b/>
                    <w:spacing w:val="27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2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P3</w:t>
                </w:r>
                <w:r>
                  <w:rPr>
                    <w:b/>
                    <w:spacing w:val="27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and</w:t>
                </w:r>
                <w:r>
                  <w:rPr>
                    <w:b/>
                    <w:spacing w:val="2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P4</w:t>
                </w:r>
                <w:r>
                  <w:rPr>
                    <w:b/>
                    <w:spacing w:val="23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in</w:t>
                </w:r>
                <w:r>
                  <w:rPr>
                    <w:b/>
                    <w:spacing w:val="20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complex</w:t>
                </w:r>
                <w:r>
                  <w:rPr>
                    <w:b/>
                    <w:spacing w:val="18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with</w:t>
                </w:r>
                <w:r>
                  <w:rPr>
                    <w:b/>
                    <w:spacing w:val="2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FP-2,</w:t>
                </w:r>
                <w:r>
                  <w:rPr>
                    <w:b/>
                    <w:spacing w:val="25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FP-3,</w:t>
                </w:r>
                <w:r>
                  <w:rPr>
                    <w:b/>
                    <w:spacing w:val="-57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Plm-II</w:t>
                </w:r>
                <w:r>
                  <w:rPr>
                    <w:b/>
                    <w:spacing w:val="-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and</w:t>
                </w:r>
                <w:r>
                  <w:rPr>
                    <w:b/>
                    <w:spacing w:val="2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Plm-IV</w:t>
                </w:r>
              </w:p>
            </w:txbxContent>
          </v:textbox>
          <w10:wrap type="none"/>
        </v:shape>
      </w:pic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92.648003pt;margin-top:64.166626pt;width:421.1pt;height:29pt;mso-position-horizontal-relative:page;mso-position-vertical-relative:page;z-index:-22151168" type="#_x0000_t202" filled="false" stroked="false">
          <v:textbox inset="0,0,0,0">
            <w:txbxContent>
              <w:p>
                <w:pPr>
                  <w:spacing w:line="237" w:lineRule="auto" w:before="12"/>
                  <w:ind w:left="20" w:right="18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Table 4.14: Binding free energy analysis of P3 and P4 in complex with FP-2, FP-3,</w:t>
                </w:r>
                <w:r>
                  <w:rPr>
                    <w:b/>
                    <w:spacing w:val="-57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Plm-II</w:t>
                </w:r>
                <w:r>
                  <w:rPr>
                    <w:b/>
                    <w:spacing w:val="-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and</w:t>
                </w:r>
                <w:r>
                  <w:rPr>
                    <w:b/>
                    <w:spacing w:val="2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Plm-IV</w:t>
                </w:r>
              </w:p>
            </w:txbxContent>
          </v:textbox>
          <w10:wrap type="none"/>
        </v:shape>
      </w:pic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6pt;margin-top:64.166626pt;width:92.1pt;height:15.3pt;mso-position-horizontal-relative:page;mso-position-vertical-relative:page;z-index:-22150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CHAPTER</w:t>
                </w:r>
                <w:r>
                  <w:rPr>
                    <w:b/>
                    <w:spacing w:val="-7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FIVE</w:t>
                </w:r>
              </w:p>
            </w:txbxContent>
          </v:textbox>
          <w10:wrap type="none"/>
        </v:shape>
      </w:pict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2.959991pt;margin-top:64.166626pt;width:78.5pt;height:15.3pt;mso-position-horizontal-relative:page;mso-position-vertical-relative:page;z-index:-221296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APPENDICES</w:t>
                </w:r>
              </w:p>
            </w:txbxContent>
          </v:textbox>
          <w10:wrap type="none"/>
        </v:shape>
      </w:pict>
    </w: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1.1pt;height:15.3pt;mso-position-horizontal-relative:page;mso-position-vertical-relative:page;z-index:-221286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2</w:t>
                </w:r>
              </w:p>
            </w:txbxContent>
          </v:textbox>
          <w10:wrap type="none"/>
        </v:shape>
      </w:pict>
    </w: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3.1pt;height:15.3pt;mso-position-horizontal-relative:page;mso-position-vertical-relative:page;z-index:-22127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3.1pt;height:15.3pt;mso-position-horizontal-relative:page;mso-position-vertical-relative:page;z-index:-22126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3.1pt;height:15.3pt;mso-position-horizontal-relative:page;mso-position-vertical-relative:page;z-index:-221250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3.1pt;height:15.3pt;mso-position-horizontal-relative:page;mso-position-vertical-relative:page;z-index:-221240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3.1pt;height:15.3pt;mso-position-horizontal-relative:page;mso-position-vertical-relative:page;z-index:-221230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600006pt;margin-top:64.166626pt;width:63.1pt;height:15.3pt;mso-position-horizontal-relative:page;mso-position-vertical-relative:page;z-index:-221219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209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99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89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78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68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58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48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37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27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17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107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96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86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76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66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56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45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35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25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15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20.970001pt;margin-top:64.166626pt;width:382.1pt;height:29pt;mso-position-horizontal-relative:page;mso-position-vertical-relative:page;z-index:-22224384" type="#_x0000_t202" filled="false" stroked="false">
          <v:textbox inset="0,0,0,0">
            <w:txbxContent>
              <w:p>
                <w:pPr>
                  <w:spacing w:line="237" w:lineRule="auto" w:before="12"/>
                  <w:ind w:left="20" w:right="12" w:firstLine="451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DESIGN, SYNTHESIS,</w:t>
                </w:r>
                <w:r>
                  <w:rPr>
                    <w:b/>
                    <w:spacing w:val="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ANTIMALARIAL</w:t>
                </w:r>
                <w:r>
                  <w:rPr>
                    <w:b/>
                    <w:spacing w:val="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EVALUATION AND</w:t>
                </w:r>
                <w:r>
                  <w:rPr>
                    <w:b/>
                    <w:spacing w:val="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COMPUTATIONAL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STUDIES</w:t>
                </w:r>
                <w:r>
                  <w:rPr>
                    <w:b/>
                    <w:spacing w:val="-1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SOME</w:t>
                </w:r>
                <w:r>
                  <w:rPr>
                    <w:b/>
                    <w:spacing w:val="-5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CHALCONE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DERIVATIVES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1004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94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84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74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6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53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4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3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22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12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902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92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81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71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6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51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40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30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20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10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800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89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79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69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59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48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38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28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18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707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97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87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77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66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56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46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3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2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15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605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95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84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7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64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54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44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33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23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13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503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92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82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72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6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51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41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31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21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10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400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390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380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369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20001pt;margin-top:64.166626pt;width:69.1pt;height:15.3pt;mso-position-horizontal-relative:page;mso-position-vertical-relative:page;z-index:-220359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Appendix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b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6.239990pt;margin-top:64.166626pt;width:91.75pt;height:15.3pt;mso-position-horizontal-relative:page;mso-position-vertical-relative:page;z-index:-222233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DECLARATION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2.140015pt;margin-top:64.166626pt;width:99.7pt;height:15.3pt;mso-position-horizontal-relative:page;mso-position-vertical-relative:page;z-index:-22222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CERTIFICATION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3.899994pt;margin-top:64.166626pt;width:136.75pt;height:15.3pt;mso-position-horizontal-relative:page;mso-position-vertical-relative:page;z-index:-222208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ACKNOWLEDGEMENT</w:t>
                </w:r>
              </w:p>
            </w:txbxContent>
          </v:textbox>
          <w10:wrap type="non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6.539993pt;margin-top:64.166626pt;width:131.0500pt;height:15.3pt;mso-position-horizontal-relative:page;mso-position-vertical-relative:page;z-index:-222197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TABLE</w:t>
                </w:r>
                <w:r>
                  <w:rPr>
                    <w:b/>
                    <w:spacing w:val="-5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-4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CONTENTS</w:t>
                </w:r>
              </w:p>
            </w:txbxContent>
          </v:textbox>
          <w10:wrap type="non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92.648003pt;margin-top:62.282364pt;width:261.1pt;height:17.2pt;mso-position-horizontal-relative:page;mso-position-vertical-relative:page;z-index:-22175232" type="#_x0000_t202" filled="false" stroked="false">
          <v:textbox inset="0,0,0,0">
            <w:txbxContent>
              <w:p>
                <w:pPr>
                  <w:spacing w:before="47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Table</w:t>
                </w:r>
                <w:r>
                  <w:rPr>
                    <w:b/>
                    <w:spacing w:val="-2"/>
                    <w:sz w:val="24"/>
                  </w:rPr>
                  <w:t> </w:t>
                </w:r>
                <w:r>
                  <w:rPr>
                    <w:b/>
                    <w:sz w:val="24"/>
                  </w:rPr>
                  <w:t>4.6:</w:t>
                </w:r>
                <w:r>
                  <w:rPr>
                    <w:b/>
                    <w:spacing w:val="2"/>
                    <w:sz w:val="24"/>
                  </w:rPr>
                  <w:t> </w:t>
                </w:r>
                <w:r>
                  <w:rPr>
                    <w:b/>
                    <w:sz w:val="24"/>
                    <w:vertAlign w:val="superscript"/>
                  </w:rPr>
                  <w:t>1</w:t>
                </w:r>
                <w:r>
                  <w:rPr>
                    <w:b/>
                    <w:sz w:val="24"/>
                    <w:vertAlign w:val="baseline"/>
                  </w:rPr>
                  <w:t>Hand</w:t>
                </w:r>
                <w:r>
                  <w:rPr>
                    <w:b/>
                    <w:spacing w:val="-4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superscript"/>
                  </w:rPr>
                  <w:t>13</w:t>
                </w:r>
                <w:r>
                  <w:rPr>
                    <w:b/>
                    <w:sz w:val="24"/>
                    <w:vertAlign w:val="baseline"/>
                  </w:rPr>
                  <w:t>C</w:t>
                </w:r>
                <w:r>
                  <w:rPr>
                    <w:b/>
                    <w:spacing w:val="-2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NMR</w:t>
                </w:r>
                <w:r>
                  <w:rPr>
                    <w:b/>
                    <w:spacing w:val="-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Data</w:t>
                </w:r>
                <w:r>
                  <w:rPr>
                    <w:b/>
                    <w:spacing w:val="-5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of</w:t>
                </w:r>
                <w:r>
                  <w:rPr>
                    <w:b/>
                    <w:spacing w:val="-3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P1,</w:t>
                </w:r>
                <w:r>
                  <w:rPr>
                    <w:b/>
                    <w:spacing w:val="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P2 and</w:t>
                </w:r>
                <w:r>
                  <w:rPr>
                    <w:b/>
                    <w:spacing w:val="-4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P13</w:t>
                </w:r>
              </w:p>
            </w:txbxContent>
          </v:textbox>
          <w10:wrap type="none"/>
        </v:shape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92.648003pt;margin-top:62.282364pt;width:235.9pt;height:17.2pt;mso-position-horizontal-relative:page;mso-position-vertical-relative:page;z-index:-22174208" type="#_x0000_t202" filled="false" stroked="false">
          <v:textbox inset="0,0,0,0">
            <w:txbxContent>
              <w:p>
                <w:pPr>
                  <w:spacing w:before="47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+4.3.3</w:t>
                </w:r>
                <w:r>
                  <w:rPr>
                    <w:b/>
                    <w:spacing w:val="-1"/>
                    <w:sz w:val="24"/>
                  </w:rPr>
                  <w:t> </w:t>
                </w:r>
                <w:r>
                  <w:rPr>
                    <w:b/>
                    <w:sz w:val="24"/>
                    <w:vertAlign w:val="superscript"/>
                  </w:rPr>
                  <w:t>1</w:t>
                </w:r>
                <w:r>
                  <w:rPr>
                    <w:b/>
                    <w:sz w:val="24"/>
                    <w:vertAlign w:val="baseline"/>
                  </w:rPr>
                  <w:t>H</w:t>
                </w:r>
                <w:r>
                  <w:rPr>
                    <w:b/>
                    <w:spacing w:val="-5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and</w:t>
                </w:r>
                <w:r>
                  <w:rPr>
                    <w:b/>
                    <w:spacing w:val="-3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superscript"/>
                  </w:rPr>
                  <w:t>13</w:t>
                </w:r>
                <w:r>
                  <w:rPr>
                    <w:b/>
                    <w:sz w:val="24"/>
                    <w:vertAlign w:val="baseline"/>
                  </w:rPr>
                  <w:t>C</w:t>
                </w:r>
                <w:r>
                  <w:rPr>
                    <w:b/>
                    <w:spacing w:val="-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NMR</w:t>
                </w:r>
                <w:r>
                  <w:rPr>
                    <w:b/>
                    <w:spacing w:val="-2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data of</w:t>
                </w:r>
                <w:r>
                  <w:rPr>
                    <w:b/>
                    <w:spacing w:val="-3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P3,</w:t>
                </w:r>
                <w:r>
                  <w:rPr>
                    <w:b/>
                    <w:spacing w:val="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P4 and P8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92.648003pt;margin-top:62.282364pt;width:258pt;height:17.2pt;mso-position-horizontal-relative:page;mso-position-vertical-relative:page;z-index:-22173184" type="#_x0000_t202" filled="false" stroked="false">
          <v:textbox inset="0,0,0,0">
            <w:txbxContent>
              <w:p>
                <w:pPr>
                  <w:spacing w:before="47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Table 4.7:</w:t>
                </w:r>
                <w:r>
                  <w:rPr>
                    <w:b/>
                    <w:spacing w:val="3"/>
                    <w:sz w:val="24"/>
                  </w:rPr>
                  <w:t> </w:t>
                </w:r>
                <w:r>
                  <w:rPr>
                    <w:b/>
                    <w:sz w:val="24"/>
                    <w:vertAlign w:val="superscript"/>
                  </w:rPr>
                  <w:t>1</w:t>
                </w:r>
                <w:r>
                  <w:rPr>
                    <w:b/>
                    <w:sz w:val="24"/>
                    <w:vertAlign w:val="baseline"/>
                  </w:rPr>
                  <w:t>H</w:t>
                </w:r>
                <w:r>
                  <w:rPr>
                    <w:b/>
                    <w:spacing w:val="-4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and</w:t>
                </w:r>
                <w:r>
                  <w:rPr>
                    <w:b/>
                    <w:spacing w:val="-2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superscript"/>
                  </w:rPr>
                  <w:t>13</w:t>
                </w:r>
                <w:r>
                  <w:rPr>
                    <w:b/>
                    <w:sz w:val="24"/>
                    <w:vertAlign w:val="baseline"/>
                  </w:rPr>
                  <w:t>C</w:t>
                </w:r>
                <w:r>
                  <w:rPr>
                    <w:b/>
                    <w:spacing w:val="-5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NMR</w:t>
                </w:r>
                <w:r>
                  <w:rPr>
                    <w:b/>
                    <w:spacing w:val="-5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Data</w:t>
                </w:r>
                <w:r>
                  <w:rPr>
                    <w:b/>
                    <w:spacing w:val="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of</w:t>
                </w:r>
                <w:r>
                  <w:rPr>
                    <w:b/>
                    <w:spacing w:val="-2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P3,</w:t>
                </w:r>
                <w:r>
                  <w:rPr>
                    <w:b/>
                    <w:spacing w:val="-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P4</w:t>
                </w:r>
                <w:r>
                  <w:rPr>
                    <w:b/>
                    <w:spacing w:val="1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and</w:t>
                </w:r>
                <w:r>
                  <w:rPr>
                    <w:b/>
                    <w:spacing w:val="-8"/>
                    <w:sz w:val="24"/>
                    <w:vertAlign w:val="baseline"/>
                  </w:rPr>
                  <w:t> </w:t>
                </w:r>
                <w:r>
                  <w:rPr>
                    <w:b/>
                    <w:sz w:val="24"/>
                    <w:vertAlign w:val="baseline"/>
                  </w:rPr>
                  <w:t>P8</w:t>
                </w:r>
              </w:p>
            </w:txbxContent>
          </v:textbox>
          <w10:wrap type="none"/>
        </v:shape>
      </w:pic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1"/>
      <w:numFmt w:val="decimal"/>
      <w:lvlText w:val="%1."/>
      <w:lvlJc w:val="left"/>
      <w:pPr>
        <w:ind w:left="312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05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48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91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4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7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2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3" w:hanging="721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6"/>
      <w:numFmt w:val="decimal"/>
      <w:lvlText w:val="%1"/>
      <w:lvlJc w:val="left"/>
      <w:pPr>
        <w:ind w:left="1815" w:hanging="365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815" w:hanging="365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05" w:hanging="3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98" w:hanging="3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91" w:hanging="3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4" w:hanging="3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7" w:hanging="3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70" w:hanging="3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63" w:hanging="365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5"/>
      <w:numFmt w:val="decimal"/>
      <w:lvlText w:val="%1"/>
      <w:lvlJc w:val="left"/>
      <w:pPr>
        <w:ind w:left="1033" w:hanging="72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33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33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52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23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4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65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07" w:hanging="721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5"/>
      <w:numFmt w:val="decimal"/>
      <w:lvlText w:val="%1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5" w:hanging="54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6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5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4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3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82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71" w:hanging="543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5"/>
      <w:numFmt w:val="decimal"/>
      <w:lvlText w:val="%1"/>
      <w:lvlJc w:val="left"/>
      <w:pPr>
        <w:ind w:left="3804" w:hanging="366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3804" w:hanging="366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989" w:hanging="3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584" w:hanging="3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79" w:hanging="3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74" w:hanging="3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69" w:hanging="3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3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59" w:hanging="366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5"/>
      <w:numFmt w:val="decimal"/>
      <w:lvlText w:val="%1"/>
      <w:lvlJc w:val="left"/>
      <w:pPr>
        <w:ind w:left="312" w:hanging="55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312" w:hanging="553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312" w:hanging="55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48" w:hanging="55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91" w:hanging="55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4" w:hanging="55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77" w:hanging="55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20" w:hanging="55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3" w:hanging="553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5"/>
      <w:numFmt w:val="decimal"/>
      <w:lvlText w:val="%1"/>
      <w:lvlJc w:val="left"/>
      <w:pPr>
        <w:ind w:left="312" w:hanging="60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312" w:hanging="60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312" w:hanging="60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48" w:hanging="6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91" w:hanging="6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4" w:hanging="6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77" w:hanging="6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20" w:hanging="6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3" w:hanging="605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5"/>
      <w:numFmt w:val="decimal"/>
      <w:lvlText w:val="%1"/>
      <w:lvlJc w:val="left"/>
      <w:pPr>
        <w:ind w:left="4068" w:hanging="366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4068" w:hanging="366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97" w:hanging="3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66" w:hanging="3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35" w:hanging="3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04" w:hanging="3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73" w:hanging="3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42" w:hanging="3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11" w:hanging="366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4"/>
      <w:numFmt w:val="decimal"/>
      <w:lvlText w:val="%1"/>
      <w:lvlJc w:val="left"/>
      <w:pPr>
        <w:ind w:left="312" w:hanging="557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312" w:hanging="557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312" w:hanging="557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48" w:hanging="55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91" w:hanging="55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4" w:hanging="55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77" w:hanging="55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20" w:hanging="55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3" w:hanging="557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"/>
      <w:lvlJc w:val="left"/>
      <w:pPr>
        <w:ind w:left="1742" w:hanging="36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742" w:hanging="365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5" w:hanging="54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9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09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99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89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79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69" w:hanging="543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4"/>
      <w:numFmt w:val="decimal"/>
      <w:lvlText w:val="%1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855" w:hanging="54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6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5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4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3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82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71" w:hanging="543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4"/>
      <w:numFmt w:val="decimal"/>
      <w:lvlText w:val="%1"/>
      <w:lvlJc w:val="left"/>
      <w:pPr>
        <w:ind w:left="854" w:hanging="54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854" w:hanging="54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4" w:hanging="54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6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5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4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3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82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71" w:hanging="542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4"/>
      <w:numFmt w:val="decimal"/>
      <w:lvlText w:val="%1"/>
      <w:lvlJc w:val="left"/>
      <w:pPr>
        <w:ind w:left="4384" w:hanging="36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4384" w:hanging="3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5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9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27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6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0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3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5" w:hanging="36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3"/>
      <w:numFmt w:val="decimal"/>
      <w:lvlText w:val="%1"/>
      <w:lvlJc w:val="left"/>
      <w:pPr>
        <w:ind w:left="3381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381" w:hanging="72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33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3" w:hanging="721"/>
        <w:jc w:val="left"/>
      </w:pPr>
      <w:rPr>
        <w:rFonts w:hint="default" w:ascii="Times New Roman" w:hAnsi="Times New Roman" w:eastAsia="Times New Roman" w:cs="Times New Roman"/>
        <w:i/>
        <w:iCs/>
        <w:spacing w:val="-5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7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8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4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6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72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557" w:hanging="24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78" w:hanging="2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97" w:hanging="2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16" w:hanging="2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5" w:hanging="2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54" w:hanging="2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73" w:hanging="2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2" w:hanging="2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11" w:hanging="245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5" w:hanging="54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3" w:hanging="721"/>
        <w:jc w:val="left"/>
      </w:pPr>
      <w:rPr>
        <w:rFonts w:hint="default" w:ascii="Times New Roman" w:hAnsi="Times New Roman" w:eastAsia="Times New Roman" w:cs="Times New Roman"/>
        <w:i/>
        <w:iCs/>
        <w:spacing w:val="-5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4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1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45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13" w:hanging="721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3525" w:hanging="36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3525" w:hanging="365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65" w:hanging="3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88" w:hanging="3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011" w:hanging="3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34" w:hanging="3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57" w:hanging="3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80" w:hanging="3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03" w:hanging="365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2"/>
      <w:numFmt w:val="decimal"/>
      <w:lvlText w:val="%1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5" w:hanging="54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6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5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4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3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82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71" w:hanging="543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855" w:hanging="543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5" w:hanging="54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6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5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4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93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82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71" w:hanging="543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decimal"/>
      <w:lvlText w:val="%1"/>
      <w:lvlJc w:val="left"/>
      <w:pPr>
        <w:ind w:left="1033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33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33" w:hanging="72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52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23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94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65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36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07" w:hanging="721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3722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722" w:hanging="72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92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52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31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734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3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4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43" w:hanging="72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"/>
      <w:lvlJc w:val="left"/>
      <w:pPr>
        <w:ind w:left="3904" w:hanging="361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904" w:hanging="361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069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65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3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2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09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9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79" w:hanging="36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6"/>
      <w:numFmt w:val="decimal"/>
      <w:lvlText w:val="%1"/>
      <w:lvlJc w:val="left"/>
      <w:pPr>
        <w:ind w:left="677" w:hanging="365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677" w:hanging="36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upperRoman"/>
      <w:lvlText w:val="%3."/>
      <w:lvlJc w:val="left"/>
      <w:pPr>
        <w:ind w:left="1186" w:hanging="500"/>
        <w:jc w:val="left"/>
      </w:pPr>
      <w:rPr>
        <w:rFonts w:hint="default" w:ascii="Times New Roman" w:hAnsi="Times New Roman" w:eastAsia="Times New Roman" w:cs="Times New Roman"/>
        <w:spacing w:val="-4"/>
        <w:w w:val="94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4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36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88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40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92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44" w:hanging="50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677" w:hanging="365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677" w:hanging="36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312" w:hanging="566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60" w:hanging="5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29" w:hanging="5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99" w:hanging="5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69" w:hanging="5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39" w:hanging="5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209" w:hanging="566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975" w:hanging="663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975" w:hanging="66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54" w:hanging="542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76" w:hanging="5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72" w:hanging="5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8" w:hanging="5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364" w:hanging="5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60" w:hanging="5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56" w:hanging="542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975" w:hanging="663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975" w:hanging="66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98" w:hanging="486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76" w:hanging="4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72" w:hanging="4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8" w:hanging="4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364" w:hanging="4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60" w:hanging="4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56" w:hanging="486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975" w:hanging="663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975" w:hanging="66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98" w:hanging="486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76" w:hanging="4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72" w:hanging="4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8" w:hanging="4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364" w:hanging="4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460" w:hanging="4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56" w:hanging="48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975" w:hanging="663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975" w:hanging="663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33" w:hanging="66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0" w:hanging="66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87" w:hanging="66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64" w:hanging="66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1" w:hanging="66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18" w:hanging="66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95" w:hanging="663"/>
      </w:pPr>
      <w:rPr>
        <w:rFonts w:hint="default"/>
        <w:lang w:val="en-US" w:eastAsia="en-US" w:bidi="ar-SA"/>
      </w:rPr>
    </w:lvl>
  </w:abstract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76"/>
      <w:ind w:left="677" w:hanging="366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76"/>
      <w:ind w:left="854" w:hanging="543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77"/>
      <w:ind w:left="855" w:hanging="544"/>
    </w:pPr>
    <w:rPr>
      <w:rFonts w:ascii="Times New Roman" w:hAnsi="Times New Roman" w:eastAsia="Times New Roman" w:cs="Times New Roman"/>
      <w:b/>
      <w:bCs/>
      <w:i/>
      <w:iCs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0"/>
      <w:ind w:left="312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276"/>
      <w:ind w:left="855" w:hanging="366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footer" Target="footer1.xml"/><Relationship Id="rId8" Type="http://schemas.openxmlformats.org/officeDocument/2006/relationships/header" Target="header3.xml"/><Relationship Id="rId9" Type="http://schemas.openxmlformats.org/officeDocument/2006/relationships/footer" Target="footer2.xml"/><Relationship Id="rId10" Type="http://schemas.openxmlformats.org/officeDocument/2006/relationships/header" Target="header4.xml"/><Relationship Id="rId11" Type="http://schemas.openxmlformats.org/officeDocument/2006/relationships/footer" Target="footer3.xml"/><Relationship Id="rId12" Type="http://schemas.openxmlformats.org/officeDocument/2006/relationships/header" Target="header5.xml"/><Relationship Id="rId13" Type="http://schemas.openxmlformats.org/officeDocument/2006/relationships/footer" Target="footer4.xml"/><Relationship Id="rId14" Type="http://schemas.openxmlformats.org/officeDocument/2006/relationships/header" Target="header6.xml"/><Relationship Id="rId15" Type="http://schemas.openxmlformats.org/officeDocument/2006/relationships/footer" Target="footer5.xml"/><Relationship Id="rId16" Type="http://schemas.openxmlformats.org/officeDocument/2006/relationships/header" Target="header7.xml"/><Relationship Id="rId17" Type="http://schemas.openxmlformats.org/officeDocument/2006/relationships/footer" Target="footer6.xml"/><Relationship Id="rId18" Type="http://schemas.openxmlformats.org/officeDocument/2006/relationships/header" Target="header8.xml"/><Relationship Id="rId19" Type="http://schemas.openxmlformats.org/officeDocument/2006/relationships/footer" Target="footer7.xml"/><Relationship Id="rId20" Type="http://schemas.openxmlformats.org/officeDocument/2006/relationships/header" Target="header9.xml"/><Relationship Id="rId21" Type="http://schemas.openxmlformats.org/officeDocument/2006/relationships/footer" Target="footer8.xml"/><Relationship Id="rId22" Type="http://schemas.openxmlformats.org/officeDocument/2006/relationships/header" Target="header10.xml"/><Relationship Id="rId23" Type="http://schemas.openxmlformats.org/officeDocument/2006/relationships/footer" Target="footer9.xml"/><Relationship Id="rId24" Type="http://schemas.openxmlformats.org/officeDocument/2006/relationships/header" Target="header11.xml"/><Relationship Id="rId25" Type="http://schemas.openxmlformats.org/officeDocument/2006/relationships/footer" Target="footer10.xml"/><Relationship Id="rId26" Type="http://schemas.openxmlformats.org/officeDocument/2006/relationships/header" Target="header12.xml"/><Relationship Id="rId27" Type="http://schemas.openxmlformats.org/officeDocument/2006/relationships/footer" Target="footer11.xml"/><Relationship Id="rId28" Type="http://schemas.openxmlformats.org/officeDocument/2006/relationships/header" Target="header13.xml"/><Relationship Id="rId29" Type="http://schemas.openxmlformats.org/officeDocument/2006/relationships/footer" Target="footer12.xml"/><Relationship Id="rId30" Type="http://schemas.openxmlformats.org/officeDocument/2006/relationships/header" Target="header14.xml"/><Relationship Id="rId31" Type="http://schemas.openxmlformats.org/officeDocument/2006/relationships/footer" Target="footer13.xml"/><Relationship Id="rId32" Type="http://schemas.openxmlformats.org/officeDocument/2006/relationships/header" Target="header15.xml"/><Relationship Id="rId33" Type="http://schemas.openxmlformats.org/officeDocument/2006/relationships/footer" Target="footer14.xml"/><Relationship Id="rId34" Type="http://schemas.openxmlformats.org/officeDocument/2006/relationships/header" Target="header16.xml"/><Relationship Id="rId35" Type="http://schemas.openxmlformats.org/officeDocument/2006/relationships/footer" Target="footer15.xml"/><Relationship Id="rId36" Type="http://schemas.openxmlformats.org/officeDocument/2006/relationships/header" Target="header17.xml"/><Relationship Id="rId37" Type="http://schemas.openxmlformats.org/officeDocument/2006/relationships/footer" Target="footer16.xml"/><Relationship Id="rId38" Type="http://schemas.openxmlformats.org/officeDocument/2006/relationships/header" Target="header18.xml"/><Relationship Id="rId39" Type="http://schemas.openxmlformats.org/officeDocument/2006/relationships/footer" Target="footer17.xml"/><Relationship Id="rId40" Type="http://schemas.openxmlformats.org/officeDocument/2006/relationships/header" Target="header19.xml"/><Relationship Id="rId41" Type="http://schemas.openxmlformats.org/officeDocument/2006/relationships/footer" Target="footer18.xml"/><Relationship Id="rId42" Type="http://schemas.openxmlformats.org/officeDocument/2006/relationships/header" Target="header20.xml"/><Relationship Id="rId43" Type="http://schemas.openxmlformats.org/officeDocument/2006/relationships/footer" Target="footer19.xml"/><Relationship Id="rId44" Type="http://schemas.openxmlformats.org/officeDocument/2006/relationships/header" Target="header21.xml"/><Relationship Id="rId45" Type="http://schemas.openxmlformats.org/officeDocument/2006/relationships/footer" Target="footer20.xml"/><Relationship Id="rId46" Type="http://schemas.openxmlformats.org/officeDocument/2006/relationships/header" Target="header22.xml"/><Relationship Id="rId47" Type="http://schemas.openxmlformats.org/officeDocument/2006/relationships/footer" Target="footer21.xml"/><Relationship Id="rId48" Type="http://schemas.openxmlformats.org/officeDocument/2006/relationships/header" Target="header23.xml"/><Relationship Id="rId49" Type="http://schemas.openxmlformats.org/officeDocument/2006/relationships/footer" Target="footer22.xml"/><Relationship Id="rId50" Type="http://schemas.openxmlformats.org/officeDocument/2006/relationships/header" Target="header24.xml"/><Relationship Id="rId51" Type="http://schemas.openxmlformats.org/officeDocument/2006/relationships/footer" Target="footer23.xml"/><Relationship Id="rId52" Type="http://schemas.openxmlformats.org/officeDocument/2006/relationships/header" Target="header25.xml"/><Relationship Id="rId53" Type="http://schemas.openxmlformats.org/officeDocument/2006/relationships/footer" Target="footer24.xml"/><Relationship Id="rId54" Type="http://schemas.openxmlformats.org/officeDocument/2006/relationships/header" Target="header26.xml"/><Relationship Id="rId55" Type="http://schemas.openxmlformats.org/officeDocument/2006/relationships/footer" Target="footer25.xml"/><Relationship Id="rId56" Type="http://schemas.openxmlformats.org/officeDocument/2006/relationships/image" Target="media/image1.png"/><Relationship Id="rId57" Type="http://schemas.openxmlformats.org/officeDocument/2006/relationships/header" Target="header27.xml"/><Relationship Id="rId58" Type="http://schemas.openxmlformats.org/officeDocument/2006/relationships/footer" Target="footer26.xml"/><Relationship Id="rId59" Type="http://schemas.openxmlformats.org/officeDocument/2006/relationships/header" Target="header28.xml"/><Relationship Id="rId60" Type="http://schemas.openxmlformats.org/officeDocument/2006/relationships/footer" Target="footer27.xml"/><Relationship Id="rId61" Type="http://schemas.openxmlformats.org/officeDocument/2006/relationships/header" Target="header29.xml"/><Relationship Id="rId62" Type="http://schemas.openxmlformats.org/officeDocument/2006/relationships/footer" Target="footer28.xml"/><Relationship Id="rId63" Type="http://schemas.openxmlformats.org/officeDocument/2006/relationships/header" Target="header30.xml"/><Relationship Id="rId64" Type="http://schemas.openxmlformats.org/officeDocument/2006/relationships/footer" Target="footer29.xml"/><Relationship Id="rId65" Type="http://schemas.openxmlformats.org/officeDocument/2006/relationships/header" Target="header31.xml"/><Relationship Id="rId66" Type="http://schemas.openxmlformats.org/officeDocument/2006/relationships/footer" Target="footer30.xml"/><Relationship Id="rId67" Type="http://schemas.openxmlformats.org/officeDocument/2006/relationships/header" Target="header32.xml"/><Relationship Id="rId68" Type="http://schemas.openxmlformats.org/officeDocument/2006/relationships/footer" Target="footer31.xml"/><Relationship Id="rId69" Type="http://schemas.openxmlformats.org/officeDocument/2006/relationships/image" Target="media/image2.png"/><Relationship Id="rId70" Type="http://schemas.openxmlformats.org/officeDocument/2006/relationships/header" Target="header33.xml"/><Relationship Id="rId71" Type="http://schemas.openxmlformats.org/officeDocument/2006/relationships/footer" Target="footer32.xml"/><Relationship Id="rId72" Type="http://schemas.openxmlformats.org/officeDocument/2006/relationships/header" Target="header34.xml"/><Relationship Id="rId73" Type="http://schemas.openxmlformats.org/officeDocument/2006/relationships/footer" Target="footer33.xml"/><Relationship Id="rId74" Type="http://schemas.openxmlformats.org/officeDocument/2006/relationships/header" Target="header35.xml"/><Relationship Id="rId75" Type="http://schemas.openxmlformats.org/officeDocument/2006/relationships/footer" Target="footer34.xml"/><Relationship Id="rId76" Type="http://schemas.openxmlformats.org/officeDocument/2006/relationships/header" Target="header36.xml"/><Relationship Id="rId77" Type="http://schemas.openxmlformats.org/officeDocument/2006/relationships/footer" Target="footer35.xml"/><Relationship Id="rId78" Type="http://schemas.openxmlformats.org/officeDocument/2006/relationships/image" Target="media/image3.jpeg"/><Relationship Id="rId79" Type="http://schemas.openxmlformats.org/officeDocument/2006/relationships/header" Target="header37.xml"/><Relationship Id="rId80" Type="http://schemas.openxmlformats.org/officeDocument/2006/relationships/footer" Target="footer36.xml"/><Relationship Id="rId81" Type="http://schemas.openxmlformats.org/officeDocument/2006/relationships/header" Target="header38.xml"/><Relationship Id="rId82" Type="http://schemas.openxmlformats.org/officeDocument/2006/relationships/footer" Target="footer37.xml"/><Relationship Id="rId83" Type="http://schemas.openxmlformats.org/officeDocument/2006/relationships/image" Target="media/image4.jpeg"/><Relationship Id="rId84" Type="http://schemas.openxmlformats.org/officeDocument/2006/relationships/header" Target="header39.xml"/><Relationship Id="rId85" Type="http://schemas.openxmlformats.org/officeDocument/2006/relationships/footer" Target="footer38.xml"/><Relationship Id="rId86" Type="http://schemas.openxmlformats.org/officeDocument/2006/relationships/header" Target="header40.xml"/><Relationship Id="rId87" Type="http://schemas.openxmlformats.org/officeDocument/2006/relationships/footer" Target="footer39.xml"/><Relationship Id="rId88" Type="http://schemas.openxmlformats.org/officeDocument/2006/relationships/header" Target="header41.xml"/><Relationship Id="rId89" Type="http://schemas.openxmlformats.org/officeDocument/2006/relationships/footer" Target="footer40.xml"/><Relationship Id="rId90" Type="http://schemas.openxmlformats.org/officeDocument/2006/relationships/image" Target="media/image5.png"/><Relationship Id="rId91" Type="http://schemas.openxmlformats.org/officeDocument/2006/relationships/header" Target="header42.xml"/><Relationship Id="rId92" Type="http://schemas.openxmlformats.org/officeDocument/2006/relationships/footer" Target="footer41.xml"/><Relationship Id="rId93" Type="http://schemas.openxmlformats.org/officeDocument/2006/relationships/header" Target="header43.xml"/><Relationship Id="rId94" Type="http://schemas.openxmlformats.org/officeDocument/2006/relationships/footer" Target="footer42.xml"/><Relationship Id="rId95" Type="http://schemas.openxmlformats.org/officeDocument/2006/relationships/image" Target="media/image6.png"/><Relationship Id="rId96" Type="http://schemas.openxmlformats.org/officeDocument/2006/relationships/image" Target="media/image7.png"/><Relationship Id="rId97" Type="http://schemas.openxmlformats.org/officeDocument/2006/relationships/image" Target="media/image8.png"/><Relationship Id="rId98" Type="http://schemas.openxmlformats.org/officeDocument/2006/relationships/image" Target="media/image9.png"/><Relationship Id="rId99" Type="http://schemas.openxmlformats.org/officeDocument/2006/relationships/header" Target="header44.xml"/><Relationship Id="rId100" Type="http://schemas.openxmlformats.org/officeDocument/2006/relationships/footer" Target="footer43.xml"/><Relationship Id="rId101" Type="http://schemas.openxmlformats.org/officeDocument/2006/relationships/image" Target="media/image10.png"/><Relationship Id="rId102" Type="http://schemas.openxmlformats.org/officeDocument/2006/relationships/image" Target="media/image11.png"/><Relationship Id="rId103" Type="http://schemas.openxmlformats.org/officeDocument/2006/relationships/image" Target="media/image12.png"/><Relationship Id="rId104" Type="http://schemas.openxmlformats.org/officeDocument/2006/relationships/image" Target="media/image13.png"/><Relationship Id="rId105" Type="http://schemas.openxmlformats.org/officeDocument/2006/relationships/image" Target="media/image14.png"/><Relationship Id="rId106" Type="http://schemas.openxmlformats.org/officeDocument/2006/relationships/image" Target="media/image15.png"/><Relationship Id="rId107" Type="http://schemas.openxmlformats.org/officeDocument/2006/relationships/image" Target="media/image16.png"/><Relationship Id="rId108" Type="http://schemas.openxmlformats.org/officeDocument/2006/relationships/image" Target="media/image17.png"/><Relationship Id="rId109" Type="http://schemas.openxmlformats.org/officeDocument/2006/relationships/image" Target="media/image18.png"/><Relationship Id="rId110" Type="http://schemas.openxmlformats.org/officeDocument/2006/relationships/image" Target="media/image19.png"/><Relationship Id="rId111" Type="http://schemas.openxmlformats.org/officeDocument/2006/relationships/image" Target="media/image20.png"/><Relationship Id="rId112" Type="http://schemas.openxmlformats.org/officeDocument/2006/relationships/image" Target="media/image21.png"/><Relationship Id="rId113" Type="http://schemas.openxmlformats.org/officeDocument/2006/relationships/image" Target="media/image22.png"/><Relationship Id="rId114" Type="http://schemas.openxmlformats.org/officeDocument/2006/relationships/header" Target="header45.xml"/><Relationship Id="rId115" Type="http://schemas.openxmlformats.org/officeDocument/2006/relationships/footer" Target="footer44.xml"/><Relationship Id="rId116" Type="http://schemas.openxmlformats.org/officeDocument/2006/relationships/image" Target="media/image23.jpeg"/><Relationship Id="rId117" Type="http://schemas.openxmlformats.org/officeDocument/2006/relationships/header" Target="header46.xml"/><Relationship Id="rId118" Type="http://schemas.openxmlformats.org/officeDocument/2006/relationships/footer" Target="footer45.xml"/><Relationship Id="rId119" Type="http://schemas.openxmlformats.org/officeDocument/2006/relationships/image" Target="media/image24.jpeg"/><Relationship Id="rId120" Type="http://schemas.openxmlformats.org/officeDocument/2006/relationships/header" Target="header47.xml"/><Relationship Id="rId121" Type="http://schemas.openxmlformats.org/officeDocument/2006/relationships/footer" Target="footer46.xml"/><Relationship Id="rId122" Type="http://schemas.openxmlformats.org/officeDocument/2006/relationships/header" Target="header48.xml"/><Relationship Id="rId123" Type="http://schemas.openxmlformats.org/officeDocument/2006/relationships/footer" Target="footer47.xml"/><Relationship Id="rId124" Type="http://schemas.openxmlformats.org/officeDocument/2006/relationships/image" Target="media/image25.png"/><Relationship Id="rId125" Type="http://schemas.openxmlformats.org/officeDocument/2006/relationships/image" Target="media/image26.jpeg"/><Relationship Id="rId126" Type="http://schemas.openxmlformats.org/officeDocument/2006/relationships/header" Target="header49.xml"/><Relationship Id="rId127" Type="http://schemas.openxmlformats.org/officeDocument/2006/relationships/footer" Target="footer48.xml"/><Relationship Id="rId128" Type="http://schemas.openxmlformats.org/officeDocument/2006/relationships/header" Target="header50.xml"/><Relationship Id="rId129" Type="http://schemas.openxmlformats.org/officeDocument/2006/relationships/footer" Target="footer49.xml"/><Relationship Id="rId130" Type="http://schemas.openxmlformats.org/officeDocument/2006/relationships/image" Target="media/image27.png"/><Relationship Id="rId131" Type="http://schemas.openxmlformats.org/officeDocument/2006/relationships/image" Target="media/image28.png"/><Relationship Id="rId132" Type="http://schemas.openxmlformats.org/officeDocument/2006/relationships/image" Target="media/image29.png"/><Relationship Id="rId133" Type="http://schemas.openxmlformats.org/officeDocument/2006/relationships/image" Target="media/image30.png"/><Relationship Id="rId134" Type="http://schemas.openxmlformats.org/officeDocument/2006/relationships/image" Target="media/image31.png"/><Relationship Id="rId135" Type="http://schemas.openxmlformats.org/officeDocument/2006/relationships/image" Target="media/image32.png"/><Relationship Id="rId136" Type="http://schemas.openxmlformats.org/officeDocument/2006/relationships/image" Target="media/image33.png"/><Relationship Id="rId137" Type="http://schemas.openxmlformats.org/officeDocument/2006/relationships/image" Target="media/image34.png"/><Relationship Id="rId138" Type="http://schemas.openxmlformats.org/officeDocument/2006/relationships/image" Target="media/image35.png"/><Relationship Id="rId139" Type="http://schemas.openxmlformats.org/officeDocument/2006/relationships/image" Target="media/image36.png"/><Relationship Id="rId140" Type="http://schemas.openxmlformats.org/officeDocument/2006/relationships/image" Target="media/image37.png"/><Relationship Id="rId141" Type="http://schemas.openxmlformats.org/officeDocument/2006/relationships/image" Target="media/image38.png"/><Relationship Id="rId142" Type="http://schemas.openxmlformats.org/officeDocument/2006/relationships/image" Target="media/image39.png"/><Relationship Id="rId143" Type="http://schemas.openxmlformats.org/officeDocument/2006/relationships/image" Target="media/image40.png"/><Relationship Id="rId144" Type="http://schemas.openxmlformats.org/officeDocument/2006/relationships/image" Target="media/image41.png"/><Relationship Id="rId145" Type="http://schemas.openxmlformats.org/officeDocument/2006/relationships/image" Target="media/image42.png"/><Relationship Id="rId146" Type="http://schemas.openxmlformats.org/officeDocument/2006/relationships/image" Target="media/image43.png"/><Relationship Id="rId147" Type="http://schemas.openxmlformats.org/officeDocument/2006/relationships/image" Target="media/image44.png"/><Relationship Id="rId148" Type="http://schemas.openxmlformats.org/officeDocument/2006/relationships/image" Target="media/image45.png"/><Relationship Id="rId149" Type="http://schemas.openxmlformats.org/officeDocument/2006/relationships/image" Target="media/image46.png"/><Relationship Id="rId150" Type="http://schemas.openxmlformats.org/officeDocument/2006/relationships/image" Target="media/image47.png"/><Relationship Id="rId151" Type="http://schemas.openxmlformats.org/officeDocument/2006/relationships/image" Target="media/image48.png"/><Relationship Id="rId152" Type="http://schemas.openxmlformats.org/officeDocument/2006/relationships/image" Target="media/image49.png"/><Relationship Id="rId153" Type="http://schemas.openxmlformats.org/officeDocument/2006/relationships/header" Target="header51.xml"/><Relationship Id="rId154" Type="http://schemas.openxmlformats.org/officeDocument/2006/relationships/footer" Target="footer50.xml"/><Relationship Id="rId155" Type="http://schemas.openxmlformats.org/officeDocument/2006/relationships/image" Target="media/image50.jpeg"/><Relationship Id="rId156" Type="http://schemas.openxmlformats.org/officeDocument/2006/relationships/header" Target="header52.xml"/><Relationship Id="rId157" Type="http://schemas.openxmlformats.org/officeDocument/2006/relationships/footer" Target="footer51.xml"/><Relationship Id="rId158" Type="http://schemas.openxmlformats.org/officeDocument/2006/relationships/header" Target="header53.xml"/><Relationship Id="rId159" Type="http://schemas.openxmlformats.org/officeDocument/2006/relationships/footer" Target="footer52.xml"/><Relationship Id="rId160" Type="http://schemas.openxmlformats.org/officeDocument/2006/relationships/header" Target="header54.xml"/><Relationship Id="rId161" Type="http://schemas.openxmlformats.org/officeDocument/2006/relationships/footer" Target="footer53.xml"/><Relationship Id="rId162" Type="http://schemas.openxmlformats.org/officeDocument/2006/relationships/header" Target="header55.xml"/><Relationship Id="rId163" Type="http://schemas.openxmlformats.org/officeDocument/2006/relationships/footer" Target="footer54.xml"/><Relationship Id="rId164" Type="http://schemas.openxmlformats.org/officeDocument/2006/relationships/header" Target="header56.xml"/><Relationship Id="rId165" Type="http://schemas.openxmlformats.org/officeDocument/2006/relationships/footer" Target="footer55.xml"/><Relationship Id="rId166" Type="http://schemas.openxmlformats.org/officeDocument/2006/relationships/header" Target="header57.xml"/><Relationship Id="rId167" Type="http://schemas.openxmlformats.org/officeDocument/2006/relationships/footer" Target="footer56.xml"/><Relationship Id="rId168" Type="http://schemas.openxmlformats.org/officeDocument/2006/relationships/header" Target="header58.xml"/><Relationship Id="rId169" Type="http://schemas.openxmlformats.org/officeDocument/2006/relationships/footer" Target="footer57.xml"/><Relationship Id="rId170" Type="http://schemas.openxmlformats.org/officeDocument/2006/relationships/header" Target="header59.xml"/><Relationship Id="rId171" Type="http://schemas.openxmlformats.org/officeDocument/2006/relationships/footer" Target="footer58.xml"/><Relationship Id="rId172" Type="http://schemas.openxmlformats.org/officeDocument/2006/relationships/header" Target="header60.xml"/><Relationship Id="rId173" Type="http://schemas.openxmlformats.org/officeDocument/2006/relationships/footer" Target="footer59.xml"/><Relationship Id="rId174" Type="http://schemas.openxmlformats.org/officeDocument/2006/relationships/header" Target="header61.xml"/><Relationship Id="rId175" Type="http://schemas.openxmlformats.org/officeDocument/2006/relationships/footer" Target="footer60.xml"/><Relationship Id="rId176" Type="http://schemas.openxmlformats.org/officeDocument/2006/relationships/header" Target="header62.xml"/><Relationship Id="rId177" Type="http://schemas.openxmlformats.org/officeDocument/2006/relationships/footer" Target="footer61.xml"/><Relationship Id="rId178" Type="http://schemas.openxmlformats.org/officeDocument/2006/relationships/header" Target="header63.xml"/><Relationship Id="rId179" Type="http://schemas.openxmlformats.org/officeDocument/2006/relationships/footer" Target="footer62.xml"/><Relationship Id="rId180" Type="http://schemas.openxmlformats.org/officeDocument/2006/relationships/header" Target="header64.xml"/><Relationship Id="rId181" Type="http://schemas.openxmlformats.org/officeDocument/2006/relationships/footer" Target="footer63.xml"/><Relationship Id="rId182" Type="http://schemas.openxmlformats.org/officeDocument/2006/relationships/header" Target="header65.xml"/><Relationship Id="rId183" Type="http://schemas.openxmlformats.org/officeDocument/2006/relationships/footer" Target="footer64.xml"/><Relationship Id="rId184" Type="http://schemas.openxmlformats.org/officeDocument/2006/relationships/header" Target="header66.xml"/><Relationship Id="rId185" Type="http://schemas.openxmlformats.org/officeDocument/2006/relationships/footer" Target="footer65.xml"/><Relationship Id="rId186" Type="http://schemas.openxmlformats.org/officeDocument/2006/relationships/hyperlink" Target="http://www.ebi.ac.uk/thornton" TargetMode="External"/><Relationship Id="rId187" Type="http://schemas.openxmlformats.org/officeDocument/2006/relationships/hyperlink" Target="http://www.originlab.com/)" TargetMode="External"/><Relationship Id="rId188" Type="http://schemas.openxmlformats.org/officeDocument/2006/relationships/hyperlink" Target="http://www.rcsb.org/pdb)%3B" TargetMode="External"/><Relationship Id="rId189" Type="http://schemas.openxmlformats.org/officeDocument/2006/relationships/header" Target="header67.xml"/><Relationship Id="rId190" Type="http://schemas.openxmlformats.org/officeDocument/2006/relationships/footer" Target="footer66.xml"/><Relationship Id="rId191" Type="http://schemas.openxmlformats.org/officeDocument/2006/relationships/image" Target="media/image51.png"/><Relationship Id="rId192" Type="http://schemas.openxmlformats.org/officeDocument/2006/relationships/image" Target="media/image52.png"/><Relationship Id="rId193" Type="http://schemas.openxmlformats.org/officeDocument/2006/relationships/image" Target="media/image53.png"/><Relationship Id="rId194" Type="http://schemas.openxmlformats.org/officeDocument/2006/relationships/image" Target="media/image54.png"/><Relationship Id="rId195" Type="http://schemas.openxmlformats.org/officeDocument/2006/relationships/image" Target="media/image55.png"/><Relationship Id="rId196" Type="http://schemas.openxmlformats.org/officeDocument/2006/relationships/image" Target="media/image56.png"/><Relationship Id="rId197" Type="http://schemas.openxmlformats.org/officeDocument/2006/relationships/image" Target="media/image57.png"/><Relationship Id="rId198" Type="http://schemas.openxmlformats.org/officeDocument/2006/relationships/image" Target="media/image58.png"/><Relationship Id="rId199" Type="http://schemas.openxmlformats.org/officeDocument/2006/relationships/image" Target="media/image59.png"/><Relationship Id="rId200" Type="http://schemas.openxmlformats.org/officeDocument/2006/relationships/header" Target="header68.xml"/><Relationship Id="rId201" Type="http://schemas.openxmlformats.org/officeDocument/2006/relationships/footer" Target="footer67.xml"/><Relationship Id="rId202" Type="http://schemas.openxmlformats.org/officeDocument/2006/relationships/image" Target="media/image60.png"/><Relationship Id="rId203" Type="http://schemas.openxmlformats.org/officeDocument/2006/relationships/image" Target="media/image61.png"/><Relationship Id="rId204" Type="http://schemas.openxmlformats.org/officeDocument/2006/relationships/image" Target="media/image62.png"/><Relationship Id="rId205" Type="http://schemas.openxmlformats.org/officeDocument/2006/relationships/image" Target="media/image63.png"/><Relationship Id="rId206" Type="http://schemas.openxmlformats.org/officeDocument/2006/relationships/image" Target="media/image64.png"/><Relationship Id="rId207" Type="http://schemas.openxmlformats.org/officeDocument/2006/relationships/image" Target="media/image65.png"/><Relationship Id="rId208" Type="http://schemas.openxmlformats.org/officeDocument/2006/relationships/image" Target="media/image66.png"/><Relationship Id="rId209" Type="http://schemas.openxmlformats.org/officeDocument/2006/relationships/image" Target="media/image67.png"/><Relationship Id="rId210" Type="http://schemas.openxmlformats.org/officeDocument/2006/relationships/header" Target="header69.xml"/><Relationship Id="rId211" Type="http://schemas.openxmlformats.org/officeDocument/2006/relationships/footer" Target="footer68.xml"/><Relationship Id="rId212" Type="http://schemas.openxmlformats.org/officeDocument/2006/relationships/image" Target="media/image68.png"/><Relationship Id="rId213" Type="http://schemas.openxmlformats.org/officeDocument/2006/relationships/header" Target="header70.xml"/><Relationship Id="rId214" Type="http://schemas.openxmlformats.org/officeDocument/2006/relationships/footer" Target="footer69.xml"/><Relationship Id="rId215" Type="http://schemas.openxmlformats.org/officeDocument/2006/relationships/header" Target="header71.xml"/><Relationship Id="rId216" Type="http://schemas.openxmlformats.org/officeDocument/2006/relationships/footer" Target="footer70.xml"/><Relationship Id="rId217" Type="http://schemas.openxmlformats.org/officeDocument/2006/relationships/header" Target="header72.xml"/><Relationship Id="rId218" Type="http://schemas.openxmlformats.org/officeDocument/2006/relationships/footer" Target="footer71.xml"/><Relationship Id="rId219" Type="http://schemas.openxmlformats.org/officeDocument/2006/relationships/header" Target="header73.xml"/><Relationship Id="rId220" Type="http://schemas.openxmlformats.org/officeDocument/2006/relationships/footer" Target="footer72.xml"/><Relationship Id="rId221" Type="http://schemas.openxmlformats.org/officeDocument/2006/relationships/header" Target="header74.xml"/><Relationship Id="rId222" Type="http://schemas.openxmlformats.org/officeDocument/2006/relationships/footer" Target="footer73.xml"/><Relationship Id="rId223" Type="http://schemas.openxmlformats.org/officeDocument/2006/relationships/header" Target="header75.xml"/><Relationship Id="rId224" Type="http://schemas.openxmlformats.org/officeDocument/2006/relationships/footer" Target="footer74.xml"/><Relationship Id="rId225" Type="http://schemas.openxmlformats.org/officeDocument/2006/relationships/header" Target="header76.xml"/><Relationship Id="rId226" Type="http://schemas.openxmlformats.org/officeDocument/2006/relationships/footer" Target="footer75.xml"/><Relationship Id="rId227" Type="http://schemas.openxmlformats.org/officeDocument/2006/relationships/header" Target="header77.xml"/><Relationship Id="rId228" Type="http://schemas.openxmlformats.org/officeDocument/2006/relationships/footer" Target="footer76.xml"/><Relationship Id="rId229" Type="http://schemas.openxmlformats.org/officeDocument/2006/relationships/header" Target="header78.xml"/><Relationship Id="rId230" Type="http://schemas.openxmlformats.org/officeDocument/2006/relationships/footer" Target="footer77.xml"/><Relationship Id="rId231" Type="http://schemas.openxmlformats.org/officeDocument/2006/relationships/header" Target="header79.xml"/><Relationship Id="rId232" Type="http://schemas.openxmlformats.org/officeDocument/2006/relationships/footer" Target="footer78.xml"/><Relationship Id="rId233" Type="http://schemas.openxmlformats.org/officeDocument/2006/relationships/header" Target="header80.xml"/><Relationship Id="rId234" Type="http://schemas.openxmlformats.org/officeDocument/2006/relationships/footer" Target="footer79.xml"/><Relationship Id="rId235" Type="http://schemas.openxmlformats.org/officeDocument/2006/relationships/header" Target="header81.xml"/><Relationship Id="rId236" Type="http://schemas.openxmlformats.org/officeDocument/2006/relationships/footer" Target="footer80.xml"/><Relationship Id="rId237" Type="http://schemas.openxmlformats.org/officeDocument/2006/relationships/header" Target="header82.xml"/><Relationship Id="rId238" Type="http://schemas.openxmlformats.org/officeDocument/2006/relationships/footer" Target="footer81.xml"/><Relationship Id="rId239" Type="http://schemas.openxmlformats.org/officeDocument/2006/relationships/header" Target="header83.xml"/><Relationship Id="rId240" Type="http://schemas.openxmlformats.org/officeDocument/2006/relationships/footer" Target="footer82.xml"/><Relationship Id="rId241" Type="http://schemas.openxmlformats.org/officeDocument/2006/relationships/header" Target="header84.xml"/><Relationship Id="rId242" Type="http://schemas.openxmlformats.org/officeDocument/2006/relationships/footer" Target="footer83.xml"/><Relationship Id="rId243" Type="http://schemas.openxmlformats.org/officeDocument/2006/relationships/header" Target="header85.xml"/><Relationship Id="rId244" Type="http://schemas.openxmlformats.org/officeDocument/2006/relationships/footer" Target="footer84.xml"/><Relationship Id="rId245" Type="http://schemas.openxmlformats.org/officeDocument/2006/relationships/header" Target="header86.xml"/><Relationship Id="rId246" Type="http://schemas.openxmlformats.org/officeDocument/2006/relationships/footer" Target="footer85.xml"/><Relationship Id="rId247" Type="http://schemas.openxmlformats.org/officeDocument/2006/relationships/hyperlink" Target="http://www/" TargetMode="External"/><Relationship Id="rId248" Type="http://schemas.openxmlformats.org/officeDocument/2006/relationships/header" Target="header87.xml"/><Relationship Id="rId249" Type="http://schemas.openxmlformats.org/officeDocument/2006/relationships/footer" Target="footer86.xml"/><Relationship Id="rId250" Type="http://schemas.openxmlformats.org/officeDocument/2006/relationships/image" Target="media/image69.png"/><Relationship Id="rId251" Type="http://schemas.openxmlformats.org/officeDocument/2006/relationships/image" Target="media/image70.png"/><Relationship Id="rId252" Type="http://schemas.openxmlformats.org/officeDocument/2006/relationships/image" Target="media/image71.png"/><Relationship Id="rId253" Type="http://schemas.openxmlformats.org/officeDocument/2006/relationships/image" Target="media/image72.png"/><Relationship Id="rId254" Type="http://schemas.openxmlformats.org/officeDocument/2006/relationships/image" Target="media/image73.png"/><Relationship Id="rId255" Type="http://schemas.openxmlformats.org/officeDocument/2006/relationships/image" Target="media/image74.png"/><Relationship Id="rId256" Type="http://schemas.openxmlformats.org/officeDocument/2006/relationships/image" Target="media/image75.png"/><Relationship Id="rId257" Type="http://schemas.openxmlformats.org/officeDocument/2006/relationships/image" Target="media/image76.png"/><Relationship Id="rId258" Type="http://schemas.openxmlformats.org/officeDocument/2006/relationships/image" Target="media/image77.png"/><Relationship Id="rId259" Type="http://schemas.openxmlformats.org/officeDocument/2006/relationships/image" Target="media/image78.png"/><Relationship Id="rId260" Type="http://schemas.openxmlformats.org/officeDocument/2006/relationships/image" Target="media/image79.png"/><Relationship Id="rId261" Type="http://schemas.openxmlformats.org/officeDocument/2006/relationships/image" Target="media/image80.png"/><Relationship Id="rId262" Type="http://schemas.openxmlformats.org/officeDocument/2006/relationships/image" Target="media/image81.png"/><Relationship Id="rId263" Type="http://schemas.openxmlformats.org/officeDocument/2006/relationships/image" Target="media/image82.png"/><Relationship Id="rId264" Type="http://schemas.openxmlformats.org/officeDocument/2006/relationships/header" Target="header88.xml"/><Relationship Id="rId265" Type="http://schemas.openxmlformats.org/officeDocument/2006/relationships/footer" Target="footer87.xml"/><Relationship Id="rId266" Type="http://schemas.openxmlformats.org/officeDocument/2006/relationships/header" Target="header89.xml"/><Relationship Id="rId267" Type="http://schemas.openxmlformats.org/officeDocument/2006/relationships/footer" Target="footer88.xml"/><Relationship Id="rId268" Type="http://schemas.openxmlformats.org/officeDocument/2006/relationships/image" Target="media/image83.png"/><Relationship Id="rId269" Type="http://schemas.openxmlformats.org/officeDocument/2006/relationships/header" Target="header90.xml"/><Relationship Id="rId270" Type="http://schemas.openxmlformats.org/officeDocument/2006/relationships/footer" Target="footer89.xml"/><Relationship Id="rId271" Type="http://schemas.openxmlformats.org/officeDocument/2006/relationships/header" Target="header91.xml"/><Relationship Id="rId272" Type="http://schemas.openxmlformats.org/officeDocument/2006/relationships/footer" Target="footer90.xml"/><Relationship Id="rId273" Type="http://schemas.openxmlformats.org/officeDocument/2006/relationships/header" Target="header92.xml"/><Relationship Id="rId274" Type="http://schemas.openxmlformats.org/officeDocument/2006/relationships/footer" Target="footer91.xml"/><Relationship Id="rId275" Type="http://schemas.openxmlformats.org/officeDocument/2006/relationships/header" Target="header93.xml"/><Relationship Id="rId276" Type="http://schemas.openxmlformats.org/officeDocument/2006/relationships/footer" Target="footer92.xml"/><Relationship Id="rId277" Type="http://schemas.openxmlformats.org/officeDocument/2006/relationships/header" Target="header94.xml"/><Relationship Id="rId278" Type="http://schemas.openxmlformats.org/officeDocument/2006/relationships/footer" Target="footer93.xml"/><Relationship Id="rId279" Type="http://schemas.openxmlformats.org/officeDocument/2006/relationships/header" Target="header95.xml"/><Relationship Id="rId280" Type="http://schemas.openxmlformats.org/officeDocument/2006/relationships/footer" Target="footer94.xml"/><Relationship Id="rId281" Type="http://schemas.openxmlformats.org/officeDocument/2006/relationships/header" Target="header96.xml"/><Relationship Id="rId282" Type="http://schemas.openxmlformats.org/officeDocument/2006/relationships/footer" Target="footer95.xml"/><Relationship Id="rId283" Type="http://schemas.openxmlformats.org/officeDocument/2006/relationships/header" Target="header97.xml"/><Relationship Id="rId284" Type="http://schemas.openxmlformats.org/officeDocument/2006/relationships/footer" Target="footer96.xml"/><Relationship Id="rId285" Type="http://schemas.openxmlformats.org/officeDocument/2006/relationships/image" Target="media/image84.png"/><Relationship Id="rId286" Type="http://schemas.openxmlformats.org/officeDocument/2006/relationships/header" Target="header98.xml"/><Relationship Id="rId287" Type="http://schemas.openxmlformats.org/officeDocument/2006/relationships/footer" Target="footer97.xml"/><Relationship Id="rId288" Type="http://schemas.openxmlformats.org/officeDocument/2006/relationships/header" Target="header99.xml"/><Relationship Id="rId289" Type="http://schemas.openxmlformats.org/officeDocument/2006/relationships/footer" Target="footer98.xml"/><Relationship Id="rId290" Type="http://schemas.openxmlformats.org/officeDocument/2006/relationships/header" Target="header100.xml"/><Relationship Id="rId291" Type="http://schemas.openxmlformats.org/officeDocument/2006/relationships/footer" Target="footer99.xml"/><Relationship Id="rId292" Type="http://schemas.openxmlformats.org/officeDocument/2006/relationships/header" Target="header101.xml"/><Relationship Id="rId293" Type="http://schemas.openxmlformats.org/officeDocument/2006/relationships/footer" Target="footer100.xml"/><Relationship Id="rId294" Type="http://schemas.openxmlformats.org/officeDocument/2006/relationships/image" Target="media/image85.jpeg"/><Relationship Id="rId295" Type="http://schemas.openxmlformats.org/officeDocument/2006/relationships/header" Target="header102.xml"/><Relationship Id="rId296" Type="http://schemas.openxmlformats.org/officeDocument/2006/relationships/footer" Target="footer101.xml"/><Relationship Id="rId297" Type="http://schemas.openxmlformats.org/officeDocument/2006/relationships/image" Target="media/image86.jpeg"/><Relationship Id="rId298" Type="http://schemas.openxmlformats.org/officeDocument/2006/relationships/header" Target="header103.xml"/><Relationship Id="rId299" Type="http://schemas.openxmlformats.org/officeDocument/2006/relationships/footer" Target="footer102.xml"/><Relationship Id="rId300" Type="http://schemas.openxmlformats.org/officeDocument/2006/relationships/header" Target="header104.xml"/><Relationship Id="rId301" Type="http://schemas.openxmlformats.org/officeDocument/2006/relationships/footer" Target="footer103.xml"/><Relationship Id="rId302" Type="http://schemas.openxmlformats.org/officeDocument/2006/relationships/header" Target="header105.xml"/><Relationship Id="rId303" Type="http://schemas.openxmlformats.org/officeDocument/2006/relationships/footer" Target="footer104.xml"/><Relationship Id="rId304" Type="http://schemas.openxmlformats.org/officeDocument/2006/relationships/header" Target="header106.xml"/><Relationship Id="rId305" Type="http://schemas.openxmlformats.org/officeDocument/2006/relationships/footer" Target="footer105.xml"/><Relationship Id="rId306" Type="http://schemas.openxmlformats.org/officeDocument/2006/relationships/image" Target="media/image87.png"/><Relationship Id="rId307" Type="http://schemas.openxmlformats.org/officeDocument/2006/relationships/image" Target="media/image88.jpeg"/><Relationship Id="rId308" Type="http://schemas.openxmlformats.org/officeDocument/2006/relationships/image" Target="media/image89.jpeg"/><Relationship Id="rId309" Type="http://schemas.openxmlformats.org/officeDocument/2006/relationships/image" Target="media/image90.jpeg"/><Relationship Id="rId310" Type="http://schemas.openxmlformats.org/officeDocument/2006/relationships/image" Target="media/image91.jpeg"/><Relationship Id="rId311" Type="http://schemas.openxmlformats.org/officeDocument/2006/relationships/image" Target="media/image92.jpeg"/><Relationship Id="rId312" Type="http://schemas.openxmlformats.org/officeDocument/2006/relationships/image" Target="media/image93.jpeg"/><Relationship Id="rId313" Type="http://schemas.openxmlformats.org/officeDocument/2006/relationships/image" Target="media/image94.jpeg"/><Relationship Id="rId314" Type="http://schemas.openxmlformats.org/officeDocument/2006/relationships/header" Target="header107.xml"/><Relationship Id="rId315" Type="http://schemas.openxmlformats.org/officeDocument/2006/relationships/footer" Target="footer106.xml"/><Relationship Id="rId316" Type="http://schemas.openxmlformats.org/officeDocument/2006/relationships/header" Target="header108.xml"/><Relationship Id="rId317" Type="http://schemas.openxmlformats.org/officeDocument/2006/relationships/footer" Target="footer107.xml"/><Relationship Id="rId318" Type="http://schemas.openxmlformats.org/officeDocument/2006/relationships/image" Target="media/image95.png"/><Relationship Id="rId319" Type="http://schemas.openxmlformats.org/officeDocument/2006/relationships/header" Target="header109.xml"/><Relationship Id="rId320" Type="http://schemas.openxmlformats.org/officeDocument/2006/relationships/footer" Target="footer108.xml"/><Relationship Id="rId321" Type="http://schemas.openxmlformats.org/officeDocument/2006/relationships/image" Target="media/image96.png"/><Relationship Id="rId322" Type="http://schemas.openxmlformats.org/officeDocument/2006/relationships/header" Target="header110.xml"/><Relationship Id="rId323" Type="http://schemas.openxmlformats.org/officeDocument/2006/relationships/footer" Target="footer109.xml"/><Relationship Id="rId324" Type="http://schemas.openxmlformats.org/officeDocument/2006/relationships/image" Target="media/image97.png"/><Relationship Id="rId325" Type="http://schemas.openxmlformats.org/officeDocument/2006/relationships/header" Target="header111.xml"/><Relationship Id="rId326" Type="http://schemas.openxmlformats.org/officeDocument/2006/relationships/footer" Target="footer110.xml"/><Relationship Id="rId327" Type="http://schemas.openxmlformats.org/officeDocument/2006/relationships/header" Target="header112.xml"/><Relationship Id="rId328" Type="http://schemas.openxmlformats.org/officeDocument/2006/relationships/footer" Target="footer111.xml"/><Relationship Id="rId329" Type="http://schemas.openxmlformats.org/officeDocument/2006/relationships/image" Target="media/image98.jpeg"/><Relationship Id="rId330" Type="http://schemas.openxmlformats.org/officeDocument/2006/relationships/header" Target="header113.xml"/><Relationship Id="rId331" Type="http://schemas.openxmlformats.org/officeDocument/2006/relationships/footer" Target="footer112.xml"/><Relationship Id="rId332" Type="http://schemas.openxmlformats.org/officeDocument/2006/relationships/image" Target="media/image99.png"/><Relationship Id="rId333" Type="http://schemas.openxmlformats.org/officeDocument/2006/relationships/header" Target="header114.xml"/><Relationship Id="rId334" Type="http://schemas.openxmlformats.org/officeDocument/2006/relationships/footer" Target="footer113.xml"/><Relationship Id="rId335" Type="http://schemas.openxmlformats.org/officeDocument/2006/relationships/image" Target="media/image100.jpeg"/><Relationship Id="rId336" Type="http://schemas.openxmlformats.org/officeDocument/2006/relationships/header" Target="header115.xml"/><Relationship Id="rId337" Type="http://schemas.openxmlformats.org/officeDocument/2006/relationships/footer" Target="footer114.xml"/><Relationship Id="rId338" Type="http://schemas.openxmlformats.org/officeDocument/2006/relationships/image" Target="media/image101.png"/><Relationship Id="rId339" Type="http://schemas.openxmlformats.org/officeDocument/2006/relationships/header" Target="header116.xml"/><Relationship Id="rId340" Type="http://schemas.openxmlformats.org/officeDocument/2006/relationships/footer" Target="footer115.xml"/><Relationship Id="rId341" Type="http://schemas.openxmlformats.org/officeDocument/2006/relationships/image" Target="media/image102.png"/><Relationship Id="rId342" Type="http://schemas.openxmlformats.org/officeDocument/2006/relationships/header" Target="header117.xml"/><Relationship Id="rId343" Type="http://schemas.openxmlformats.org/officeDocument/2006/relationships/footer" Target="footer116.xml"/><Relationship Id="rId344" Type="http://schemas.openxmlformats.org/officeDocument/2006/relationships/image" Target="media/image103.png"/><Relationship Id="rId345" Type="http://schemas.openxmlformats.org/officeDocument/2006/relationships/header" Target="header118.xml"/><Relationship Id="rId346" Type="http://schemas.openxmlformats.org/officeDocument/2006/relationships/footer" Target="footer117.xml"/><Relationship Id="rId347" Type="http://schemas.openxmlformats.org/officeDocument/2006/relationships/image" Target="media/image104.jpeg"/><Relationship Id="rId348" Type="http://schemas.openxmlformats.org/officeDocument/2006/relationships/header" Target="header119.xml"/><Relationship Id="rId349" Type="http://schemas.openxmlformats.org/officeDocument/2006/relationships/footer" Target="footer118.xml"/><Relationship Id="rId350" Type="http://schemas.openxmlformats.org/officeDocument/2006/relationships/image" Target="media/image105.png"/><Relationship Id="rId351" Type="http://schemas.openxmlformats.org/officeDocument/2006/relationships/header" Target="header120.xml"/><Relationship Id="rId352" Type="http://schemas.openxmlformats.org/officeDocument/2006/relationships/footer" Target="footer119.xml"/><Relationship Id="rId353" Type="http://schemas.openxmlformats.org/officeDocument/2006/relationships/header" Target="header121.xml"/><Relationship Id="rId354" Type="http://schemas.openxmlformats.org/officeDocument/2006/relationships/footer" Target="footer120.xml"/><Relationship Id="rId355" Type="http://schemas.openxmlformats.org/officeDocument/2006/relationships/header" Target="header122.xml"/><Relationship Id="rId356" Type="http://schemas.openxmlformats.org/officeDocument/2006/relationships/footer" Target="footer121.xml"/><Relationship Id="rId357" Type="http://schemas.openxmlformats.org/officeDocument/2006/relationships/image" Target="media/image106.png"/><Relationship Id="rId358" Type="http://schemas.openxmlformats.org/officeDocument/2006/relationships/header" Target="header123.xml"/><Relationship Id="rId359" Type="http://schemas.openxmlformats.org/officeDocument/2006/relationships/footer" Target="footer122.xml"/><Relationship Id="rId360" Type="http://schemas.openxmlformats.org/officeDocument/2006/relationships/image" Target="media/image107.png"/><Relationship Id="rId361" Type="http://schemas.openxmlformats.org/officeDocument/2006/relationships/header" Target="header124.xml"/><Relationship Id="rId362" Type="http://schemas.openxmlformats.org/officeDocument/2006/relationships/footer" Target="footer123.xml"/><Relationship Id="rId363" Type="http://schemas.openxmlformats.org/officeDocument/2006/relationships/image" Target="media/image108.png"/><Relationship Id="rId364" Type="http://schemas.openxmlformats.org/officeDocument/2006/relationships/header" Target="header125.xml"/><Relationship Id="rId365" Type="http://schemas.openxmlformats.org/officeDocument/2006/relationships/footer" Target="footer124.xml"/><Relationship Id="rId366" Type="http://schemas.openxmlformats.org/officeDocument/2006/relationships/header" Target="header126.xml"/><Relationship Id="rId367" Type="http://schemas.openxmlformats.org/officeDocument/2006/relationships/footer" Target="footer125.xml"/><Relationship Id="rId368" Type="http://schemas.openxmlformats.org/officeDocument/2006/relationships/image" Target="media/image109.png"/><Relationship Id="rId369" Type="http://schemas.openxmlformats.org/officeDocument/2006/relationships/header" Target="header127.xml"/><Relationship Id="rId370" Type="http://schemas.openxmlformats.org/officeDocument/2006/relationships/footer" Target="footer126.xml"/><Relationship Id="rId371" Type="http://schemas.openxmlformats.org/officeDocument/2006/relationships/image" Target="media/image110.png"/><Relationship Id="rId372" Type="http://schemas.openxmlformats.org/officeDocument/2006/relationships/header" Target="header128.xml"/><Relationship Id="rId373" Type="http://schemas.openxmlformats.org/officeDocument/2006/relationships/footer" Target="footer127.xml"/><Relationship Id="rId374" Type="http://schemas.openxmlformats.org/officeDocument/2006/relationships/image" Target="media/image111.png"/><Relationship Id="rId375" Type="http://schemas.openxmlformats.org/officeDocument/2006/relationships/header" Target="header129.xml"/><Relationship Id="rId376" Type="http://schemas.openxmlformats.org/officeDocument/2006/relationships/footer" Target="footer128.xml"/><Relationship Id="rId377" Type="http://schemas.openxmlformats.org/officeDocument/2006/relationships/image" Target="media/image112.png"/><Relationship Id="rId378" Type="http://schemas.openxmlformats.org/officeDocument/2006/relationships/header" Target="header130.xml"/><Relationship Id="rId379" Type="http://schemas.openxmlformats.org/officeDocument/2006/relationships/footer" Target="footer129.xml"/><Relationship Id="rId380" Type="http://schemas.openxmlformats.org/officeDocument/2006/relationships/header" Target="header131.xml"/><Relationship Id="rId381" Type="http://schemas.openxmlformats.org/officeDocument/2006/relationships/footer" Target="footer130.xml"/><Relationship Id="rId382" Type="http://schemas.openxmlformats.org/officeDocument/2006/relationships/header" Target="header132.xml"/><Relationship Id="rId383" Type="http://schemas.openxmlformats.org/officeDocument/2006/relationships/footer" Target="footer131.xml"/><Relationship Id="rId384" Type="http://schemas.openxmlformats.org/officeDocument/2006/relationships/header" Target="header133.xml"/><Relationship Id="rId385" Type="http://schemas.openxmlformats.org/officeDocument/2006/relationships/footer" Target="footer132.xml"/><Relationship Id="rId386" Type="http://schemas.openxmlformats.org/officeDocument/2006/relationships/hyperlink" Target="http://www.scifinder.com/" TargetMode="External"/><Relationship Id="rId387" Type="http://schemas.openxmlformats.org/officeDocument/2006/relationships/header" Target="header134.xml"/><Relationship Id="rId388" Type="http://schemas.openxmlformats.org/officeDocument/2006/relationships/footer" Target="footer133.xml"/><Relationship Id="rId389" Type="http://schemas.openxmlformats.org/officeDocument/2006/relationships/header" Target="header135.xml"/><Relationship Id="rId390" Type="http://schemas.openxmlformats.org/officeDocument/2006/relationships/footer" Target="footer134.xml"/><Relationship Id="rId391" Type="http://schemas.openxmlformats.org/officeDocument/2006/relationships/header" Target="header136.xml"/><Relationship Id="rId392" Type="http://schemas.openxmlformats.org/officeDocument/2006/relationships/footer" Target="footer135.xml"/><Relationship Id="rId393" Type="http://schemas.openxmlformats.org/officeDocument/2006/relationships/header" Target="header137.xml"/><Relationship Id="rId394" Type="http://schemas.openxmlformats.org/officeDocument/2006/relationships/footer" Target="footer136.xml"/><Relationship Id="rId395" Type="http://schemas.openxmlformats.org/officeDocument/2006/relationships/header" Target="header138.xml"/><Relationship Id="rId396" Type="http://schemas.openxmlformats.org/officeDocument/2006/relationships/footer" Target="footer137.xml"/><Relationship Id="rId397" Type="http://schemas.openxmlformats.org/officeDocument/2006/relationships/header" Target="header139.xml"/><Relationship Id="rId398" Type="http://schemas.openxmlformats.org/officeDocument/2006/relationships/footer" Target="footer138.xml"/><Relationship Id="rId399" Type="http://schemas.openxmlformats.org/officeDocument/2006/relationships/header" Target="header140.xml"/><Relationship Id="rId400" Type="http://schemas.openxmlformats.org/officeDocument/2006/relationships/footer" Target="footer139.xml"/><Relationship Id="rId401" Type="http://schemas.openxmlformats.org/officeDocument/2006/relationships/header" Target="header141.xml"/><Relationship Id="rId402" Type="http://schemas.openxmlformats.org/officeDocument/2006/relationships/footer" Target="footer140.xml"/><Relationship Id="rId403" Type="http://schemas.openxmlformats.org/officeDocument/2006/relationships/header" Target="header142.xml"/><Relationship Id="rId404" Type="http://schemas.openxmlformats.org/officeDocument/2006/relationships/footer" Target="footer141.xml"/><Relationship Id="rId405" Type="http://schemas.openxmlformats.org/officeDocument/2006/relationships/header" Target="header143.xml"/><Relationship Id="rId406" Type="http://schemas.openxmlformats.org/officeDocument/2006/relationships/footer" Target="footer142.xml"/><Relationship Id="rId407" Type="http://schemas.openxmlformats.org/officeDocument/2006/relationships/header" Target="header144.xml"/><Relationship Id="rId408" Type="http://schemas.openxmlformats.org/officeDocument/2006/relationships/footer" Target="footer143.xml"/><Relationship Id="rId409" Type="http://schemas.openxmlformats.org/officeDocument/2006/relationships/header" Target="header145.xml"/><Relationship Id="rId410" Type="http://schemas.openxmlformats.org/officeDocument/2006/relationships/footer" Target="footer144.xml"/><Relationship Id="rId411" Type="http://schemas.openxmlformats.org/officeDocument/2006/relationships/header" Target="header146.xml"/><Relationship Id="rId412" Type="http://schemas.openxmlformats.org/officeDocument/2006/relationships/footer" Target="footer145.xml"/><Relationship Id="rId413" Type="http://schemas.openxmlformats.org/officeDocument/2006/relationships/header" Target="header147.xml"/><Relationship Id="rId414" Type="http://schemas.openxmlformats.org/officeDocument/2006/relationships/footer" Target="footer146.xml"/><Relationship Id="rId415" Type="http://schemas.openxmlformats.org/officeDocument/2006/relationships/header" Target="header148.xml"/><Relationship Id="rId416" Type="http://schemas.openxmlformats.org/officeDocument/2006/relationships/footer" Target="footer147.xml"/><Relationship Id="rId417" Type="http://schemas.openxmlformats.org/officeDocument/2006/relationships/header" Target="header149.xml"/><Relationship Id="rId418" Type="http://schemas.openxmlformats.org/officeDocument/2006/relationships/footer" Target="footer148.xml"/><Relationship Id="rId419" Type="http://schemas.openxmlformats.org/officeDocument/2006/relationships/header" Target="header150.xml"/><Relationship Id="rId420" Type="http://schemas.openxmlformats.org/officeDocument/2006/relationships/footer" Target="footer149.xml"/><Relationship Id="rId421" Type="http://schemas.openxmlformats.org/officeDocument/2006/relationships/header" Target="header151.xml"/><Relationship Id="rId422" Type="http://schemas.openxmlformats.org/officeDocument/2006/relationships/footer" Target="footer150.xml"/><Relationship Id="rId423" Type="http://schemas.openxmlformats.org/officeDocument/2006/relationships/header" Target="header152.xml"/><Relationship Id="rId424" Type="http://schemas.openxmlformats.org/officeDocument/2006/relationships/footer" Target="footer151.xml"/><Relationship Id="rId425" Type="http://schemas.openxmlformats.org/officeDocument/2006/relationships/header" Target="header153.xml"/><Relationship Id="rId426" Type="http://schemas.openxmlformats.org/officeDocument/2006/relationships/footer" Target="footer152.xml"/><Relationship Id="rId427" Type="http://schemas.openxmlformats.org/officeDocument/2006/relationships/header" Target="header154.xml"/><Relationship Id="rId428" Type="http://schemas.openxmlformats.org/officeDocument/2006/relationships/footer" Target="footer153.xml"/><Relationship Id="rId429" Type="http://schemas.openxmlformats.org/officeDocument/2006/relationships/header" Target="header155.xml"/><Relationship Id="rId430" Type="http://schemas.openxmlformats.org/officeDocument/2006/relationships/footer" Target="footer154.xml"/><Relationship Id="rId431" Type="http://schemas.openxmlformats.org/officeDocument/2006/relationships/header" Target="header156.xml"/><Relationship Id="rId432" Type="http://schemas.openxmlformats.org/officeDocument/2006/relationships/footer" Target="footer155.xml"/><Relationship Id="rId433" Type="http://schemas.openxmlformats.org/officeDocument/2006/relationships/header" Target="header157.xml"/><Relationship Id="rId434" Type="http://schemas.openxmlformats.org/officeDocument/2006/relationships/footer" Target="footer156.xml"/><Relationship Id="rId435" Type="http://schemas.openxmlformats.org/officeDocument/2006/relationships/header" Target="header158.xml"/><Relationship Id="rId436" Type="http://schemas.openxmlformats.org/officeDocument/2006/relationships/footer" Target="footer157.xml"/><Relationship Id="rId437" Type="http://schemas.openxmlformats.org/officeDocument/2006/relationships/header" Target="header159.xml"/><Relationship Id="rId438" Type="http://schemas.openxmlformats.org/officeDocument/2006/relationships/footer" Target="footer158.xml"/><Relationship Id="rId439" Type="http://schemas.openxmlformats.org/officeDocument/2006/relationships/header" Target="header160.xml"/><Relationship Id="rId440" Type="http://schemas.openxmlformats.org/officeDocument/2006/relationships/footer" Target="footer159.xml"/><Relationship Id="rId441" Type="http://schemas.openxmlformats.org/officeDocument/2006/relationships/header" Target="header161.xml"/><Relationship Id="rId442" Type="http://schemas.openxmlformats.org/officeDocument/2006/relationships/footer" Target="footer160.xml"/><Relationship Id="rId443" Type="http://schemas.openxmlformats.org/officeDocument/2006/relationships/header" Target="header162.xml"/><Relationship Id="rId444" Type="http://schemas.openxmlformats.org/officeDocument/2006/relationships/footer" Target="footer161.xml"/><Relationship Id="rId445" Type="http://schemas.openxmlformats.org/officeDocument/2006/relationships/header" Target="header163.xml"/><Relationship Id="rId446" Type="http://schemas.openxmlformats.org/officeDocument/2006/relationships/footer" Target="footer162.xml"/><Relationship Id="rId447" Type="http://schemas.openxmlformats.org/officeDocument/2006/relationships/hyperlink" Target="http://www.ebi.ac.uk/thornton%20srv/software/LIGPLOT/" TargetMode="External"/><Relationship Id="rId448" Type="http://schemas.openxmlformats.org/officeDocument/2006/relationships/hyperlink" Target="http://www.originlab.com/" TargetMode="External"/><Relationship Id="rId449" Type="http://schemas.openxmlformats.org/officeDocument/2006/relationships/hyperlink" Target="http://www.rcsb.org/pdb" TargetMode="External"/><Relationship Id="rId450" Type="http://schemas.openxmlformats.org/officeDocument/2006/relationships/header" Target="header164.xml"/><Relationship Id="rId451" Type="http://schemas.openxmlformats.org/officeDocument/2006/relationships/footer" Target="footer163.xml"/><Relationship Id="rId452" Type="http://schemas.openxmlformats.org/officeDocument/2006/relationships/header" Target="header165.xml"/><Relationship Id="rId453" Type="http://schemas.openxmlformats.org/officeDocument/2006/relationships/footer" Target="footer164.xml"/><Relationship Id="rId454" Type="http://schemas.openxmlformats.org/officeDocument/2006/relationships/header" Target="header166.xml"/><Relationship Id="rId455" Type="http://schemas.openxmlformats.org/officeDocument/2006/relationships/footer" Target="footer165.xml"/><Relationship Id="rId456" Type="http://schemas.openxmlformats.org/officeDocument/2006/relationships/header" Target="header167.xml"/><Relationship Id="rId457" Type="http://schemas.openxmlformats.org/officeDocument/2006/relationships/footer" Target="footer166.xml"/><Relationship Id="rId458" Type="http://schemas.openxmlformats.org/officeDocument/2006/relationships/header" Target="header168.xml"/><Relationship Id="rId459" Type="http://schemas.openxmlformats.org/officeDocument/2006/relationships/footer" Target="footer167.xml"/><Relationship Id="rId460" Type="http://schemas.openxmlformats.org/officeDocument/2006/relationships/header" Target="header169.xml"/><Relationship Id="rId461" Type="http://schemas.openxmlformats.org/officeDocument/2006/relationships/footer" Target="footer168.xml"/><Relationship Id="rId462" Type="http://schemas.openxmlformats.org/officeDocument/2006/relationships/header" Target="header170.xml"/><Relationship Id="rId463" Type="http://schemas.openxmlformats.org/officeDocument/2006/relationships/footer" Target="footer169.xml"/><Relationship Id="rId464" Type="http://schemas.openxmlformats.org/officeDocument/2006/relationships/hyperlink" Target="http://www.nlcbio.com/" TargetMode="External"/><Relationship Id="rId465" Type="http://schemas.openxmlformats.org/officeDocument/2006/relationships/header" Target="header171.xml"/><Relationship Id="rId466" Type="http://schemas.openxmlformats.org/officeDocument/2006/relationships/footer" Target="footer170.xml"/><Relationship Id="rId467" Type="http://schemas.openxmlformats.org/officeDocument/2006/relationships/header" Target="header172.xml"/><Relationship Id="rId468" Type="http://schemas.openxmlformats.org/officeDocument/2006/relationships/footer" Target="footer171.xml"/><Relationship Id="rId469" Type="http://schemas.openxmlformats.org/officeDocument/2006/relationships/header" Target="header173.xml"/><Relationship Id="rId470" Type="http://schemas.openxmlformats.org/officeDocument/2006/relationships/footer" Target="footer172.xml"/><Relationship Id="rId471" Type="http://schemas.openxmlformats.org/officeDocument/2006/relationships/header" Target="header174.xml"/><Relationship Id="rId472" Type="http://schemas.openxmlformats.org/officeDocument/2006/relationships/footer" Target="footer173.xml"/><Relationship Id="rId473" Type="http://schemas.openxmlformats.org/officeDocument/2006/relationships/image" Target="media/image113.png"/><Relationship Id="rId474" Type="http://schemas.openxmlformats.org/officeDocument/2006/relationships/image" Target="media/image114.png"/><Relationship Id="rId475" Type="http://schemas.openxmlformats.org/officeDocument/2006/relationships/image" Target="media/image115.png"/><Relationship Id="rId476" Type="http://schemas.openxmlformats.org/officeDocument/2006/relationships/image" Target="media/image116.png"/><Relationship Id="rId477" Type="http://schemas.openxmlformats.org/officeDocument/2006/relationships/image" Target="media/image117.png"/><Relationship Id="rId478" Type="http://schemas.openxmlformats.org/officeDocument/2006/relationships/image" Target="media/image118.png"/><Relationship Id="rId479" Type="http://schemas.openxmlformats.org/officeDocument/2006/relationships/header" Target="header175.xml"/><Relationship Id="rId480" Type="http://schemas.openxmlformats.org/officeDocument/2006/relationships/footer" Target="footer174.xml"/><Relationship Id="rId481" Type="http://schemas.openxmlformats.org/officeDocument/2006/relationships/header" Target="header176.xml"/><Relationship Id="rId482" Type="http://schemas.openxmlformats.org/officeDocument/2006/relationships/footer" Target="footer175.xml"/><Relationship Id="rId483" Type="http://schemas.openxmlformats.org/officeDocument/2006/relationships/image" Target="media/image119.png"/><Relationship Id="rId484" Type="http://schemas.openxmlformats.org/officeDocument/2006/relationships/image" Target="media/image120.png"/><Relationship Id="rId485" Type="http://schemas.openxmlformats.org/officeDocument/2006/relationships/image" Target="media/image121.png"/><Relationship Id="rId486" Type="http://schemas.openxmlformats.org/officeDocument/2006/relationships/image" Target="media/image122.png"/><Relationship Id="rId487" Type="http://schemas.openxmlformats.org/officeDocument/2006/relationships/image" Target="media/image123.png"/><Relationship Id="rId488" Type="http://schemas.openxmlformats.org/officeDocument/2006/relationships/image" Target="media/image124.png"/><Relationship Id="rId489" Type="http://schemas.openxmlformats.org/officeDocument/2006/relationships/image" Target="media/image125.png"/><Relationship Id="rId490" Type="http://schemas.openxmlformats.org/officeDocument/2006/relationships/image" Target="media/image126.png"/><Relationship Id="rId491" Type="http://schemas.openxmlformats.org/officeDocument/2006/relationships/image" Target="media/image127.png"/><Relationship Id="rId492" Type="http://schemas.openxmlformats.org/officeDocument/2006/relationships/image" Target="media/image128.png"/><Relationship Id="rId493" Type="http://schemas.openxmlformats.org/officeDocument/2006/relationships/image" Target="media/image129.png"/><Relationship Id="rId494" Type="http://schemas.openxmlformats.org/officeDocument/2006/relationships/image" Target="media/image130.png"/><Relationship Id="rId495" Type="http://schemas.openxmlformats.org/officeDocument/2006/relationships/header" Target="header177.xml"/><Relationship Id="rId496" Type="http://schemas.openxmlformats.org/officeDocument/2006/relationships/footer" Target="footer176.xml"/><Relationship Id="rId497" Type="http://schemas.openxmlformats.org/officeDocument/2006/relationships/image" Target="media/image131.png"/><Relationship Id="rId498" Type="http://schemas.openxmlformats.org/officeDocument/2006/relationships/image" Target="media/image132.png"/><Relationship Id="rId499" Type="http://schemas.openxmlformats.org/officeDocument/2006/relationships/image" Target="media/image133.png"/><Relationship Id="rId500" Type="http://schemas.openxmlformats.org/officeDocument/2006/relationships/image" Target="media/image134.png"/><Relationship Id="rId501" Type="http://schemas.openxmlformats.org/officeDocument/2006/relationships/image" Target="media/image135.png"/><Relationship Id="rId502" Type="http://schemas.openxmlformats.org/officeDocument/2006/relationships/image" Target="media/image136.png"/><Relationship Id="rId503" Type="http://schemas.openxmlformats.org/officeDocument/2006/relationships/header" Target="header178.xml"/><Relationship Id="rId504" Type="http://schemas.openxmlformats.org/officeDocument/2006/relationships/footer" Target="footer177.xml"/><Relationship Id="rId505" Type="http://schemas.openxmlformats.org/officeDocument/2006/relationships/image" Target="media/image137.png"/><Relationship Id="rId506" Type="http://schemas.openxmlformats.org/officeDocument/2006/relationships/image" Target="media/image138.png"/><Relationship Id="rId507" Type="http://schemas.openxmlformats.org/officeDocument/2006/relationships/image" Target="media/image139.png"/><Relationship Id="rId508" Type="http://schemas.openxmlformats.org/officeDocument/2006/relationships/image" Target="media/image140.png"/><Relationship Id="rId509" Type="http://schemas.openxmlformats.org/officeDocument/2006/relationships/image" Target="media/image141.png"/><Relationship Id="rId510" Type="http://schemas.openxmlformats.org/officeDocument/2006/relationships/image" Target="media/image142.png"/><Relationship Id="rId511" Type="http://schemas.openxmlformats.org/officeDocument/2006/relationships/header" Target="header179.xml"/><Relationship Id="rId512" Type="http://schemas.openxmlformats.org/officeDocument/2006/relationships/footer" Target="footer178.xml"/><Relationship Id="rId513" Type="http://schemas.openxmlformats.org/officeDocument/2006/relationships/image" Target="media/image143.png"/><Relationship Id="rId514" Type="http://schemas.openxmlformats.org/officeDocument/2006/relationships/image" Target="media/image144.png"/><Relationship Id="rId515" Type="http://schemas.openxmlformats.org/officeDocument/2006/relationships/image" Target="media/image145.png"/><Relationship Id="rId516" Type="http://schemas.openxmlformats.org/officeDocument/2006/relationships/image" Target="media/image146.png"/><Relationship Id="rId517" Type="http://schemas.openxmlformats.org/officeDocument/2006/relationships/image" Target="media/image147.png"/><Relationship Id="rId518" Type="http://schemas.openxmlformats.org/officeDocument/2006/relationships/image" Target="media/image148.png"/><Relationship Id="rId519" Type="http://schemas.openxmlformats.org/officeDocument/2006/relationships/header" Target="header180.xml"/><Relationship Id="rId520" Type="http://schemas.openxmlformats.org/officeDocument/2006/relationships/footer" Target="footer179.xml"/><Relationship Id="rId521" Type="http://schemas.openxmlformats.org/officeDocument/2006/relationships/image" Target="media/image149.png"/><Relationship Id="rId522" Type="http://schemas.openxmlformats.org/officeDocument/2006/relationships/image" Target="media/image150.png"/><Relationship Id="rId523" Type="http://schemas.openxmlformats.org/officeDocument/2006/relationships/image" Target="media/image151.png"/><Relationship Id="rId524" Type="http://schemas.openxmlformats.org/officeDocument/2006/relationships/image" Target="media/image152.png"/><Relationship Id="rId525" Type="http://schemas.openxmlformats.org/officeDocument/2006/relationships/image" Target="media/image153.png"/><Relationship Id="rId526" Type="http://schemas.openxmlformats.org/officeDocument/2006/relationships/image" Target="media/image154.png"/><Relationship Id="rId527" Type="http://schemas.openxmlformats.org/officeDocument/2006/relationships/header" Target="header181.xml"/><Relationship Id="rId528" Type="http://schemas.openxmlformats.org/officeDocument/2006/relationships/footer" Target="footer180.xml"/><Relationship Id="rId529" Type="http://schemas.openxmlformats.org/officeDocument/2006/relationships/image" Target="media/image155.png"/><Relationship Id="rId530" Type="http://schemas.openxmlformats.org/officeDocument/2006/relationships/image" Target="media/image156.png"/><Relationship Id="rId531" Type="http://schemas.openxmlformats.org/officeDocument/2006/relationships/image" Target="media/image157.png"/><Relationship Id="rId532" Type="http://schemas.openxmlformats.org/officeDocument/2006/relationships/image" Target="media/image158.png"/><Relationship Id="rId533" Type="http://schemas.openxmlformats.org/officeDocument/2006/relationships/image" Target="media/image159.png"/><Relationship Id="rId534" Type="http://schemas.openxmlformats.org/officeDocument/2006/relationships/image" Target="media/image160.png"/><Relationship Id="rId535" Type="http://schemas.openxmlformats.org/officeDocument/2006/relationships/header" Target="header182.xml"/><Relationship Id="rId536" Type="http://schemas.openxmlformats.org/officeDocument/2006/relationships/footer" Target="footer181.xml"/><Relationship Id="rId537" Type="http://schemas.openxmlformats.org/officeDocument/2006/relationships/image" Target="media/image161.jpeg"/><Relationship Id="rId538" Type="http://schemas.openxmlformats.org/officeDocument/2006/relationships/header" Target="header183.xml"/><Relationship Id="rId539" Type="http://schemas.openxmlformats.org/officeDocument/2006/relationships/footer" Target="footer182.xml"/><Relationship Id="rId540" Type="http://schemas.openxmlformats.org/officeDocument/2006/relationships/image" Target="media/image162.jpeg"/><Relationship Id="rId541" Type="http://schemas.openxmlformats.org/officeDocument/2006/relationships/header" Target="header184.xml"/><Relationship Id="rId542" Type="http://schemas.openxmlformats.org/officeDocument/2006/relationships/footer" Target="footer183.xml"/><Relationship Id="rId543" Type="http://schemas.openxmlformats.org/officeDocument/2006/relationships/image" Target="media/image163.jpeg"/><Relationship Id="rId544" Type="http://schemas.openxmlformats.org/officeDocument/2006/relationships/header" Target="header185.xml"/><Relationship Id="rId545" Type="http://schemas.openxmlformats.org/officeDocument/2006/relationships/footer" Target="footer184.xml"/><Relationship Id="rId546" Type="http://schemas.openxmlformats.org/officeDocument/2006/relationships/image" Target="media/image164.jpeg"/><Relationship Id="rId547" Type="http://schemas.openxmlformats.org/officeDocument/2006/relationships/header" Target="header186.xml"/><Relationship Id="rId548" Type="http://schemas.openxmlformats.org/officeDocument/2006/relationships/footer" Target="footer185.xml"/><Relationship Id="rId549" Type="http://schemas.openxmlformats.org/officeDocument/2006/relationships/image" Target="media/image165.jpeg"/><Relationship Id="rId550" Type="http://schemas.openxmlformats.org/officeDocument/2006/relationships/header" Target="header187.xml"/><Relationship Id="rId551" Type="http://schemas.openxmlformats.org/officeDocument/2006/relationships/footer" Target="footer186.xml"/><Relationship Id="rId552" Type="http://schemas.openxmlformats.org/officeDocument/2006/relationships/image" Target="media/image166.png"/><Relationship Id="rId553" Type="http://schemas.openxmlformats.org/officeDocument/2006/relationships/header" Target="header188.xml"/><Relationship Id="rId554" Type="http://schemas.openxmlformats.org/officeDocument/2006/relationships/footer" Target="footer187.xml"/><Relationship Id="rId555" Type="http://schemas.openxmlformats.org/officeDocument/2006/relationships/image" Target="media/image167.png"/><Relationship Id="rId556" Type="http://schemas.openxmlformats.org/officeDocument/2006/relationships/header" Target="header189.xml"/><Relationship Id="rId557" Type="http://schemas.openxmlformats.org/officeDocument/2006/relationships/footer" Target="footer188.xml"/><Relationship Id="rId558" Type="http://schemas.openxmlformats.org/officeDocument/2006/relationships/image" Target="media/image168.jpeg"/><Relationship Id="rId559" Type="http://schemas.openxmlformats.org/officeDocument/2006/relationships/header" Target="header190.xml"/><Relationship Id="rId560" Type="http://schemas.openxmlformats.org/officeDocument/2006/relationships/footer" Target="footer189.xml"/><Relationship Id="rId561" Type="http://schemas.openxmlformats.org/officeDocument/2006/relationships/image" Target="media/image169.jpeg"/><Relationship Id="rId562" Type="http://schemas.openxmlformats.org/officeDocument/2006/relationships/header" Target="header191.xml"/><Relationship Id="rId563" Type="http://schemas.openxmlformats.org/officeDocument/2006/relationships/footer" Target="footer190.xml"/><Relationship Id="rId564" Type="http://schemas.openxmlformats.org/officeDocument/2006/relationships/image" Target="media/image170.jpeg"/><Relationship Id="rId565" Type="http://schemas.openxmlformats.org/officeDocument/2006/relationships/header" Target="header192.xml"/><Relationship Id="rId566" Type="http://schemas.openxmlformats.org/officeDocument/2006/relationships/footer" Target="footer191.xml"/><Relationship Id="rId567" Type="http://schemas.openxmlformats.org/officeDocument/2006/relationships/image" Target="media/image171.jpeg"/><Relationship Id="rId568" Type="http://schemas.openxmlformats.org/officeDocument/2006/relationships/header" Target="header193.xml"/><Relationship Id="rId569" Type="http://schemas.openxmlformats.org/officeDocument/2006/relationships/footer" Target="footer192.xml"/><Relationship Id="rId570" Type="http://schemas.openxmlformats.org/officeDocument/2006/relationships/image" Target="media/image172.jpeg"/><Relationship Id="rId571" Type="http://schemas.openxmlformats.org/officeDocument/2006/relationships/header" Target="header194.xml"/><Relationship Id="rId572" Type="http://schemas.openxmlformats.org/officeDocument/2006/relationships/footer" Target="footer193.xml"/><Relationship Id="rId573" Type="http://schemas.openxmlformats.org/officeDocument/2006/relationships/image" Target="media/image173.jpeg"/><Relationship Id="rId574" Type="http://schemas.openxmlformats.org/officeDocument/2006/relationships/header" Target="header195.xml"/><Relationship Id="rId575" Type="http://schemas.openxmlformats.org/officeDocument/2006/relationships/footer" Target="footer194.xml"/><Relationship Id="rId576" Type="http://schemas.openxmlformats.org/officeDocument/2006/relationships/image" Target="media/image174.jpeg"/><Relationship Id="rId577" Type="http://schemas.openxmlformats.org/officeDocument/2006/relationships/header" Target="header196.xml"/><Relationship Id="rId578" Type="http://schemas.openxmlformats.org/officeDocument/2006/relationships/footer" Target="footer195.xml"/><Relationship Id="rId579" Type="http://schemas.openxmlformats.org/officeDocument/2006/relationships/image" Target="media/image175.jpeg"/><Relationship Id="rId580" Type="http://schemas.openxmlformats.org/officeDocument/2006/relationships/header" Target="header197.xml"/><Relationship Id="rId581" Type="http://schemas.openxmlformats.org/officeDocument/2006/relationships/footer" Target="footer196.xml"/><Relationship Id="rId582" Type="http://schemas.openxmlformats.org/officeDocument/2006/relationships/image" Target="media/image176.jpeg"/><Relationship Id="rId583" Type="http://schemas.openxmlformats.org/officeDocument/2006/relationships/header" Target="header198.xml"/><Relationship Id="rId584" Type="http://schemas.openxmlformats.org/officeDocument/2006/relationships/footer" Target="footer197.xml"/><Relationship Id="rId585" Type="http://schemas.openxmlformats.org/officeDocument/2006/relationships/image" Target="media/image177.jpeg"/><Relationship Id="rId586" Type="http://schemas.openxmlformats.org/officeDocument/2006/relationships/header" Target="header199.xml"/><Relationship Id="rId587" Type="http://schemas.openxmlformats.org/officeDocument/2006/relationships/footer" Target="footer198.xml"/><Relationship Id="rId588" Type="http://schemas.openxmlformats.org/officeDocument/2006/relationships/image" Target="media/image178.jpeg"/><Relationship Id="rId589" Type="http://schemas.openxmlformats.org/officeDocument/2006/relationships/header" Target="header200.xml"/><Relationship Id="rId590" Type="http://schemas.openxmlformats.org/officeDocument/2006/relationships/footer" Target="footer199.xml"/><Relationship Id="rId591" Type="http://schemas.openxmlformats.org/officeDocument/2006/relationships/image" Target="media/image179.jpeg"/><Relationship Id="rId592" Type="http://schemas.openxmlformats.org/officeDocument/2006/relationships/header" Target="header201.xml"/><Relationship Id="rId593" Type="http://schemas.openxmlformats.org/officeDocument/2006/relationships/footer" Target="footer200.xml"/><Relationship Id="rId594" Type="http://schemas.openxmlformats.org/officeDocument/2006/relationships/image" Target="media/image180.jpeg"/><Relationship Id="rId595" Type="http://schemas.openxmlformats.org/officeDocument/2006/relationships/header" Target="header202.xml"/><Relationship Id="rId596" Type="http://schemas.openxmlformats.org/officeDocument/2006/relationships/footer" Target="footer201.xml"/><Relationship Id="rId597" Type="http://schemas.openxmlformats.org/officeDocument/2006/relationships/image" Target="media/image181.jpeg"/><Relationship Id="rId598" Type="http://schemas.openxmlformats.org/officeDocument/2006/relationships/header" Target="header203.xml"/><Relationship Id="rId599" Type="http://schemas.openxmlformats.org/officeDocument/2006/relationships/footer" Target="footer202.xml"/><Relationship Id="rId600" Type="http://schemas.openxmlformats.org/officeDocument/2006/relationships/image" Target="media/image182.jpeg"/><Relationship Id="rId601" Type="http://schemas.openxmlformats.org/officeDocument/2006/relationships/header" Target="header204.xml"/><Relationship Id="rId602" Type="http://schemas.openxmlformats.org/officeDocument/2006/relationships/footer" Target="footer203.xml"/><Relationship Id="rId603" Type="http://schemas.openxmlformats.org/officeDocument/2006/relationships/image" Target="media/image183.jpeg"/><Relationship Id="rId604" Type="http://schemas.openxmlformats.org/officeDocument/2006/relationships/header" Target="header205.xml"/><Relationship Id="rId605" Type="http://schemas.openxmlformats.org/officeDocument/2006/relationships/footer" Target="footer204.xml"/><Relationship Id="rId606" Type="http://schemas.openxmlformats.org/officeDocument/2006/relationships/image" Target="media/image184.png"/><Relationship Id="rId607" Type="http://schemas.openxmlformats.org/officeDocument/2006/relationships/header" Target="header206.xml"/><Relationship Id="rId608" Type="http://schemas.openxmlformats.org/officeDocument/2006/relationships/footer" Target="footer205.xml"/><Relationship Id="rId609" Type="http://schemas.openxmlformats.org/officeDocument/2006/relationships/image" Target="media/image185.png"/><Relationship Id="rId610" Type="http://schemas.openxmlformats.org/officeDocument/2006/relationships/header" Target="header207.xml"/><Relationship Id="rId611" Type="http://schemas.openxmlformats.org/officeDocument/2006/relationships/footer" Target="footer206.xml"/><Relationship Id="rId612" Type="http://schemas.openxmlformats.org/officeDocument/2006/relationships/image" Target="media/image186.jpeg"/><Relationship Id="rId613" Type="http://schemas.openxmlformats.org/officeDocument/2006/relationships/header" Target="header208.xml"/><Relationship Id="rId614" Type="http://schemas.openxmlformats.org/officeDocument/2006/relationships/footer" Target="footer207.xml"/><Relationship Id="rId615" Type="http://schemas.openxmlformats.org/officeDocument/2006/relationships/image" Target="media/image187.jpeg"/><Relationship Id="rId616" Type="http://schemas.openxmlformats.org/officeDocument/2006/relationships/header" Target="header209.xml"/><Relationship Id="rId617" Type="http://schemas.openxmlformats.org/officeDocument/2006/relationships/footer" Target="footer208.xml"/><Relationship Id="rId618" Type="http://schemas.openxmlformats.org/officeDocument/2006/relationships/header" Target="header210.xml"/><Relationship Id="rId619" Type="http://schemas.openxmlformats.org/officeDocument/2006/relationships/footer" Target="footer209.xml"/><Relationship Id="rId620" Type="http://schemas.openxmlformats.org/officeDocument/2006/relationships/image" Target="media/image188.jpeg"/><Relationship Id="rId621" Type="http://schemas.openxmlformats.org/officeDocument/2006/relationships/header" Target="header211.xml"/><Relationship Id="rId622" Type="http://schemas.openxmlformats.org/officeDocument/2006/relationships/footer" Target="footer210.xml"/><Relationship Id="rId623" Type="http://schemas.openxmlformats.org/officeDocument/2006/relationships/image" Target="media/image189.jpeg"/><Relationship Id="rId624" Type="http://schemas.openxmlformats.org/officeDocument/2006/relationships/header" Target="header212.xml"/><Relationship Id="rId625" Type="http://schemas.openxmlformats.org/officeDocument/2006/relationships/footer" Target="footer211.xml"/><Relationship Id="rId626" Type="http://schemas.openxmlformats.org/officeDocument/2006/relationships/image" Target="media/image190.jpeg"/><Relationship Id="rId627" Type="http://schemas.openxmlformats.org/officeDocument/2006/relationships/header" Target="header213.xml"/><Relationship Id="rId628" Type="http://schemas.openxmlformats.org/officeDocument/2006/relationships/footer" Target="footer212.xml"/><Relationship Id="rId629" Type="http://schemas.openxmlformats.org/officeDocument/2006/relationships/image" Target="media/image191.jpeg"/><Relationship Id="rId630" Type="http://schemas.openxmlformats.org/officeDocument/2006/relationships/header" Target="header214.xml"/><Relationship Id="rId631" Type="http://schemas.openxmlformats.org/officeDocument/2006/relationships/footer" Target="footer213.xml"/><Relationship Id="rId632" Type="http://schemas.openxmlformats.org/officeDocument/2006/relationships/image" Target="media/image192.jpeg"/><Relationship Id="rId633" Type="http://schemas.openxmlformats.org/officeDocument/2006/relationships/header" Target="header215.xml"/><Relationship Id="rId634" Type="http://schemas.openxmlformats.org/officeDocument/2006/relationships/footer" Target="footer214.xml"/><Relationship Id="rId635" Type="http://schemas.openxmlformats.org/officeDocument/2006/relationships/image" Target="media/image193.jpeg"/><Relationship Id="rId636" Type="http://schemas.openxmlformats.org/officeDocument/2006/relationships/header" Target="header216.xml"/><Relationship Id="rId637" Type="http://schemas.openxmlformats.org/officeDocument/2006/relationships/footer" Target="footer215.xml"/><Relationship Id="rId638" Type="http://schemas.openxmlformats.org/officeDocument/2006/relationships/image" Target="media/image194.jpeg"/><Relationship Id="rId639" Type="http://schemas.openxmlformats.org/officeDocument/2006/relationships/header" Target="header217.xml"/><Relationship Id="rId640" Type="http://schemas.openxmlformats.org/officeDocument/2006/relationships/footer" Target="footer216.xml"/><Relationship Id="rId641" Type="http://schemas.openxmlformats.org/officeDocument/2006/relationships/image" Target="media/image195.jpeg"/><Relationship Id="rId642" Type="http://schemas.openxmlformats.org/officeDocument/2006/relationships/header" Target="header218.xml"/><Relationship Id="rId643" Type="http://schemas.openxmlformats.org/officeDocument/2006/relationships/footer" Target="footer217.xml"/><Relationship Id="rId644" Type="http://schemas.openxmlformats.org/officeDocument/2006/relationships/image" Target="media/image196.jpeg"/><Relationship Id="rId645" Type="http://schemas.openxmlformats.org/officeDocument/2006/relationships/header" Target="header219.xml"/><Relationship Id="rId646" Type="http://schemas.openxmlformats.org/officeDocument/2006/relationships/footer" Target="footer218.xml"/><Relationship Id="rId647" Type="http://schemas.openxmlformats.org/officeDocument/2006/relationships/image" Target="media/image197.jpeg"/><Relationship Id="rId648" Type="http://schemas.openxmlformats.org/officeDocument/2006/relationships/header" Target="header220.xml"/><Relationship Id="rId649" Type="http://schemas.openxmlformats.org/officeDocument/2006/relationships/footer" Target="footer219.xml"/><Relationship Id="rId650" Type="http://schemas.openxmlformats.org/officeDocument/2006/relationships/image" Target="media/image198.jpeg"/><Relationship Id="rId651" Type="http://schemas.openxmlformats.org/officeDocument/2006/relationships/header" Target="header221.xml"/><Relationship Id="rId652" Type="http://schemas.openxmlformats.org/officeDocument/2006/relationships/footer" Target="footer220.xml"/><Relationship Id="rId653" Type="http://schemas.openxmlformats.org/officeDocument/2006/relationships/image" Target="media/image199.jpeg"/><Relationship Id="rId654" Type="http://schemas.openxmlformats.org/officeDocument/2006/relationships/header" Target="header222.xml"/><Relationship Id="rId655" Type="http://schemas.openxmlformats.org/officeDocument/2006/relationships/footer" Target="footer221.xml"/><Relationship Id="rId656" Type="http://schemas.openxmlformats.org/officeDocument/2006/relationships/image" Target="media/image200.jpeg"/><Relationship Id="rId657" Type="http://schemas.openxmlformats.org/officeDocument/2006/relationships/header" Target="header223.xml"/><Relationship Id="rId658" Type="http://schemas.openxmlformats.org/officeDocument/2006/relationships/footer" Target="footer222.xml"/><Relationship Id="rId659" Type="http://schemas.openxmlformats.org/officeDocument/2006/relationships/header" Target="header224.xml"/><Relationship Id="rId660" Type="http://schemas.openxmlformats.org/officeDocument/2006/relationships/footer" Target="footer223.xml"/><Relationship Id="rId661" Type="http://schemas.openxmlformats.org/officeDocument/2006/relationships/image" Target="media/image201.jpeg"/><Relationship Id="rId662" Type="http://schemas.openxmlformats.org/officeDocument/2006/relationships/header" Target="header225.xml"/><Relationship Id="rId663" Type="http://schemas.openxmlformats.org/officeDocument/2006/relationships/footer" Target="footer224.xml"/><Relationship Id="rId664" Type="http://schemas.openxmlformats.org/officeDocument/2006/relationships/image" Target="media/image202.jpeg"/><Relationship Id="rId665" Type="http://schemas.openxmlformats.org/officeDocument/2006/relationships/header" Target="header226.xml"/><Relationship Id="rId666" Type="http://schemas.openxmlformats.org/officeDocument/2006/relationships/footer" Target="footer225.xml"/><Relationship Id="rId667" Type="http://schemas.openxmlformats.org/officeDocument/2006/relationships/image" Target="media/image203.jpeg"/><Relationship Id="rId668" Type="http://schemas.openxmlformats.org/officeDocument/2006/relationships/header" Target="header227.xml"/><Relationship Id="rId669" Type="http://schemas.openxmlformats.org/officeDocument/2006/relationships/footer" Target="footer226.xml"/><Relationship Id="rId670" Type="http://schemas.openxmlformats.org/officeDocument/2006/relationships/image" Target="media/image204.jpeg"/><Relationship Id="rId671" Type="http://schemas.openxmlformats.org/officeDocument/2006/relationships/header" Target="header228.xml"/><Relationship Id="rId672" Type="http://schemas.openxmlformats.org/officeDocument/2006/relationships/footer" Target="footer227.xml"/><Relationship Id="rId673" Type="http://schemas.openxmlformats.org/officeDocument/2006/relationships/image" Target="media/image205.png"/><Relationship Id="rId674" Type="http://schemas.openxmlformats.org/officeDocument/2006/relationships/header" Target="header229.xml"/><Relationship Id="rId675" Type="http://schemas.openxmlformats.org/officeDocument/2006/relationships/footer" Target="footer228.xml"/><Relationship Id="rId676" Type="http://schemas.openxmlformats.org/officeDocument/2006/relationships/image" Target="media/image206.png"/><Relationship Id="rId677" Type="http://schemas.openxmlformats.org/officeDocument/2006/relationships/header" Target="header230.xml"/><Relationship Id="rId678" Type="http://schemas.openxmlformats.org/officeDocument/2006/relationships/footer" Target="footer229.xml"/><Relationship Id="rId679" Type="http://schemas.openxmlformats.org/officeDocument/2006/relationships/image" Target="media/image207.png"/><Relationship Id="rId680" Type="http://schemas.openxmlformats.org/officeDocument/2006/relationships/header" Target="header231.xml"/><Relationship Id="rId681" Type="http://schemas.openxmlformats.org/officeDocument/2006/relationships/footer" Target="footer230.xml"/><Relationship Id="rId682" Type="http://schemas.openxmlformats.org/officeDocument/2006/relationships/image" Target="media/image208.png"/><Relationship Id="rId683" Type="http://schemas.openxmlformats.org/officeDocument/2006/relationships/header" Target="header232.xml"/><Relationship Id="rId684" Type="http://schemas.openxmlformats.org/officeDocument/2006/relationships/footer" Target="footer231.xml"/><Relationship Id="rId685" Type="http://schemas.openxmlformats.org/officeDocument/2006/relationships/image" Target="media/image209.jpeg"/><Relationship Id="rId686" Type="http://schemas.openxmlformats.org/officeDocument/2006/relationships/header" Target="header233.xml"/><Relationship Id="rId687" Type="http://schemas.openxmlformats.org/officeDocument/2006/relationships/footer" Target="footer232.xml"/><Relationship Id="rId688" Type="http://schemas.openxmlformats.org/officeDocument/2006/relationships/image" Target="media/image210.jpeg"/><Relationship Id="rId689" Type="http://schemas.openxmlformats.org/officeDocument/2006/relationships/header" Target="header234.xml"/><Relationship Id="rId690" Type="http://schemas.openxmlformats.org/officeDocument/2006/relationships/footer" Target="footer233.xml"/><Relationship Id="rId691" Type="http://schemas.openxmlformats.org/officeDocument/2006/relationships/image" Target="media/image211.jpeg"/><Relationship Id="rId692" Type="http://schemas.openxmlformats.org/officeDocument/2006/relationships/header" Target="header235.xml"/><Relationship Id="rId693" Type="http://schemas.openxmlformats.org/officeDocument/2006/relationships/footer" Target="footer234.xml"/><Relationship Id="rId694" Type="http://schemas.openxmlformats.org/officeDocument/2006/relationships/image" Target="media/image212.jpeg"/><Relationship Id="rId695" Type="http://schemas.openxmlformats.org/officeDocument/2006/relationships/header" Target="header236.xml"/><Relationship Id="rId696" Type="http://schemas.openxmlformats.org/officeDocument/2006/relationships/footer" Target="footer235.xml"/><Relationship Id="rId697" Type="http://schemas.openxmlformats.org/officeDocument/2006/relationships/image" Target="media/image213.jpeg"/><Relationship Id="rId698" Type="http://schemas.openxmlformats.org/officeDocument/2006/relationships/header" Target="header237.xml"/><Relationship Id="rId699" Type="http://schemas.openxmlformats.org/officeDocument/2006/relationships/footer" Target="footer236.xml"/><Relationship Id="rId700" Type="http://schemas.openxmlformats.org/officeDocument/2006/relationships/image" Target="media/image214.png"/><Relationship Id="rId701" Type="http://schemas.openxmlformats.org/officeDocument/2006/relationships/header" Target="header238.xml"/><Relationship Id="rId702" Type="http://schemas.openxmlformats.org/officeDocument/2006/relationships/footer" Target="footer237.xml"/><Relationship Id="rId703" Type="http://schemas.openxmlformats.org/officeDocument/2006/relationships/image" Target="media/image215.png"/><Relationship Id="rId704" Type="http://schemas.openxmlformats.org/officeDocument/2006/relationships/header" Target="header239.xml"/><Relationship Id="rId705" Type="http://schemas.openxmlformats.org/officeDocument/2006/relationships/footer" Target="footer238.xml"/><Relationship Id="rId706" Type="http://schemas.openxmlformats.org/officeDocument/2006/relationships/image" Target="media/image216.png"/><Relationship Id="rId707" Type="http://schemas.openxmlformats.org/officeDocument/2006/relationships/header" Target="header240.xml"/><Relationship Id="rId708" Type="http://schemas.openxmlformats.org/officeDocument/2006/relationships/footer" Target="footer239.xml"/><Relationship Id="rId709" Type="http://schemas.openxmlformats.org/officeDocument/2006/relationships/image" Target="media/image217.jpeg"/><Relationship Id="rId710" Type="http://schemas.openxmlformats.org/officeDocument/2006/relationships/header" Target="header241.xml"/><Relationship Id="rId711" Type="http://schemas.openxmlformats.org/officeDocument/2006/relationships/footer" Target="footer240.xml"/><Relationship Id="rId712" Type="http://schemas.openxmlformats.org/officeDocument/2006/relationships/image" Target="media/image218.png"/><Relationship Id="rId713" Type="http://schemas.openxmlformats.org/officeDocument/2006/relationships/header" Target="header242.xml"/><Relationship Id="rId714" Type="http://schemas.openxmlformats.org/officeDocument/2006/relationships/footer" Target="footer241.xml"/><Relationship Id="rId715" Type="http://schemas.openxmlformats.org/officeDocument/2006/relationships/image" Target="media/image219.png"/><Relationship Id="rId716" Type="http://schemas.openxmlformats.org/officeDocument/2006/relationships/header" Target="header243.xml"/><Relationship Id="rId717" Type="http://schemas.openxmlformats.org/officeDocument/2006/relationships/footer" Target="footer242.xml"/><Relationship Id="rId718" Type="http://schemas.openxmlformats.org/officeDocument/2006/relationships/image" Target="media/image220.png"/><Relationship Id="rId719" Type="http://schemas.openxmlformats.org/officeDocument/2006/relationships/header" Target="header244.xml"/><Relationship Id="rId720" Type="http://schemas.openxmlformats.org/officeDocument/2006/relationships/footer" Target="footer243.xml"/><Relationship Id="rId721" Type="http://schemas.openxmlformats.org/officeDocument/2006/relationships/image" Target="media/image221.jpeg"/><Relationship Id="rId722" Type="http://schemas.openxmlformats.org/officeDocument/2006/relationships/header" Target="header245.xml"/><Relationship Id="rId723" Type="http://schemas.openxmlformats.org/officeDocument/2006/relationships/footer" Target="footer244.xml"/><Relationship Id="rId724" Type="http://schemas.openxmlformats.org/officeDocument/2006/relationships/image" Target="media/image222.png"/><Relationship Id="rId725" Type="http://schemas.openxmlformats.org/officeDocument/2006/relationships/header" Target="header246.xml"/><Relationship Id="rId726" Type="http://schemas.openxmlformats.org/officeDocument/2006/relationships/footer" Target="footer245.xml"/><Relationship Id="rId727" Type="http://schemas.openxmlformats.org/officeDocument/2006/relationships/image" Target="media/image223.png"/><Relationship Id="rId728" Type="http://schemas.openxmlformats.org/officeDocument/2006/relationships/header" Target="header247.xml"/><Relationship Id="rId729" Type="http://schemas.openxmlformats.org/officeDocument/2006/relationships/footer" Target="footer246.xml"/><Relationship Id="rId730" Type="http://schemas.openxmlformats.org/officeDocument/2006/relationships/image" Target="media/image224.png"/><Relationship Id="rId731" Type="http://schemas.openxmlformats.org/officeDocument/2006/relationships/header" Target="header248.xml"/><Relationship Id="rId732" Type="http://schemas.openxmlformats.org/officeDocument/2006/relationships/footer" Target="footer247.xml"/><Relationship Id="rId733" Type="http://schemas.openxmlformats.org/officeDocument/2006/relationships/image" Target="media/image225.png"/><Relationship Id="rId734" Type="http://schemas.openxmlformats.org/officeDocument/2006/relationships/header" Target="header249.xml"/><Relationship Id="rId735" Type="http://schemas.openxmlformats.org/officeDocument/2006/relationships/footer" Target="footer248.xml"/><Relationship Id="rId736" Type="http://schemas.openxmlformats.org/officeDocument/2006/relationships/image" Target="media/image226.png"/><Relationship Id="rId737" Type="http://schemas.openxmlformats.org/officeDocument/2006/relationships/header" Target="header250.xml"/><Relationship Id="rId738" Type="http://schemas.openxmlformats.org/officeDocument/2006/relationships/footer" Target="footer249.xml"/><Relationship Id="rId739" Type="http://schemas.openxmlformats.org/officeDocument/2006/relationships/image" Target="media/image227.jpeg"/><Relationship Id="rId740" Type="http://schemas.openxmlformats.org/officeDocument/2006/relationships/header" Target="header251.xml"/><Relationship Id="rId741" Type="http://schemas.openxmlformats.org/officeDocument/2006/relationships/footer" Target="footer250.xml"/><Relationship Id="rId742" Type="http://schemas.openxmlformats.org/officeDocument/2006/relationships/image" Target="media/image228.png"/><Relationship Id="rId743" Type="http://schemas.openxmlformats.org/officeDocument/2006/relationships/header" Target="header252.xml"/><Relationship Id="rId744" Type="http://schemas.openxmlformats.org/officeDocument/2006/relationships/footer" Target="footer251.xml"/><Relationship Id="rId745" Type="http://schemas.openxmlformats.org/officeDocument/2006/relationships/image" Target="media/image229.png"/><Relationship Id="rId746" Type="http://schemas.openxmlformats.org/officeDocument/2006/relationships/header" Target="header253.xml"/><Relationship Id="rId747" Type="http://schemas.openxmlformats.org/officeDocument/2006/relationships/footer" Target="footer252.xml"/><Relationship Id="rId748" Type="http://schemas.openxmlformats.org/officeDocument/2006/relationships/image" Target="media/image230.jpeg"/><Relationship Id="rId749" Type="http://schemas.openxmlformats.org/officeDocument/2006/relationships/header" Target="header254.xml"/><Relationship Id="rId750" Type="http://schemas.openxmlformats.org/officeDocument/2006/relationships/footer" Target="footer253.xml"/><Relationship Id="rId751" Type="http://schemas.openxmlformats.org/officeDocument/2006/relationships/header" Target="header255.xml"/><Relationship Id="rId752" Type="http://schemas.openxmlformats.org/officeDocument/2006/relationships/footer" Target="footer254.xml"/><Relationship Id="rId753" Type="http://schemas.openxmlformats.org/officeDocument/2006/relationships/header" Target="header256.xml"/><Relationship Id="rId754" Type="http://schemas.openxmlformats.org/officeDocument/2006/relationships/footer" Target="footer255.xml"/><Relationship Id="rId755" Type="http://schemas.openxmlformats.org/officeDocument/2006/relationships/image" Target="media/image231.jpeg"/><Relationship Id="rId756" Type="http://schemas.openxmlformats.org/officeDocument/2006/relationships/header" Target="header257.xml"/><Relationship Id="rId757" Type="http://schemas.openxmlformats.org/officeDocument/2006/relationships/footer" Target="footer256.xml"/><Relationship Id="rId758" Type="http://schemas.openxmlformats.org/officeDocument/2006/relationships/image" Target="media/image232.png"/><Relationship Id="rId759" Type="http://schemas.openxmlformats.org/officeDocument/2006/relationships/header" Target="header258.xml"/><Relationship Id="rId760" Type="http://schemas.openxmlformats.org/officeDocument/2006/relationships/footer" Target="footer257.xml"/><Relationship Id="rId761" Type="http://schemas.openxmlformats.org/officeDocument/2006/relationships/image" Target="media/image233.png"/><Relationship Id="rId762" Type="http://schemas.openxmlformats.org/officeDocument/2006/relationships/header" Target="header259.xml"/><Relationship Id="rId763" Type="http://schemas.openxmlformats.org/officeDocument/2006/relationships/footer" Target="footer258.xml"/><Relationship Id="rId764" Type="http://schemas.openxmlformats.org/officeDocument/2006/relationships/image" Target="media/image234.jpeg"/><Relationship Id="rId765" Type="http://schemas.openxmlformats.org/officeDocument/2006/relationships/header" Target="header260.xml"/><Relationship Id="rId766" Type="http://schemas.openxmlformats.org/officeDocument/2006/relationships/footer" Target="footer259.xml"/><Relationship Id="rId767" Type="http://schemas.openxmlformats.org/officeDocument/2006/relationships/image" Target="media/image235.jpeg"/><Relationship Id="rId768" Type="http://schemas.openxmlformats.org/officeDocument/2006/relationships/header" Target="header261.xml"/><Relationship Id="rId769" Type="http://schemas.openxmlformats.org/officeDocument/2006/relationships/footer" Target="footer260.xml"/><Relationship Id="rId770" Type="http://schemas.openxmlformats.org/officeDocument/2006/relationships/image" Target="media/image236.png"/><Relationship Id="rId771" Type="http://schemas.openxmlformats.org/officeDocument/2006/relationships/header" Target="header262.xml"/><Relationship Id="rId772" Type="http://schemas.openxmlformats.org/officeDocument/2006/relationships/footer" Target="footer261.xml"/><Relationship Id="rId773" Type="http://schemas.openxmlformats.org/officeDocument/2006/relationships/image" Target="media/image237.png"/><Relationship Id="rId774" Type="http://schemas.openxmlformats.org/officeDocument/2006/relationships/header" Target="header263.xml"/><Relationship Id="rId775" Type="http://schemas.openxmlformats.org/officeDocument/2006/relationships/footer" Target="footer262.xml"/><Relationship Id="rId776" Type="http://schemas.openxmlformats.org/officeDocument/2006/relationships/image" Target="media/image238.png"/><Relationship Id="rId777" Type="http://schemas.openxmlformats.org/officeDocument/2006/relationships/image" Target="media/image239.jpeg"/><Relationship Id="rId778" Type="http://schemas.openxmlformats.org/officeDocument/2006/relationships/image" Target="media/image240.jpeg"/><Relationship Id="rId779" Type="http://schemas.openxmlformats.org/officeDocument/2006/relationships/header" Target="header264.xml"/><Relationship Id="rId780" Type="http://schemas.openxmlformats.org/officeDocument/2006/relationships/footer" Target="footer263.xml"/><Relationship Id="rId781" Type="http://schemas.openxmlformats.org/officeDocument/2006/relationships/image" Target="media/image241.png"/><Relationship Id="rId782" Type="http://schemas.openxmlformats.org/officeDocument/2006/relationships/image" Target="media/image242.png"/><Relationship Id="rId783" Type="http://schemas.openxmlformats.org/officeDocument/2006/relationships/image" Target="media/image243.jpeg"/><Relationship Id="rId784" Type="http://schemas.openxmlformats.org/officeDocument/2006/relationships/image" Target="media/image244.jpeg"/><Relationship Id="rId785" Type="http://schemas.openxmlformats.org/officeDocument/2006/relationships/header" Target="header265.xml"/><Relationship Id="rId786" Type="http://schemas.openxmlformats.org/officeDocument/2006/relationships/footer" Target="footer264.xml"/><Relationship Id="rId787" Type="http://schemas.openxmlformats.org/officeDocument/2006/relationships/image" Target="media/image245.jpeg"/><Relationship Id="rId788" Type="http://schemas.openxmlformats.org/officeDocument/2006/relationships/image" Target="media/image246.png"/><Relationship Id="rId789" Type="http://schemas.openxmlformats.org/officeDocument/2006/relationships/image" Target="media/image247.png"/><Relationship Id="rId790" Type="http://schemas.openxmlformats.org/officeDocument/2006/relationships/header" Target="header266.xml"/><Relationship Id="rId791" Type="http://schemas.openxmlformats.org/officeDocument/2006/relationships/footer" Target="footer265.xml"/><Relationship Id="rId792" Type="http://schemas.openxmlformats.org/officeDocument/2006/relationships/header" Target="header267.xml"/><Relationship Id="rId793" Type="http://schemas.openxmlformats.org/officeDocument/2006/relationships/footer" Target="footer266.xml"/><Relationship Id="rId794" Type="http://schemas.openxmlformats.org/officeDocument/2006/relationships/header" Target="header268.xml"/><Relationship Id="rId795" Type="http://schemas.openxmlformats.org/officeDocument/2006/relationships/footer" Target="footer267.xml"/><Relationship Id="rId796" Type="http://schemas.openxmlformats.org/officeDocument/2006/relationships/header" Target="header269.xml"/><Relationship Id="rId797" Type="http://schemas.openxmlformats.org/officeDocument/2006/relationships/footer" Target="footer268.xml"/><Relationship Id="rId798" Type="http://schemas.openxmlformats.org/officeDocument/2006/relationships/header" Target="header270.xml"/><Relationship Id="rId799" Type="http://schemas.openxmlformats.org/officeDocument/2006/relationships/footer" Target="footer269.xml"/><Relationship Id="rId800" Type="http://schemas.openxmlformats.org/officeDocument/2006/relationships/header" Target="header271.xml"/><Relationship Id="rId801" Type="http://schemas.openxmlformats.org/officeDocument/2006/relationships/footer" Target="footer270.xml"/><Relationship Id="rId802" Type="http://schemas.openxmlformats.org/officeDocument/2006/relationships/header" Target="header272.xml"/><Relationship Id="rId803" Type="http://schemas.openxmlformats.org/officeDocument/2006/relationships/footer" Target="footer271.xml"/><Relationship Id="rId80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Nasarawa</dc:creator>
  <dcterms:created xsi:type="dcterms:W3CDTF">2023-11-06T14:55:43Z</dcterms:created>
  <dcterms:modified xsi:type="dcterms:W3CDTF">2023-11-06T14:55:43Z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2023-11-06T00:00:00Z</vt:filetime>
  </property>
</Properties>
</file>